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4D411" w14:textId="77777777" w:rsidR="00A6503C" w:rsidRPr="00D07BF6" w:rsidRDefault="00A6503C" w:rsidP="00A6503C">
      <w:pPr>
        <w:rPr>
          <w:rFonts w:asciiTheme="majorBidi" w:hAnsiTheme="majorBidi" w:cstheme="majorBidi"/>
        </w:rPr>
      </w:pPr>
      <w:r w:rsidRPr="00D07BF6">
        <w:rPr>
          <w:rFonts w:asciiTheme="majorBidi" w:hAnsiTheme="majorBidi" w:cstheme="majorBidi"/>
          <w:noProof/>
        </w:rPr>
        <w:drawing>
          <wp:inline distT="0" distB="0" distL="0" distR="0" wp14:anchorId="190BCC03" wp14:editId="749E53B9">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7">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2018606D" w14:textId="77777777" w:rsidR="00A6503C" w:rsidRPr="003C783A" w:rsidRDefault="00A6503C" w:rsidP="00A6503C">
      <w:pPr>
        <w:tabs>
          <w:tab w:val="center" w:pos="4535"/>
          <w:tab w:val="left" w:pos="7116"/>
        </w:tabs>
        <w:rPr>
          <w:rFonts w:asciiTheme="majorBidi" w:hAnsiTheme="majorBidi" w:cstheme="majorBidi"/>
          <w:noProof/>
          <w:sz w:val="28"/>
          <w:szCs w:val="28"/>
        </w:rPr>
      </w:pPr>
      <w:r w:rsidRPr="003C783A">
        <w:rPr>
          <w:rFonts w:asciiTheme="majorBidi" w:hAnsiTheme="majorBidi" w:cstheme="majorBidi"/>
          <w:noProof/>
          <w:sz w:val="28"/>
          <w:szCs w:val="28"/>
        </w:rPr>
        <w:tab/>
        <w:t>LĒMUMS</w:t>
      </w:r>
      <w:r w:rsidRPr="003C783A">
        <w:rPr>
          <w:rFonts w:asciiTheme="majorBidi" w:hAnsiTheme="majorBidi" w:cstheme="majorBidi"/>
          <w:noProof/>
          <w:sz w:val="28"/>
          <w:szCs w:val="28"/>
        </w:rPr>
        <w:tab/>
      </w:r>
    </w:p>
    <w:p w14:paraId="6237FDAD" w14:textId="77777777" w:rsidR="00A6503C" w:rsidRPr="00D07BF6" w:rsidRDefault="00A6503C" w:rsidP="00A6503C">
      <w:pPr>
        <w:jc w:val="center"/>
        <w:rPr>
          <w:rFonts w:asciiTheme="majorBidi" w:hAnsiTheme="majorBidi" w:cstheme="majorBidi"/>
          <w:noProof/>
        </w:rPr>
      </w:pPr>
      <w:r w:rsidRPr="00D07BF6">
        <w:rPr>
          <w:rFonts w:asciiTheme="majorBidi" w:hAnsiTheme="majorBidi" w:cstheme="majorBidi"/>
          <w:noProof/>
        </w:rPr>
        <w:t>Ādažos, Ādažu novadā</w:t>
      </w:r>
    </w:p>
    <w:p w14:paraId="76610CFD" w14:textId="77777777" w:rsidR="00584869" w:rsidRDefault="00584869" w:rsidP="00584869">
      <w:pPr>
        <w:tabs>
          <w:tab w:val="right" w:pos="8931"/>
        </w:tabs>
      </w:pPr>
    </w:p>
    <w:p w14:paraId="1E63EE27" w14:textId="1E7E827F" w:rsidR="00AE27F6" w:rsidRDefault="00511D5B" w:rsidP="002D0DAF">
      <w:pPr>
        <w:tabs>
          <w:tab w:val="right" w:pos="8931"/>
        </w:tabs>
        <w:spacing w:after="300"/>
      </w:pPr>
      <w:r>
        <w:t>2026. gada 2. oktobrī</w:t>
      </w:r>
      <w:r w:rsidR="00A6503C">
        <w:rPr>
          <w:b/>
          <w:bCs/>
        </w:rPr>
        <w:tab/>
      </w:r>
      <w:r>
        <w:rPr>
          <w:b/>
          <w:bCs/>
        </w:rPr>
        <w:t xml:space="preserve">Nr. </w:t>
      </w:r>
      <w:r w:rsidR="00A6503C">
        <w:rPr>
          <w:b/>
          <w:bCs/>
        </w:rPr>
        <w:t>393</w:t>
      </w:r>
    </w:p>
    <w:p w14:paraId="7AB4157F" w14:textId="77777777" w:rsidR="00AE27F6" w:rsidRDefault="00511D5B">
      <w:pPr>
        <w:spacing w:after="300"/>
        <w:ind w:left="567" w:right="567"/>
        <w:jc w:val="center"/>
      </w:pPr>
      <w:r>
        <w:rPr>
          <w:b/>
          <w:bCs/>
        </w:rPr>
        <w:t>Par Centrālās pārvaldes izvērtēšanas darba grupas ziņojumu un pašvaldības administrācijas reorganizāciju</w:t>
      </w:r>
    </w:p>
    <w:p w14:paraId="69A9A657" w14:textId="77777777" w:rsidR="00AE27F6" w:rsidRDefault="00511D5B">
      <w:pPr>
        <w:spacing w:after="120"/>
        <w:ind w:firstLine="567"/>
        <w:jc w:val="both"/>
      </w:pPr>
      <w:r>
        <w:t>Ar Ādažu novada pašvaldības domes (turpmāk – dome) 2026. gada 23. aprīļa lēmumu Nr. 157 “Par Centrālās pārvaldes izvērtēšanas darba grupu” (turpmāk – lēmums Nr. 157) izveidota Centrālās pārvaldes izvērtēšanas darba grupa (turpmāk – Darba grupa), kuras darbību nosaka domes 2026. gada 23. aprīļa nolikums Nr. 10 “Centrālās pārvaldes izvērtēšanas darba grupas nolikums” (turpmāk – Nolikums). Darba grupas uzdevums bija izvērtēt Centrālās pārvaldes un tās struktūrvienību funkcijas, institucionālo struktūru, darba organizāciju un cilvēkresursu noslodzi, tostarp kopsakarībā ar iestādi “Ādažu novada būvvalde” un pašvaldības aģentūru “Carnikavas komunālserviss”, un iesniegt domei priekšlikumus funkcionālām, organizatoriskām un strukturālām izmaiņām.</w:t>
      </w:r>
    </w:p>
    <w:p w14:paraId="2C5F4587" w14:textId="77777777" w:rsidR="00AE27F6" w:rsidRDefault="00511D5B">
      <w:pPr>
        <w:spacing w:after="120"/>
        <w:ind w:firstLine="567"/>
        <w:jc w:val="both"/>
      </w:pPr>
      <w:r>
        <w:t>Darba grupas vadītājs ir iesniedzis domei Darba grupas ziņojumu, kas sagatavots prezentācijas veidā un kam pievienota pašvaldības administrācijas struktūras shēma (turpmāk – Ziņojums). Ziņojumā, salīdzinot struktūrvienību reglamentus, dokumentāri konstatēta funkciju pārklāšanās piecās jomās – būvniecības ieceru izvērtēšanā, zemes ierīcībā un sadalē, datu uzturēšanā reģistros, adresācijā un nekustamā īpašuma lietošanas mērķu noteikšanā, kā arī datu sniegšanā Valsts zemes dienestam –, un metodiskās vadības un budžeta izpildes uzraudzības uzdevumu dublēšanās Finanšu nodaļas un Grāmatvedības nodaļas reglamentos. Ziņojumā ietverti seši strukturālie priekšlikumi un veicamās darbības to īstenošanai.</w:t>
      </w:r>
    </w:p>
    <w:p w14:paraId="5DFB116D" w14:textId="77777777" w:rsidR="00AE27F6" w:rsidRDefault="00511D5B">
      <w:pPr>
        <w:spacing w:after="120"/>
        <w:ind w:firstLine="567"/>
        <w:jc w:val="both"/>
      </w:pPr>
      <w:r>
        <w:t>Funkciju pārklāšanās dēļ iedzīvotājam vienā lietā jāvēršas vairākās struktūrvienībās, bet pašvaldībai rodas papildu saskaņošanas izmaksas. Reorganizācija ir neatliekams organizatorisks pasākums: pārklāšanās turpinās katrā iedzīvotāja lietā, struktūrvienībās ar divām amata vietām nav nodrošināta aizvietojamība, un izmaiņas ir jāietver 2027. gada budžetā, kas tiek sagatavots 2026. gada rudenī. Reorganizācijas sagatavošanas gaitā Ziņojuma konstatējumi pārbaudāmi ar faktiskajiem darba procesiem un pārbaudāmiem datiem, un rezultāti iesniedzami domei pirms struktūras dokumentu apstiprināšanas.</w:t>
      </w:r>
    </w:p>
    <w:p w14:paraId="03D86415" w14:textId="77777777" w:rsidR="00AE27F6" w:rsidRDefault="00511D5B">
      <w:pPr>
        <w:spacing w:after="120"/>
        <w:ind w:firstLine="567"/>
        <w:jc w:val="both"/>
      </w:pPr>
      <w:r>
        <w:t>Pašvaldības administrācijas struktūra noteikta Ādažu novada pašvaldības domes 2023. gada 14. jūnija saistošo noteikumu Nr. 18/2023 “Ādažu novada pašvaldības nolikums” (turpmāk – Pašvaldības nolikums) 15. punktā, tādēļ reorganizācija īstenojama, izdarot grozījumus Pašvaldības nolikumā un attiecīgo iestāžu nolikumos. Personāla izmaiņas veicamas pēc struktūras un amatu dokumentu apstiprināšanas, ievērojot Darba likumu.</w:t>
      </w:r>
    </w:p>
    <w:p w14:paraId="1F84392C" w14:textId="77777777" w:rsidR="00AE27F6" w:rsidRDefault="00511D5B">
      <w:pPr>
        <w:keepNext/>
        <w:spacing w:after="120"/>
        <w:ind w:firstLine="567"/>
        <w:jc w:val="both"/>
      </w:pPr>
      <w:r>
        <w:t xml:space="preserve">Pamatojoties uz Pašvaldību likuma 10. panta pirmās daļas pirmo teikumu un 8. punktu, 22. panta pirmās daļas 1. un 5. punktu, Valsts pārvaldes iekārtas likuma 10. panta desmito daļu, 27. pantu un 30. panta otro daļu, Pašvaldības nolikuma 14.–16. punktu, lēmuma Nr. 157 3. punktu un </w:t>
      </w:r>
      <w:r>
        <w:lastRenderedPageBreak/>
        <w:t>Nolikuma 2. punktu, kā arī ņemot vērā domes Finanšu komitejas 2026. gada ___________ atzinumu, dome</w:t>
      </w:r>
    </w:p>
    <w:p w14:paraId="2E9201A9" w14:textId="77777777" w:rsidR="00AE27F6" w:rsidRDefault="00511D5B">
      <w:pPr>
        <w:keepNext/>
        <w:spacing w:before="120" w:after="160"/>
        <w:jc w:val="center"/>
      </w:pPr>
      <w:r>
        <w:rPr>
          <w:b/>
          <w:bCs/>
        </w:rPr>
        <w:t>NOLEMJ:</w:t>
      </w:r>
    </w:p>
    <w:p w14:paraId="32567E79" w14:textId="77777777" w:rsidR="00AE27F6" w:rsidRDefault="00511D5B">
      <w:pPr>
        <w:keepNext/>
        <w:tabs>
          <w:tab w:val="left" w:pos="567"/>
        </w:tabs>
        <w:spacing w:after="80"/>
        <w:ind w:left="567" w:hanging="567"/>
        <w:jc w:val="both"/>
      </w:pPr>
      <w:r>
        <w:t>1.</w:t>
      </w:r>
      <w:r>
        <w:tab/>
        <w:t xml:space="preserve">Apstiprināt Ziņojumā ietvertos strukturālos priekšlikumus, kas balstīti uz dokumentāri konstatēto funkciju pārklāšanos, par pašvaldības administrācijas reorganizācijas pamatu un veikt šādas izmaiņas, tās precizējot atbilstoši šā lēmuma 5. punktā minētā </w:t>
      </w:r>
      <w:proofErr w:type="spellStart"/>
      <w:r>
        <w:t>izvērtējuma</w:t>
      </w:r>
      <w:proofErr w:type="spellEnd"/>
      <w:r>
        <w:t xml:space="preserve"> rezultātiem:</w:t>
      </w:r>
    </w:p>
    <w:p w14:paraId="3B3EA5C6" w14:textId="77777777" w:rsidR="00AE27F6" w:rsidRDefault="00511D5B">
      <w:pPr>
        <w:tabs>
          <w:tab w:val="left" w:pos="1276"/>
        </w:tabs>
        <w:spacing w:after="80"/>
        <w:ind w:left="1276" w:hanging="709"/>
        <w:jc w:val="both"/>
      </w:pPr>
      <w:r>
        <w:t>1.1.</w:t>
      </w:r>
      <w:r>
        <w:tab/>
        <w:t>reorganizēt iestādi “Ādažu novada būvvalde”, nododot tai Centrālās pārvaldes struktūrvienību “Teritorijas plānošanas nodaļa” un “Nekustamā īpašuma nodaļa” funkcijas un uzdevumus un nosakot nosaukumu “Būvniecības un nekustamā īpašuma pārvalde” (turpmāk – Apvienotā iestāde); Apvienotā iestāde turpina būvvaldes darbību un ir nododamo funkciju, lietvedības, tiesību un saistību pārņēmēja; darbinieki, kuru funkcijas tiek nodotas, turpina darbu Apvienotajā iestādē atbilstoši domes apstiprinātajam amatu sarakstam;</w:t>
      </w:r>
    </w:p>
    <w:p w14:paraId="6D6A7126" w14:textId="77777777" w:rsidR="00AE27F6" w:rsidRDefault="00511D5B">
      <w:pPr>
        <w:tabs>
          <w:tab w:val="left" w:pos="1276"/>
        </w:tabs>
        <w:spacing w:after="80"/>
        <w:ind w:left="1276" w:hanging="709"/>
        <w:jc w:val="both"/>
      </w:pPr>
      <w:r>
        <w:t>1.2.</w:t>
      </w:r>
      <w:r>
        <w:tab/>
        <w:t>apvienot Finanšu nodaļu un Grāmatvedības nodaļu vienā struktūrvienībā, nodalot budžeta plānošanas un maksājumu izpildes funkcijas;</w:t>
      </w:r>
    </w:p>
    <w:p w14:paraId="27839EF1" w14:textId="77777777" w:rsidR="00AE27F6" w:rsidRDefault="00511D5B">
      <w:pPr>
        <w:tabs>
          <w:tab w:val="left" w:pos="1276"/>
        </w:tabs>
        <w:spacing w:after="80"/>
        <w:ind w:left="1276" w:hanging="709"/>
        <w:jc w:val="both"/>
      </w:pPr>
      <w:r>
        <w:t>1.3.</w:t>
      </w:r>
      <w:r>
        <w:tab/>
        <w:t>izveidot Komunikācijas un sabiedrības iesaistes nodaļu, pārveidojot Sabiedrisko attiecību nodaļu un nododot tai sabiedrības iesaistes funkciju no Personāla nodaļas un tūrisma informācijas funkciju no iestādes “Ādažu novada kultūras centrs”, saglabājot pakalpojuma sniegšanas vietu Carnikavā;</w:t>
      </w:r>
    </w:p>
    <w:p w14:paraId="7F7538D2" w14:textId="77777777" w:rsidR="00AE27F6" w:rsidRDefault="00511D5B">
      <w:pPr>
        <w:tabs>
          <w:tab w:val="left" w:pos="1276"/>
        </w:tabs>
        <w:spacing w:after="80"/>
        <w:ind w:left="1276" w:hanging="709"/>
        <w:jc w:val="both"/>
      </w:pPr>
      <w:r>
        <w:t>1.4.</w:t>
      </w:r>
      <w:r>
        <w:tab/>
        <w:t>pārveidot Personāla nodaļu par Personāla un organizācijas attīstības nodaļu, papildinot funkcijas ar kompetenču pārvaldību, darbinieku attīstību un pārmaiņu vadības atbalstu;</w:t>
      </w:r>
    </w:p>
    <w:p w14:paraId="4F11D61C" w14:textId="77777777" w:rsidR="00AE27F6" w:rsidRDefault="00511D5B">
      <w:pPr>
        <w:tabs>
          <w:tab w:val="left" w:pos="1276"/>
        </w:tabs>
        <w:spacing w:after="80"/>
        <w:ind w:left="1276" w:hanging="709"/>
        <w:jc w:val="both"/>
      </w:pPr>
      <w:r>
        <w:t>1.5.</w:t>
      </w:r>
      <w:r>
        <w:tab/>
        <w:t>apvienot Izglītības un jaunatnes nodaļu un Sporta nodaļas sporta politikas koordinācijas funkcijas Izglītības, sporta un jaunatnes nodaļā;</w:t>
      </w:r>
    </w:p>
    <w:p w14:paraId="7A4FD9E4" w14:textId="77777777" w:rsidR="00AE27F6" w:rsidRDefault="00511D5B">
      <w:pPr>
        <w:tabs>
          <w:tab w:val="left" w:pos="1276"/>
        </w:tabs>
        <w:spacing w:after="120"/>
        <w:ind w:left="1276" w:hanging="709"/>
        <w:jc w:val="both"/>
      </w:pPr>
      <w:r>
        <w:t>1.6.</w:t>
      </w:r>
      <w:r>
        <w:tab/>
        <w:t>nodot struktūrvienības “Ādažu sporta centrs” sporta objekta ekspluatācijas funkcijas pašvaldības aģentūrai “Carnikavas komunālserviss”, nesamazinot pakalpojumu pieejamību iedzīvotājiem.</w:t>
      </w:r>
    </w:p>
    <w:p w14:paraId="64670B58" w14:textId="77777777" w:rsidR="00AE27F6" w:rsidRDefault="00511D5B">
      <w:pPr>
        <w:tabs>
          <w:tab w:val="left" w:pos="567"/>
        </w:tabs>
        <w:spacing w:after="120"/>
        <w:ind w:left="567" w:hanging="567"/>
        <w:jc w:val="both"/>
      </w:pPr>
      <w:r>
        <w:t>2.</w:t>
      </w:r>
      <w:r>
        <w:tab/>
        <w:t xml:space="preserve">Noteikt, ka reorganizāciju īsteno, ievērojot šādus principus: katrai funkcijai ir viena atbildīgā struktūrvienība un Ziņojumā konstatētā funkciju pārklāšanās tiek novērsta; Valsts un pašvaldības vienotā klientu apkalpošanas centra kontaktpunktu kapacitāte un pakalpojumu pieejamība iedzīvotājiem netiek samazināta; amata vietu skaitu nosaka atbilstoši funkciju apjomam un darba procesiem, nevis esošajai struktūrai; personāla izmaiņas balstās uz domes apstiprinātu struktūru un dokumentētu darbinieku </w:t>
      </w:r>
      <w:proofErr w:type="spellStart"/>
      <w:r>
        <w:t>izvērtējumu</w:t>
      </w:r>
      <w:proofErr w:type="spellEnd"/>
      <w:r>
        <w:t>, un reorganizāciju neizmanto atsevišķu darbinieku jautājumu risināšanai.</w:t>
      </w:r>
    </w:p>
    <w:p w14:paraId="602B1133" w14:textId="0F2E7F1A" w:rsidR="00AE27F6" w:rsidRDefault="00511D5B">
      <w:pPr>
        <w:tabs>
          <w:tab w:val="left" w:pos="567"/>
        </w:tabs>
        <w:spacing w:after="120"/>
        <w:ind w:left="567" w:hanging="567"/>
        <w:jc w:val="both"/>
      </w:pPr>
      <w:r>
        <w:t>3.</w:t>
      </w:r>
      <w:r>
        <w:tab/>
        <w:t>Reorganizācijas sagatavošanu pabeigt līdz 2026. gada 22. decembrim, kad dome izskata un apstiprina reorganizācijas dokumentus. Pirms domes sēdes dokumentus izskata Finanšu komitejas, Attīstības komitejas un Izglītības, kultūras, sporta un sociālās komitejas apvienotajā sēdē. Jaunā struktūra darbojas ar 2027. gada 1. janvāri, bet personāla pasākumi pabeidzami līdz 2027. gada 31. martam. Visā reorganizācijas laikā nodrošināma pašvaldības funkciju un pakalpojumu nepārtrauktība, kā arī darbinieku un to pārstāvju informēšana un konsultēšana Darba likumā noteiktajos termiņos, tostarp funkciju nodošanas gadījumos.</w:t>
      </w:r>
    </w:p>
    <w:p w14:paraId="6F3FB062" w14:textId="77777777" w:rsidR="00AE27F6" w:rsidRDefault="00511D5B">
      <w:pPr>
        <w:keepNext/>
        <w:tabs>
          <w:tab w:val="left" w:pos="567"/>
        </w:tabs>
        <w:spacing w:after="80"/>
        <w:ind w:left="567" w:hanging="567"/>
        <w:jc w:val="both"/>
      </w:pPr>
      <w:r>
        <w:t>4.</w:t>
      </w:r>
      <w:r>
        <w:tab/>
        <w:t>Uzdot Darba grupai:</w:t>
      </w:r>
    </w:p>
    <w:p w14:paraId="795E9E27" w14:textId="77777777" w:rsidR="00AE27F6" w:rsidRDefault="00511D5B">
      <w:pPr>
        <w:tabs>
          <w:tab w:val="left" w:pos="1276"/>
        </w:tabs>
        <w:spacing w:after="80"/>
        <w:ind w:left="1276" w:hanging="709"/>
        <w:jc w:val="both"/>
      </w:pPr>
      <w:r>
        <w:t>4.1.</w:t>
      </w:r>
      <w:r>
        <w:tab/>
        <w:t xml:space="preserve">organizēt šā lēmuma 5. punktā noteikto </w:t>
      </w:r>
      <w:proofErr w:type="spellStart"/>
      <w:r>
        <w:t>izvērtējumu</w:t>
      </w:r>
      <w:proofErr w:type="spellEnd"/>
      <w:r>
        <w:t xml:space="preserve"> un iesniegt tā rezultātus kopā ar šā lēmuma 6.2. apakšpunktā minēto dokumentu paketi;</w:t>
      </w:r>
    </w:p>
    <w:p w14:paraId="3DE6366E" w14:textId="77777777" w:rsidR="00AE27F6" w:rsidRDefault="00511D5B">
      <w:pPr>
        <w:tabs>
          <w:tab w:val="left" w:pos="1276"/>
        </w:tabs>
        <w:spacing w:after="80"/>
        <w:ind w:left="1276" w:hanging="709"/>
        <w:jc w:val="both"/>
      </w:pPr>
      <w:r>
        <w:t>4.2.</w:t>
      </w:r>
      <w:r>
        <w:tab/>
        <w:t xml:space="preserve">sagatavot </w:t>
      </w:r>
      <w:proofErr w:type="spellStart"/>
      <w:r>
        <w:t>jaunizveidojamo</w:t>
      </w:r>
      <w:proofErr w:type="spellEnd"/>
      <w:r>
        <w:t xml:space="preserve"> un likvidējamo amatu salīdzinājumu, uzrādot pienākumu un kvalifikācijas prasību atšķirības;</w:t>
      </w:r>
    </w:p>
    <w:p w14:paraId="43C2E1F8" w14:textId="77777777" w:rsidR="00AE27F6" w:rsidRDefault="00511D5B">
      <w:pPr>
        <w:tabs>
          <w:tab w:val="left" w:pos="1276"/>
        </w:tabs>
        <w:spacing w:after="120"/>
        <w:ind w:left="1276" w:hanging="709"/>
        <w:jc w:val="both"/>
      </w:pPr>
      <w:r>
        <w:lastRenderedPageBreak/>
        <w:t>4.3.</w:t>
      </w:r>
      <w:r>
        <w:tab/>
        <w:t xml:space="preserve">sniegt atzinumu par reorganizācijas dokumentu projektu atbilstību Ziņojumam un šim lēmumam pirms to izskatīšanas komiteju apvienotajā sēdē. Ja </w:t>
      </w:r>
      <w:proofErr w:type="spellStart"/>
      <w:r>
        <w:t>izvērtējuma</w:t>
      </w:r>
      <w:proofErr w:type="spellEnd"/>
      <w:r>
        <w:t xml:space="preserve"> rezultātā tiek ierosināts atkāpties no šā lēmuma 1. punktā noteiktajām izmaiņām, atkāpi rakstiski pamato un par to lemj dome.</w:t>
      </w:r>
    </w:p>
    <w:p w14:paraId="2663AFED" w14:textId="77777777" w:rsidR="00AE27F6" w:rsidRDefault="00511D5B">
      <w:pPr>
        <w:tabs>
          <w:tab w:val="left" w:pos="567"/>
        </w:tabs>
        <w:spacing w:after="120"/>
        <w:ind w:left="567" w:hanging="567"/>
        <w:jc w:val="both"/>
      </w:pPr>
      <w:r>
        <w:t>5.</w:t>
      </w:r>
      <w:r>
        <w:tab/>
        <w:t xml:space="preserve">Noteikt, ka reorganizācijas sagatavošanas gaitā veicams uz pārbaudāmiem datiem balstīts funkciju, darba procesu un cilvēkresursu </w:t>
      </w:r>
      <w:proofErr w:type="spellStart"/>
      <w:r>
        <w:t>izvērtējums</w:t>
      </w:r>
      <w:proofErr w:type="spellEnd"/>
      <w:r>
        <w:t xml:space="preserve">, kurā iekļauj: normatīvajos dokumentos noteiktās funkcijas un to faktisko izpildi; darba procesus, to apjomu, termiņus un darbinieku noslodzi; funkciju pārklāšanos, dublēšanos un nepietiekamu kapacitāti; dokumentu un lietu plūsmu; nepieciešamo amata vietu skaitu atbilstoši funkciju apjomam, nevis pašreizējai struktūrai; darbinieku kvalifikāciju, kompetences un aizvietojamību; ietekmi uz pašvaldības budžetu; ietekmi uz pakalpojumu nepārtrauktību, kvalitāti un pieejamību; kā arī tiesiskos, organizatoriskos un personāla riskus. </w:t>
      </w:r>
      <w:proofErr w:type="spellStart"/>
      <w:r>
        <w:t>Izvērtējumā</w:t>
      </w:r>
      <w:proofErr w:type="spellEnd"/>
      <w:r>
        <w:t xml:space="preserve"> izmanto dokumentu analīzi, informācijas sistēmu datus, darbinieku un vadītāju intervijas un lietu paraugkopas analīzi apjomā, kas samērīgs izmaiņu ietekmei.</w:t>
      </w:r>
    </w:p>
    <w:p w14:paraId="5960DFDA" w14:textId="77777777" w:rsidR="00AE27F6" w:rsidRDefault="00511D5B">
      <w:pPr>
        <w:keepNext/>
        <w:tabs>
          <w:tab w:val="left" w:pos="567"/>
        </w:tabs>
        <w:spacing w:after="80"/>
        <w:ind w:left="567" w:hanging="567"/>
        <w:jc w:val="both"/>
      </w:pPr>
      <w:r>
        <w:t>6.</w:t>
      </w:r>
      <w:r>
        <w:tab/>
        <w:t>Uzdot izpilddirektoram:</w:t>
      </w:r>
    </w:p>
    <w:p w14:paraId="74789658" w14:textId="77777777" w:rsidR="00AE27F6" w:rsidRDefault="00511D5B">
      <w:pPr>
        <w:tabs>
          <w:tab w:val="left" w:pos="1276"/>
        </w:tabs>
        <w:spacing w:after="80"/>
        <w:ind w:left="1276" w:hanging="709"/>
        <w:jc w:val="both"/>
      </w:pPr>
      <w:r>
        <w:t>6.1.</w:t>
      </w:r>
      <w:r>
        <w:tab/>
        <w:t>līdz 2026. gada 14. oktobrim iesniegt Finanšu komitejas kārtējā oktobra sēdē saistošo noteikumu projektu par grozījumiem Pašvaldības nolikumā (tostarp tā 15. un 20. punktā, 31.4. apakšpunktā, 56. un 68. punktā) ar paskaidrojuma rakstu un pēc izskatīšanas komitejā publicēt to sabiedrības viedokļa noskaidrošanai Pašvaldību likuma 46. pantā noteiktajā kārtībā, paredzot saistošo noteikumu spēkā stāšanos 2027. gada 1. janvārī un nodrošinot to nosūtīšanu publicēšanai oficiālajā izdevumā “Latvijas Vēstnesis” nekavējoties pēc parakstīšanas;</w:t>
      </w:r>
    </w:p>
    <w:p w14:paraId="512C9A3D" w14:textId="70C8EFF6" w:rsidR="00AE27F6" w:rsidRDefault="00511D5B">
      <w:pPr>
        <w:tabs>
          <w:tab w:val="left" w:pos="1276"/>
        </w:tabs>
        <w:spacing w:after="80"/>
        <w:ind w:left="1276" w:hanging="709"/>
        <w:jc w:val="both"/>
      </w:pPr>
      <w:r>
        <w:t>6.2.</w:t>
      </w:r>
      <w:r>
        <w:tab/>
        <w:t xml:space="preserve">līdz 2026. gada </w:t>
      </w:r>
      <w:r w:rsidR="00BE0718">
        <w:t>15</w:t>
      </w:r>
      <w:r>
        <w:t>. decembrim iesniegt izskatīšanai šā lēmuma 3. punktā minētajā komiteju apvienotajā sēdē: Centrālās pārvaldes, Apvienotās iestādes, Ādažu novada kultūras centra un pašvaldības aģentūras “Carnikavas komunālserviss” nolikumu projektus, nodrošinot, ka iestāžu nolikumus izdod attiecīgo iestāžu vadītāji (Pašvaldības nolikuma 16. punkts); priekšlikumu par sporta objekta mantas nodošanu pašvaldības aģentūrai Pašvaldības nolikuma 58. punktā noteiktajā kārtībā; struktūrvienību reglamentu un amatu aprakstu projektus; amatu un mēnešalgu sarakstu projektus ar atlīdzības fonda aprēķinu, likvidējamo amata vietu skaitu, to likvidēšanas datumiem un samazinājuma sadalījumu starp vadības un speciālistu amatiem; Apvienotās iestādes vadītāja amata kandidātu vērtēšanas kritēriju projektu; kā arī reorganizācijas īstenošanas plānu;</w:t>
      </w:r>
    </w:p>
    <w:p w14:paraId="37260222" w14:textId="77777777" w:rsidR="00AE27F6" w:rsidRDefault="00511D5B">
      <w:pPr>
        <w:tabs>
          <w:tab w:val="left" w:pos="1276"/>
        </w:tabs>
        <w:spacing w:after="80"/>
        <w:ind w:left="1276" w:hanging="709"/>
        <w:jc w:val="both"/>
      </w:pPr>
      <w:r>
        <w:t>6.3.</w:t>
      </w:r>
      <w:r>
        <w:tab/>
        <w:t>nodrošināt Darba grupai tās uzdevumu izpildei nepieciešamo informāciju, datus, darbinieku iesaisti un tehnisko atbalstu;</w:t>
      </w:r>
    </w:p>
    <w:p w14:paraId="482CA260" w14:textId="77777777" w:rsidR="00AE27F6" w:rsidRDefault="00511D5B">
      <w:pPr>
        <w:tabs>
          <w:tab w:val="left" w:pos="1276"/>
        </w:tabs>
        <w:spacing w:after="80"/>
        <w:ind w:left="1276" w:hanging="709"/>
        <w:jc w:val="both"/>
      </w:pPr>
      <w:r>
        <w:t>6.4.</w:t>
      </w:r>
      <w:r>
        <w:tab/>
        <w:t>nodrošināt Apvienotās iestādes darbības pēctecību, tostarp saņemt Ekonomikas ministrijas viedokli par tās nolikuma atbilstību Būvniecības likumam un nodrošināt Būvniecības informācijas sistēmā uzsākto lietu un izdoto administratīvo aktu pēctecību;</w:t>
      </w:r>
    </w:p>
    <w:p w14:paraId="735E1669" w14:textId="77777777" w:rsidR="00AE27F6" w:rsidRDefault="00511D5B">
      <w:pPr>
        <w:tabs>
          <w:tab w:val="left" w:pos="1276"/>
        </w:tabs>
        <w:spacing w:after="80"/>
        <w:ind w:left="1276" w:hanging="709"/>
        <w:jc w:val="both"/>
      </w:pPr>
      <w:r>
        <w:t>6.5.</w:t>
      </w:r>
      <w:r>
        <w:tab/>
        <w:t>pašvaldības 2027. gada budžeta projektu sagatavot, ņemot vērā šā lēmuma 1. punktā noteikto struktūru un reorganizācijas finansiālo ietekmi; ja budžetu apstiprina pirms reorganizācijas dokumentu apstiprināšanas, sagatavot attiecīgus budžeta grozījumus;</w:t>
      </w:r>
    </w:p>
    <w:p w14:paraId="7B8EBCAB" w14:textId="77777777" w:rsidR="00AE27F6" w:rsidRDefault="00511D5B">
      <w:pPr>
        <w:tabs>
          <w:tab w:val="left" w:pos="1276"/>
        </w:tabs>
        <w:spacing w:after="80"/>
        <w:ind w:left="1276" w:hanging="709"/>
        <w:jc w:val="both"/>
      </w:pPr>
      <w:r>
        <w:t>6.6.</w:t>
      </w:r>
      <w:r>
        <w:tab/>
        <w:t>katrā domes kārtējā sēdē līdz reorganizācijas pabeigšanai informēt domi par lēmuma izpildes gaitu un nekavējoties rakstiski informēt domes priekšsēdētāju, ja kādu uzdevumu nav iespējams izpildīt noteiktajā termiņā;</w:t>
      </w:r>
    </w:p>
    <w:p w14:paraId="2DE8D625" w14:textId="77777777" w:rsidR="00AE27F6" w:rsidRDefault="00511D5B">
      <w:pPr>
        <w:tabs>
          <w:tab w:val="left" w:pos="1276"/>
        </w:tabs>
        <w:spacing w:after="120"/>
        <w:ind w:left="1276" w:hanging="709"/>
        <w:jc w:val="both"/>
      </w:pPr>
      <w:r>
        <w:t>6.7.</w:t>
      </w:r>
      <w:r>
        <w:tab/>
        <w:t xml:space="preserve">līdz 2027. gada janvāra kārtējai domes sēdei iesniegt domei priekšlikumu par darba grupas izveidi procesu automatizācijas un mākslīgā intelekta rīku ieviešanai pašvaldībā, nodrošinot cilvēka kontroli pār pieņemtajiem lēmumiem un personas </w:t>
      </w:r>
      <w:r>
        <w:lastRenderedPageBreak/>
        <w:t>datu aizsardzību, bet līdz 2027. gada 30. septembrim – pārskatu par reorganizācijas rezultātiem, salīdzinot tos ar Ziņojumā fiksēto sākumpunktu.</w:t>
      </w:r>
    </w:p>
    <w:p w14:paraId="586C242E" w14:textId="77777777" w:rsidR="00AE27F6" w:rsidRDefault="00511D5B">
      <w:pPr>
        <w:tabs>
          <w:tab w:val="left" w:pos="567"/>
        </w:tabs>
        <w:spacing w:after="120"/>
        <w:ind w:left="567" w:hanging="567"/>
        <w:jc w:val="both"/>
      </w:pPr>
      <w:r>
        <w:t>7.</w:t>
      </w:r>
      <w:r>
        <w:tab/>
        <w:t xml:space="preserve">Uzdot izpilddirektoram sadarbībā ar Darba grupu līdz domes 2026. gada oktobra kārtējai sēdei sagatavot un iesniegt domei apstiprināšanai Vērtēšanas komisijas sastāvu un darba kārtību. Vērtēšanas komisijas mērķis ir veikt darbinieku izvērtēšanu Darba likuma 108. pantā noteiktajā kārtībā un novērtēt Apvienotās iestādes un </w:t>
      </w:r>
      <w:proofErr w:type="spellStart"/>
      <w:r>
        <w:t>jaunizveidoto</w:t>
      </w:r>
      <w:proofErr w:type="spellEnd"/>
      <w:r>
        <w:t xml:space="preserve"> struktūrvienību vadītāju amata kandidātus. Komisijas sastāvā iekļauj domes deputātus, personāla vadības un juridiskās jomas pārstāvjus un vismaz vienu personu, kas nav pašvaldības administrācijas darbinieks; komisijas sastāvā neiekļauj amata kandidātus un darbiniekus, kuru amata vietas tiek likvidētas.</w:t>
      </w:r>
    </w:p>
    <w:p w14:paraId="47B4D147" w14:textId="77777777" w:rsidR="00AE27F6" w:rsidRDefault="00511D5B">
      <w:pPr>
        <w:tabs>
          <w:tab w:val="left" w:pos="567"/>
        </w:tabs>
        <w:spacing w:after="120"/>
        <w:ind w:left="567" w:hanging="567"/>
        <w:jc w:val="both"/>
      </w:pPr>
      <w:r>
        <w:t>8.</w:t>
      </w:r>
      <w:r>
        <w:tab/>
        <w:t>Noteikt, ka darbinieku izvērtēšanu veic, pamatojoties uz jaunajiem struktūrvienību reglamentiem un amatu aprakstiem, kas izdoti un apstiprināti Pašvaldības nolikumā noteiktajā kārtībā pēc tam, kad dome ir apstiprinājusi jauno struktūru un amatu un mēnešalgu sarakstus. Vērtēšanas komisija pirms izvērtēšanas nosaka salīdzināmo darbinieku loku, salīdzinot faktiskos darba pienākumus, nevis amatu nosaukumus, un vienotus vērtēšanas kritērijus, kas izriet no minētajiem reglamentiem un amatu aprakstiem, kā arī protokolē izvērtēšanas gaitu un rezultātus.</w:t>
      </w:r>
    </w:p>
    <w:p w14:paraId="7ECD5F17" w14:textId="77777777" w:rsidR="00AE27F6" w:rsidRDefault="00511D5B">
      <w:pPr>
        <w:tabs>
          <w:tab w:val="left" w:pos="567"/>
        </w:tabs>
        <w:spacing w:after="120"/>
        <w:ind w:left="567" w:hanging="567"/>
        <w:jc w:val="both"/>
      </w:pPr>
      <w:r>
        <w:t>9.</w:t>
      </w:r>
      <w:r>
        <w:tab/>
        <w:t xml:space="preserve">Noteikt, ka Apvienotās iestādes vadītāja amats ir </w:t>
      </w:r>
      <w:proofErr w:type="spellStart"/>
      <w:r>
        <w:t>jaunizveidots</w:t>
      </w:r>
      <w:proofErr w:type="spellEnd"/>
      <w:r>
        <w:t xml:space="preserve"> amats, kas nav uzskatāms par kāda līdzšinējā vadītāja amata turpinājumu, ko apliecina šā lēmuma 4.2. apakšpunktā minētais salīdzinājums. Amatu aizpilda atklātā konkursā Pašvaldības nolikuma 33. punktā noteiktajā kārtībā pēc domes apstiprinātiem kritērijiem; darbinieki, kuru amata vietas tiek likvidētas, konkursā piedalās ar vienādiem nosacījumiem. Konkursu izsludina ne vēlāk kā nākamajā darbdienā pēc reorganizācijas dokumentu apstiprināšanas domē un pabeidz tā, lai dome vadītāju ieceltu 2027. gada janvāra kārtējā sēdē. Vadītāju ieceļ amatā dome, pamatojoties uz Vērtēšanas komisijas vērtējumu, un izpilddirektors Pašvaldību likuma 22. panta pirmās daļas 4. punktā noteikto ierosinājumu sagatavo atbilstoši komisijas vērtējumam. Līdz jaunā vadītāja iecelšanai Apvienotās iestādes darbu vada Ādažu novada būvvaldes vadītājs, un šī amata vieta tiek likvidēta ar dienu, kad jaunais vadītājs stājas amatā.</w:t>
      </w:r>
    </w:p>
    <w:p w14:paraId="27C5EE71" w14:textId="77777777" w:rsidR="00AE27F6" w:rsidRDefault="00511D5B">
      <w:pPr>
        <w:tabs>
          <w:tab w:val="left" w:pos="567"/>
        </w:tabs>
        <w:spacing w:after="120"/>
        <w:ind w:left="567" w:hanging="567"/>
        <w:jc w:val="both"/>
      </w:pPr>
      <w:r>
        <w:t>10.</w:t>
      </w:r>
      <w:r>
        <w:tab/>
        <w:t>Noteikt, ka lēmumus par amata vietu likvidēšanu un darba līgumu uzteikšanu sakarā ar darbinieku skaita samazināšanu pieņem tikai pēc šā lēmuma 8. punktā minēto dokumentu apstiprināšanas un darbinieku izvērtēšanas, ievērojot Darba likuma prasības, tostarp par citu piemērotu amatu rakstisku piedāvāšanu, arodbiedrības piekrišanu, uzteikuma termiņiem un, ja piemērojams, kolektīvās atlaišanas kārtību. Līdz reorganizācijas pabeigšanai ārēju personāla atlasi vakantajos amatos nerīko, izņemot šā lēmuma 9. punktā minēto konkursu un gadījumus, kad atlase ir rakstiski pamatota ar pakalpojumu nepārtrauktību.</w:t>
      </w:r>
    </w:p>
    <w:p w14:paraId="6F592CE8" w14:textId="77777777" w:rsidR="00AE27F6" w:rsidRDefault="00511D5B">
      <w:pPr>
        <w:tabs>
          <w:tab w:val="left" w:pos="567"/>
        </w:tabs>
        <w:spacing w:after="240"/>
        <w:ind w:left="567" w:hanging="567"/>
        <w:jc w:val="both"/>
      </w:pPr>
      <w:r>
        <w:t>11.</w:t>
      </w:r>
      <w:r>
        <w:tab/>
        <w:t>Domes priekšsēdētājam veikt lēmuma izpildes kontroli.</w:t>
      </w:r>
    </w:p>
    <w:p w14:paraId="4B1CA18A" w14:textId="35F1EC13" w:rsidR="00AE27F6" w:rsidRDefault="00511D5B" w:rsidP="002B19AA">
      <w:pPr>
        <w:jc w:val="both"/>
      </w:pPr>
      <w:r>
        <w:t>Pielikumā: Darba grupas ziņojums – prezentācija “Centrālās pārvaldes izvērtēšana. Ko rāda dati</w:t>
      </w:r>
      <w:r w:rsidR="002B19AA">
        <w:t xml:space="preserve"> </w:t>
      </w:r>
      <w:r>
        <w:t>un ko piedāvājam” un pašvaldības administrācijas struktūras shēma.</w:t>
      </w:r>
    </w:p>
    <w:p w14:paraId="1914B524" w14:textId="77777777" w:rsidR="005B0B68" w:rsidRDefault="005B0B68" w:rsidP="005B0B68">
      <w:pPr>
        <w:jc w:val="both"/>
      </w:pPr>
    </w:p>
    <w:p w14:paraId="294CCA0C" w14:textId="77777777" w:rsidR="005B0B68" w:rsidRDefault="005B0B68" w:rsidP="005B0B68">
      <w:pPr>
        <w:jc w:val="both"/>
      </w:pPr>
    </w:p>
    <w:p w14:paraId="6FF32425" w14:textId="77777777" w:rsidR="005B0B68" w:rsidRDefault="005B0B68" w:rsidP="005B0B68">
      <w:pPr>
        <w:jc w:val="both"/>
      </w:pPr>
    </w:p>
    <w:p w14:paraId="04C5FBFA" w14:textId="77777777" w:rsidR="00874BA6" w:rsidRPr="00A8310F" w:rsidRDefault="00874BA6" w:rsidP="00874BA6">
      <w:pPr>
        <w:rPr>
          <w:noProof/>
        </w:rPr>
      </w:pPr>
      <w:r w:rsidRPr="00A8310F">
        <w:rPr>
          <w:noProof/>
        </w:rPr>
        <w:t>Pašvaldības domes priekšsēdētāja vietnieks</w:t>
      </w:r>
      <w:r w:rsidRPr="00A8310F">
        <w:rPr>
          <w:noProof/>
        </w:rPr>
        <w:tab/>
      </w:r>
      <w:r w:rsidRPr="00A8310F">
        <w:rPr>
          <w:noProof/>
        </w:rPr>
        <w:tab/>
      </w:r>
      <w:r w:rsidRPr="00A8310F">
        <w:rPr>
          <w:noProof/>
        </w:rPr>
        <w:tab/>
      </w:r>
      <w:r w:rsidRPr="00A8310F">
        <w:rPr>
          <w:noProof/>
        </w:rPr>
        <w:tab/>
      </w:r>
      <w:r w:rsidRPr="00A8310F">
        <w:rPr>
          <w:noProof/>
        </w:rPr>
        <w:tab/>
        <w:t>Ģ. Dubkēvičs</w:t>
      </w:r>
    </w:p>
    <w:p w14:paraId="3A605DC1" w14:textId="77777777" w:rsidR="00874BA6" w:rsidRPr="00A8310F" w:rsidRDefault="00874BA6" w:rsidP="00874BA6">
      <w:pPr>
        <w:rPr>
          <w:noProof/>
        </w:rPr>
      </w:pPr>
      <w:r w:rsidRPr="00A8310F">
        <w:rPr>
          <w:noProof/>
        </w:rPr>
        <w:t>attīstības jautājumos</w:t>
      </w:r>
      <w:r w:rsidRPr="00A8310F">
        <w:rPr>
          <w:noProof/>
        </w:rPr>
        <w:tab/>
      </w:r>
      <w:r w:rsidRPr="00A8310F">
        <w:rPr>
          <w:noProof/>
        </w:rPr>
        <w:tab/>
      </w:r>
      <w:r w:rsidRPr="00A8310F">
        <w:rPr>
          <w:noProof/>
        </w:rPr>
        <w:tab/>
      </w:r>
      <w:r w:rsidRPr="00A8310F">
        <w:rPr>
          <w:noProof/>
        </w:rPr>
        <w:tab/>
        <w:t xml:space="preserve"> </w:t>
      </w:r>
    </w:p>
    <w:p w14:paraId="1DF99297" w14:textId="77777777" w:rsidR="00874BA6" w:rsidRPr="00A8310F" w:rsidRDefault="00874BA6" w:rsidP="00874BA6">
      <w:pPr>
        <w:rPr>
          <w:noProof/>
        </w:rPr>
      </w:pPr>
    </w:p>
    <w:p w14:paraId="0A796202" w14:textId="77777777" w:rsidR="00874BA6" w:rsidRPr="00B550D1" w:rsidRDefault="00874BA6" w:rsidP="00874BA6">
      <w:pPr>
        <w:jc w:val="center"/>
      </w:pPr>
      <w:r w:rsidRPr="00A8310F">
        <w:t>ŠIS DOKUMENTS IR ELEKTRONISKI PARAKSTĪTS AR DROŠU ELEKTRONISKO PARAKSTU UN SATUR LAIKA ZĪMOGU</w:t>
      </w:r>
    </w:p>
    <w:p w14:paraId="2A742522" w14:textId="2BA219D6" w:rsidR="00AE27F6" w:rsidRDefault="00AE27F6" w:rsidP="00874BA6">
      <w:pPr>
        <w:keepNext/>
        <w:tabs>
          <w:tab w:val="right" w:pos="9354"/>
        </w:tabs>
        <w:spacing w:after="360"/>
      </w:pPr>
    </w:p>
    <w:sectPr w:rsidR="00AE27F6">
      <w:headerReference w:type="default" r:id="rId8"/>
      <w:footerReference w:type="default" r:id="rId9"/>
      <w:headerReference w:type="first" r:id="rId10"/>
      <w:footerReference w:type="first" r:id="rId11"/>
      <w:pgSz w:w="11906" w:h="16838"/>
      <w:pgMar w:top="1134" w:right="851" w:bottom="1134" w:left="1701"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0D382" w14:textId="77777777" w:rsidR="00170C8A" w:rsidRDefault="00170C8A">
      <w:r>
        <w:separator/>
      </w:r>
    </w:p>
  </w:endnote>
  <w:endnote w:type="continuationSeparator" w:id="0">
    <w:p w14:paraId="63E66B66" w14:textId="77777777" w:rsidR="00170C8A" w:rsidRDefault="00170C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B8545" w14:textId="77777777" w:rsidR="00AE27F6" w:rsidRDefault="00AE27F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4E985" w14:textId="77777777" w:rsidR="00AE27F6" w:rsidRDefault="00AE27F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F898E" w14:textId="77777777" w:rsidR="00170C8A" w:rsidRDefault="00170C8A">
      <w:r>
        <w:separator/>
      </w:r>
    </w:p>
  </w:footnote>
  <w:footnote w:type="continuationSeparator" w:id="0">
    <w:p w14:paraId="4B4ABF9D" w14:textId="77777777" w:rsidR="00170C8A" w:rsidRDefault="00170C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CB48A" w14:textId="77777777" w:rsidR="00AE27F6" w:rsidRDefault="00511D5B">
    <w:pPr>
      <w:jc w:val="center"/>
    </w:pPr>
    <w:r>
      <w:rPr>
        <w:sz w:val="20"/>
        <w:szCs w:val="20"/>
      </w:rPr>
      <w:fldChar w:fldCharType="begin"/>
    </w:r>
    <w:r>
      <w:rPr>
        <w:sz w:val="20"/>
        <w:szCs w:val="20"/>
      </w:rPr>
      <w:instrText>PAGE</w:instrText>
    </w:r>
    <w:r>
      <w:rPr>
        <w:sz w:val="20"/>
        <w:szCs w:val="20"/>
      </w:rPr>
      <w:fldChar w:fldCharType="separate"/>
    </w:r>
    <w:r w:rsidR="00BE0718">
      <w:rPr>
        <w:noProof/>
        <w:sz w:val="20"/>
        <w:szCs w:val="20"/>
      </w:rPr>
      <w:t>2</w:t>
    </w:r>
    <w:r>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B58F9" w14:textId="77777777" w:rsidR="00AE27F6" w:rsidRDefault="00AE27F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B69AB"/>
    <w:multiLevelType w:val="hybridMultilevel"/>
    <w:tmpl w:val="4ADC694C"/>
    <w:lvl w:ilvl="0" w:tplc="EB665D6E">
      <w:start w:val="1"/>
      <w:numFmt w:val="bullet"/>
      <w:lvlText w:val="●"/>
      <w:lvlJc w:val="left"/>
      <w:pPr>
        <w:ind w:left="720" w:hanging="360"/>
      </w:pPr>
    </w:lvl>
    <w:lvl w:ilvl="1" w:tplc="AF584594">
      <w:start w:val="1"/>
      <w:numFmt w:val="bullet"/>
      <w:lvlText w:val="○"/>
      <w:lvlJc w:val="left"/>
      <w:pPr>
        <w:ind w:left="1440" w:hanging="360"/>
      </w:pPr>
    </w:lvl>
    <w:lvl w:ilvl="2" w:tplc="B0C88F5C">
      <w:start w:val="1"/>
      <w:numFmt w:val="bullet"/>
      <w:lvlText w:val="■"/>
      <w:lvlJc w:val="left"/>
      <w:pPr>
        <w:ind w:left="2160" w:hanging="360"/>
      </w:pPr>
    </w:lvl>
    <w:lvl w:ilvl="3" w:tplc="5F968160">
      <w:start w:val="1"/>
      <w:numFmt w:val="bullet"/>
      <w:lvlText w:val="●"/>
      <w:lvlJc w:val="left"/>
      <w:pPr>
        <w:ind w:left="2880" w:hanging="360"/>
      </w:pPr>
    </w:lvl>
    <w:lvl w:ilvl="4" w:tplc="AD18E07A">
      <w:start w:val="1"/>
      <w:numFmt w:val="bullet"/>
      <w:lvlText w:val="○"/>
      <w:lvlJc w:val="left"/>
      <w:pPr>
        <w:ind w:left="3600" w:hanging="360"/>
      </w:pPr>
    </w:lvl>
    <w:lvl w:ilvl="5" w:tplc="26A4A6A6">
      <w:start w:val="1"/>
      <w:numFmt w:val="bullet"/>
      <w:lvlText w:val="■"/>
      <w:lvlJc w:val="left"/>
      <w:pPr>
        <w:ind w:left="4320" w:hanging="360"/>
      </w:pPr>
    </w:lvl>
    <w:lvl w:ilvl="6" w:tplc="D1C613BC">
      <w:start w:val="1"/>
      <w:numFmt w:val="bullet"/>
      <w:lvlText w:val="●"/>
      <w:lvlJc w:val="left"/>
      <w:pPr>
        <w:ind w:left="5040" w:hanging="360"/>
      </w:pPr>
    </w:lvl>
    <w:lvl w:ilvl="7" w:tplc="5B568C92">
      <w:start w:val="1"/>
      <w:numFmt w:val="bullet"/>
      <w:lvlText w:val="●"/>
      <w:lvlJc w:val="left"/>
      <w:pPr>
        <w:ind w:left="5760" w:hanging="360"/>
      </w:pPr>
    </w:lvl>
    <w:lvl w:ilvl="8" w:tplc="2102CF62">
      <w:start w:val="1"/>
      <w:numFmt w:val="bullet"/>
      <w:lvlText w:val="●"/>
      <w:lvlJc w:val="left"/>
      <w:pPr>
        <w:ind w:left="6480" w:hanging="360"/>
      </w:pPr>
    </w:lvl>
  </w:abstractNum>
  <w:num w:numId="1" w16cid:durableId="67438588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27F6"/>
    <w:rsid w:val="00105E99"/>
    <w:rsid w:val="00170C8A"/>
    <w:rsid w:val="002624B6"/>
    <w:rsid w:val="002B19AA"/>
    <w:rsid w:val="002D0DAF"/>
    <w:rsid w:val="003D30CC"/>
    <w:rsid w:val="00511D5B"/>
    <w:rsid w:val="00584869"/>
    <w:rsid w:val="005B0B68"/>
    <w:rsid w:val="00874BA6"/>
    <w:rsid w:val="00986398"/>
    <w:rsid w:val="00A6503C"/>
    <w:rsid w:val="00AC2D29"/>
    <w:rsid w:val="00AE27F6"/>
    <w:rsid w:val="00BE0718"/>
    <w:rsid w:val="00BE0EE3"/>
    <w:rsid w:val="00F2120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031EB"/>
  <w15:docId w15:val="{89141339-2C97-45D4-AB75-5620341BB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uiPriority w:val="9"/>
    <w:qFormat/>
    <w:pPr>
      <w:outlineLvl w:val="0"/>
    </w:pPr>
    <w:rPr>
      <w:color w:val="2E74B5"/>
      <w:sz w:val="32"/>
      <w:szCs w:val="32"/>
    </w:rPr>
  </w:style>
  <w:style w:type="paragraph" w:styleId="Virsraksts2">
    <w:name w:val="heading 2"/>
    <w:uiPriority w:val="9"/>
    <w:semiHidden/>
    <w:unhideWhenUsed/>
    <w:qFormat/>
    <w:pPr>
      <w:outlineLvl w:val="1"/>
    </w:pPr>
    <w:rPr>
      <w:color w:val="2E74B5"/>
      <w:sz w:val="26"/>
      <w:szCs w:val="26"/>
    </w:rPr>
  </w:style>
  <w:style w:type="paragraph" w:styleId="Virsraksts3">
    <w:name w:val="heading 3"/>
    <w:uiPriority w:val="9"/>
    <w:semiHidden/>
    <w:unhideWhenUsed/>
    <w:qFormat/>
    <w:pPr>
      <w:outlineLvl w:val="2"/>
    </w:pPr>
    <w:rPr>
      <w:color w:val="1F4D78"/>
    </w:rPr>
  </w:style>
  <w:style w:type="paragraph" w:styleId="Virsraksts4">
    <w:name w:val="heading 4"/>
    <w:uiPriority w:val="9"/>
    <w:semiHidden/>
    <w:unhideWhenUsed/>
    <w:qFormat/>
    <w:pPr>
      <w:outlineLvl w:val="3"/>
    </w:pPr>
    <w:rPr>
      <w:i/>
      <w:iCs/>
      <w:color w:val="2E74B5"/>
    </w:rPr>
  </w:style>
  <w:style w:type="paragraph" w:styleId="Virsraksts5">
    <w:name w:val="heading 5"/>
    <w:uiPriority w:val="9"/>
    <w:semiHidden/>
    <w:unhideWhenUsed/>
    <w:qFormat/>
    <w:pPr>
      <w:outlineLvl w:val="4"/>
    </w:pPr>
    <w:rPr>
      <w:color w:val="2E74B5"/>
    </w:rPr>
  </w:style>
  <w:style w:type="paragraph" w:styleId="Virsraksts6">
    <w:name w:val="heading 6"/>
    <w:uiPriority w:val="9"/>
    <w:semiHidden/>
    <w:unhideWhenUsed/>
    <w:qFormat/>
    <w:pPr>
      <w:outlineLvl w:val="5"/>
    </w:pPr>
    <w:rPr>
      <w:color w:val="1F4D7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Nosaukums">
    <w:name w:val="Title"/>
    <w:uiPriority w:val="10"/>
    <w:qFormat/>
    <w:rPr>
      <w:sz w:val="56"/>
      <w:szCs w:val="56"/>
    </w:rPr>
  </w:style>
  <w:style w:type="paragraph" w:customStyle="1" w:styleId="Strong1">
    <w:name w:val="Strong1"/>
    <w:qFormat/>
    <w:rPr>
      <w:b/>
      <w:bCs/>
    </w:rPr>
  </w:style>
  <w:style w:type="paragraph" w:styleId="Sarakstarindkopa">
    <w:name w:val="List Paragraph"/>
    <w:qFormat/>
  </w:style>
  <w:style w:type="character" w:styleId="Hipersaite">
    <w:name w:val="Hyperlink"/>
    <w:uiPriority w:val="99"/>
    <w:unhideWhenUsed/>
    <w:rPr>
      <w:color w:val="0563C1"/>
      <w:u w:val="single"/>
    </w:rPr>
  </w:style>
  <w:style w:type="character" w:styleId="Vresatsauce">
    <w:name w:val="footnote reference"/>
    <w:uiPriority w:val="99"/>
    <w:semiHidden/>
    <w:unhideWhenUsed/>
    <w:rPr>
      <w:vertAlign w:val="superscript"/>
    </w:rPr>
  </w:style>
  <w:style w:type="paragraph" w:styleId="Vresteksts">
    <w:name w:val="footnote text"/>
    <w:link w:val="VrestekstsRakstz"/>
    <w:uiPriority w:val="99"/>
    <w:semiHidden/>
    <w:unhideWhenUsed/>
    <w:rPr>
      <w:sz w:val="20"/>
      <w:szCs w:val="20"/>
    </w:rPr>
  </w:style>
  <w:style w:type="character" w:customStyle="1" w:styleId="VrestekstsRakstz">
    <w:name w:val="Vēres teksts Rakstz."/>
    <w:link w:val="Vresteksts"/>
    <w:uiPriority w:val="99"/>
    <w:semiHidden/>
    <w:unhideWhenUsed/>
    <w:rPr>
      <w:sz w:val="20"/>
      <w:szCs w:val="20"/>
    </w:rPr>
  </w:style>
  <w:style w:type="character" w:styleId="Beiguvresatsauce">
    <w:name w:val="endnote reference"/>
    <w:uiPriority w:val="99"/>
    <w:semiHidden/>
    <w:unhideWhenUsed/>
    <w:rPr>
      <w:vertAlign w:val="superscript"/>
    </w:rPr>
  </w:style>
  <w:style w:type="paragraph" w:styleId="Beiguvresteksts">
    <w:name w:val="endnote text"/>
    <w:link w:val="BeiguvrestekstsRakstz"/>
    <w:uiPriority w:val="99"/>
    <w:semiHidden/>
    <w:unhideWhenUsed/>
    <w:rPr>
      <w:sz w:val="20"/>
      <w:szCs w:val="20"/>
    </w:rPr>
  </w:style>
  <w:style w:type="character" w:customStyle="1" w:styleId="BeiguvrestekstsRakstz">
    <w:name w:val="Beigu vēres teksts Rakstz."/>
    <w:link w:val="Beiguvresteksts"/>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8432</Words>
  <Characters>4807</Characters>
  <Application>Microsoft Office Word</Application>
  <DocSecurity>0</DocSecurity>
  <Lines>40</Lines>
  <Paragraphs>26</Paragraphs>
  <ScaleCrop>false</ScaleCrop>
  <HeadingPairs>
    <vt:vector size="2" baseType="variant">
      <vt:variant>
        <vt:lpstr>Title</vt:lpstr>
      </vt:variant>
      <vt:variant>
        <vt:i4>1</vt:i4>
      </vt:variant>
    </vt:vector>
  </HeadingPairs>
  <TitlesOfParts>
    <vt:vector size="1" baseType="lpstr">
      <vt:lpstr>Par Centrālās pārvaldes izvērtēšanas darba grupas ziņojumu un pašvaldības administrācijas reorganizāciju</vt:lpstr>
    </vt:vector>
  </TitlesOfParts>
  <Company/>
  <LinksUpToDate>false</LinksUpToDate>
  <CharactersWithSpaces>13213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Centrālās pārvaldes izvērtēšanas darba grupas ziņojumu un pašvaldības administrācijas reorganizāciju</dc:title>
  <dc:creator>Ādažu novada pašvaldība</dc:creator>
  <cp:lastModifiedBy>Sintija Tenisa</cp:lastModifiedBy>
  <cp:revision>8</cp:revision>
  <dcterms:created xsi:type="dcterms:W3CDTF">2026-10-02T08:48:00Z</dcterms:created>
  <dcterms:modified xsi:type="dcterms:W3CDTF">2026-10-02T09:00:00Z</dcterms:modified>
</cp:coreProperties>
</file>