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173E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173E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173E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173E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929642B" w:rsidR="00564CA6" w:rsidRPr="00564CA6" w:rsidRDefault="00C173EC" w:rsidP="00564CA6">
      <w:pPr>
        <w:rPr>
          <w:rFonts w:ascii="Times New Roman" w:hAnsi="Times New Roman" w:cs="Times New Roman"/>
        </w:rPr>
      </w:pPr>
      <w:r w:rsidRPr="00166CED">
        <w:rPr>
          <w:rFonts w:ascii="Times New Roman" w:hAnsi="Times New Roman" w:cs="Times New Roman"/>
        </w:rPr>
        <w:t>202</w:t>
      </w:r>
      <w:r w:rsidR="00F40FB5" w:rsidRPr="00166CED">
        <w:rPr>
          <w:rFonts w:ascii="Times New Roman" w:hAnsi="Times New Roman" w:cs="Times New Roman"/>
        </w:rPr>
        <w:t>6</w:t>
      </w:r>
      <w:r w:rsidRPr="00166CED">
        <w:rPr>
          <w:rFonts w:ascii="Times New Roman" w:hAnsi="Times New Roman" w:cs="Times New Roman"/>
        </w:rPr>
        <w:t xml:space="preserve">. gada </w:t>
      </w:r>
      <w:r w:rsidR="00F40FB5" w:rsidRPr="00166CED">
        <w:rPr>
          <w:rFonts w:ascii="Times New Roman" w:hAnsi="Times New Roman" w:cs="Times New Roman"/>
        </w:rPr>
        <w:t>25</w:t>
      </w:r>
      <w:r w:rsidRPr="00166CED">
        <w:rPr>
          <w:rFonts w:ascii="Times New Roman" w:hAnsi="Times New Roman" w:cs="Times New Roman"/>
        </w:rPr>
        <w:t xml:space="preserve">. </w:t>
      </w:r>
      <w:r w:rsidR="00F40FB5" w:rsidRPr="00166CED">
        <w:rPr>
          <w:rFonts w:ascii="Times New Roman" w:hAnsi="Times New Roman" w:cs="Times New Roman"/>
        </w:rPr>
        <w:t>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F2237A">
        <w:rPr>
          <w:rFonts w:ascii="Times New Roman" w:hAnsi="Times New Roman" w:cs="Times New Roman"/>
        </w:rPr>
        <w:tab/>
      </w:r>
      <w:r w:rsidR="00F2237A">
        <w:rPr>
          <w:rFonts w:ascii="Times New Roman" w:hAnsi="Times New Roman" w:cs="Times New Roman"/>
        </w:rPr>
        <w:tab/>
      </w:r>
      <w:r w:rsidR="00F2237A">
        <w:rPr>
          <w:rFonts w:ascii="Times New Roman" w:hAnsi="Times New Roman" w:cs="Times New Roman"/>
        </w:rPr>
        <w:tab/>
      </w:r>
      <w:r w:rsidR="00F2237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F2237A" w:rsidRPr="00F2237A">
        <w:rPr>
          <w:rFonts w:ascii="Times New Roman" w:hAnsi="Times New Roman" w:cs="Times New Roman"/>
          <w:b/>
          <w:bCs/>
          <w:noProof/>
        </w:rPr>
        <w:t xml:space="preserve"> </w:t>
      </w:r>
      <w:r w:rsidRPr="00F2237A">
        <w:rPr>
          <w:rFonts w:ascii="Times New Roman" w:hAnsi="Times New Roman" w:cs="Times New Roman"/>
          <w:b/>
          <w:bCs/>
          <w:noProof/>
        </w:rPr>
        <w:t>218</w:t>
      </w:r>
    </w:p>
    <w:p w14:paraId="56AA4385" w14:textId="77777777" w:rsidR="00564CA6" w:rsidRPr="00564CA6" w:rsidRDefault="00564CA6" w:rsidP="00564CA6">
      <w:pPr>
        <w:rPr>
          <w:rFonts w:ascii="Times New Roman" w:hAnsi="Times New Roman" w:cs="Times New Roman"/>
          <w:b/>
        </w:rPr>
      </w:pPr>
    </w:p>
    <w:p w14:paraId="5D850634" w14:textId="4A48E005" w:rsidR="00F40FB5" w:rsidRPr="00B0377D" w:rsidRDefault="00C173EC" w:rsidP="00F40FB5">
      <w:pPr>
        <w:jc w:val="center"/>
        <w:rPr>
          <w:rFonts w:ascii="Times New Roman" w:hAnsi="Times New Roman" w:cs="Times New Roman"/>
          <w:b/>
          <w:bCs/>
        </w:rPr>
      </w:pPr>
      <w:r w:rsidRPr="00564CA6">
        <w:rPr>
          <w:rFonts w:ascii="Times New Roman" w:hAnsi="Times New Roman" w:cs="Times New Roman"/>
          <w:b/>
        </w:rPr>
        <w:t xml:space="preserve">Par </w:t>
      </w:r>
      <w:proofErr w:type="spellStart"/>
      <w:r w:rsidRPr="00B0377D">
        <w:rPr>
          <w:rFonts w:ascii="Times New Roman" w:hAnsi="Times New Roman" w:cs="Times New Roman"/>
          <w:b/>
          <w:bCs/>
        </w:rPr>
        <w:t>lokālplānojuma</w:t>
      </w:r>
      <w:proofErr w:type="spellEnd"/>
      <w:r w:rsidRPr="00B0377D">
        <w:rPr>
          <w:rFonts w:ascii="Times New Roman" w:hAnsi="Times New Roman" w:cs="Times New Roman"/>
          <w:b/>
          <w:bCs/>
        </w:rPr>
        <w:t xml:space="preserve"> </w:t>
      </w:r>
      <w:r>
        <w:rPr>
          <w:rFonts w:ascii="Times New Roman" w:hAnsi="Times New Roman" w:cs="Times New Roman"/>
          <w:b/>
          <w:bCs/>
        </w:rPr>
        <w:t xml:space="preserve">nekustamo </w:t>
      </w:r>
      <w:r w:rsidRPr="00B0377D">
        <w:rPr>
          <w:rFonts w:ascii="Times New Roman" w:hAnsi="Times New Roman" w:cs="Times New Roman"/>
          <w:b/>
          <w:bCs/>
        </w:rPr>
        <w:t>īpašum</w:t>
      </w:r>
      <w:r>
        <w:rPr>
          <w:rFonts w:ascii="Times New Roman" w:hAnsi="Times New Roman" w:cs="Times New Roman"/>
          <w:b/>
          <w:bCs/>
        </w:rPr>
        <w:t>u</w:t>
      </w:r>
      <w:r w:rsidRPr="00B0377D">
        <w:rPr>
          <w:rFonts w:ascii="Times New Roman" w:hAnsi="Times New Roman" w:cs="Times New Roman"/>
          <w:b/>
          <w:bCs/>
        </w:rPr>
        <w:t xml:space="preserve"> “Efejas” un “Pumpuriņi”, Garkalnē, īstenošanas kārtīb</w:t>
      </w:r>
      <w:r>
        <w:rPr>
          <w:rFonts w:ascii="Times New Roman" w:hAnsi="Times New Roman" w:cs="Times New Roman"/>
          <w:b/>
          <w:bCs/>
        </w:rPr>
        <w:t>u</w:t>
      </w:r>
    </w:p>
    <w:p w14:paraId="001C96E2" w14:textId="534BDBA5" w:rsidR="00564CA6" w:rsidRPr="00564CA6" w:rsidRDefault="00564CA6" w:rsidP="00F40FB5">
      <w:pPr>
        <w:jc w:val="center"/>
        <w:rPr>
          <w:rFonts w:ascii="Times New Roman" w:hAnsi="Times New Roman" w:cs="Times New Roman"/>
          <w:b/>
          <w:i/>
          <w:color w:val="FF0000"/>
        </w:rPr>
      </w:pPr>
    </w:p>
    <w:p w14:paraId="51A8C06E" w14:textId="674DC723" w:rsidR="00F40FB5" w:rsidRDefault="00C173EC" w:rsidP="00F40FB5">
      <w:pPr>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e izskatīja</w:t>
      </w:r>
      <w:r>
        <w:rPr>
          <w:rFonts w:ascii="Times New Roman" w:hAnsi="Times New Roman" w:cs="Times New Roman"/>
        </w:rPr>
        <w:t xml:space="preserve"> S</w:t>
      </w:r>
      <w:r w:rsidRPr="00FF3C83">
        <w:rPr>
          <w:rFonts w:ascii="Times New Roman" w:hAnsi="Times New Roman" w:cs="Times New Roman"/>
        </w:rPr>
        <w:t xml:space="preserve">IA </w:t>
      </w:r>
      <w:r>
        <w:rPr>
          <w:rFonts w:ascii="Times New Roman" w:hAnsi="Times New Roman" w:cs="Times New Roman"/>
        </w:rPr>
        <w:t>“</w:t>
      </w:r>
      <w:proofErr w:type="spellStart"/>
      <w:r w:rsidRPr="00FF3C83">
        <w:rPr>
          <w:rFonts w:ascii="Times New Roman" w:hAnsi="Times New Roman" w:cs="Times New Roman"/>
        </w:rPr>
        <w:t>Esinvest</w:t>
      </w:r>
      <w:proofErr w:type="spellEnd"/>
      <w:r>
        <w:rPr>
          <w:rFonts w:ascii="Times New Roman" w:hAnsi="Times New Roman" w:cs="Times New Roman"/>
        </w:rPr>
        <w:t>” (reģistrācijas Nr.</w:t>
      </w:r>
      <w:r w:rsidRPr="00E92E2C">
        <w:rPr>
          <w:rFonts w:ascii="Times New Roman" w:hAnsi="Times New Roman" w:cs="Times New Roman"/>
        </w:rPr>
        <w:t> </w:t>
      </w:r>
      <w:r w:rsidRPr="00E33EA7">
        <w:rPr>
          <w:rFonts w:ascii="Times New Roman" w:hAnsi="Times New Roman" w:cs="Times New Roman"/>
        </w:rPr>
        <w:t>40103998964</w:t>
      </w:r>
      <w:r>
        <w:rPr>
          <w:rFonts w:ascii="Times New Roman" w:hAnsi="Times New Roman" w:cs="Times New Roman"/>
        </w:rPr>
        <w:t xml:space="preserve">, juridiskā adrese: </w:t>
      </w:r>
      <w:proofErr w:type="spellStart"/>
      <w:r w:rsidRPr="00E63B99">
        <w:rPr>
          <w:rFonts w:ascii="Times New Roman" w:hAnsi="Times New Roman" w:cs="Times New Roman"/>
        </w:rPr>
        <w:t>Krastupes</w:t>
      </w:r>
      <w:proofErr w:type="spellEnd"/>
      <w:r w:rsidRPr="00E63B99">
        <w:rPr>
          <w:rFonts w:ascii="Times New Roman" w:hAnsi="Times New Roman" w:cs="Times New Roman"/>
        </w:rPr>
        <w:t xml:space="preserve"> iela 2, Ādaži, Ādažu nov., LV-2164</w:t>
      </w:r>
      <w:r>
        <w:rPr>
          <w:rFonts w:ascii="Times New Roman" w:hAnsi="Times New Roman" w:cs="Times New Roman"/>
        </w:rPr>
        <w:t xml:space="preserve"> ) un SIA</w:t>
      </w:r>
      <w:r w:rsidRPr="00FF3C83">
        <w:rPr>
          <w:rFonts w:ascii="Times New Roman" w:hAnsi="Times New Roman" w:cs="Times New Roman"/>
        </w:rPr>
        <w:t xml:space="preserve"> </w:t>
      </w:r>
      <w:r>
        <w:rPr>
          <w:rFonts w:ascii="Times New Roman" w:hAnsi="Times New Roman" w:cs="Times New Roman"/>
        </w:rPr>
        <w:t>“</w:t>
      </w:r>
      <w:r w:rsidRPr="00FF3C83">
        <w:rPr>
          <w:rFonts w:ascii="Times New Roman" w:hAnsi="Times New Roman" w:cs="Times New Roman"/>
        </w:rPr>
        <w:t>HEDERRA</w:t>
      </w:r>
      <w:r>
        <w:rPr>
          <w:rFonts w:ascii="Times New Roman" w:hAnsi="Times New Roman" w:cs="Times New Roman"/>
        </w:rPr>
        <w:t>” (reģistrācijas Nr.</w:t>
      </w:r>
      <w:r w:rsidRPr="00E92E2C">
        <w:rPr>
          <w:rFonts w:ascii="Times New Roman" w:hAnsi="Times New Roman" w:cs="Times New Roman"/>
        </w:rPr>
        <w:t> </w:t>
      </w:r>
      <w:r w:rsidRPr="00E80D3B">
        <w:rPr>
          <w:rFonts w:ascii="Times New Roman" w:hAnsi="Times New Roman" w:cs="Times New Roman"/>
        </w:rPr>
        <w:t>40203662797</w:t>
      </w:r>
      <w:r>
        <w:rPr>
          <w:rFonts w:ascii="Times New Roman" w:hAnsi="Times New Roman" w:cs="Times New Roman"/>
        </w:rPr>
        <w:t xml:space="preserve">, juridiskā adrese: </w:t>
      </w:r>
      <w:proofErr w:type="spellStart"/>
      <w:r w:rsidRPr="00E63B99">
        <w:rPr>
          <w:rFonts w:ascii="Times New Roman" w:hAnsi="Times New Roman" w:cs="Times New Roman"/>
        </w:rPr>
        <w:t>Krastupes</w:t>
      </w:r>
      <w:proofErr w:type="spellEnd"/>
      <w:r w:rsidRPr="00E63B99">
        <w:rPr>
          <w:rFonts w:ascii="Times New Roman" w:hAnsi="Times New Roman" w:cs="Times New Roman"/>
        </w:rPr>
        <w:t xml:space="preserve"> iela 2, Ādaži, Ādažu nov., LV-2164</w:t>
      </w:r>
      <w:r>
        <w:rPr>
          <w:rFonts w:ascii="Times New Roman" w:hAnsi="Times New Roman" w:cs="Times New Roman"/>
        </w:rPr>
        <w:t xml:space="preserve">) (turpmāk - abi kopā turpmāk saukti “Attīstītājs”) </w:t>
      </w:r>
      <w:r w:rsidRPr="00FF3C83">
        <w:rPr>
          <w:rFonts w:ascii="Times New Roman" w:hAnsi="Times New Roman" w:cs="Times New Roman"/>
        </w:rPr>
        <w:t>09.04.2026</w:t>
      </w:r>
      <w:r>
        <w:rPr>
          <w:rFonts w:ascii="Times New Roman" w:hAnsi="Times New Roman" w:cs="Times New Roman"/>
        </w:rPr>
        <w:t>. iesniegumu (</w:t>
      </w:r>
      <w:r w:rsidRPr="00E92E2C">
        <w:rPr>
          <w:rFonts w:ascii="Times New Roman" w:hAnsi="Times New Roman" w:cs="Times New Roman"/>
        </w:rPr>
        <w:t xml:space="preserve">reģistrēts </w:t>
      </w:r>
      <w:r w:rsidRPr="00FF3C83">
        <w:rPr>
          <w:rFonts w:ascii="Times New Roman" w:hAnsi="Times New Roman" w:cs="Times New Roman"/>
        </w:rPr>
        <w:t>09.04.2026</w:t>
      </w:r>
      <w:r w:rsidRPr="00E92E2C">
        <w:rPr>
          <w:rFonts w:ascii="Times New Roman" w:hAnsi="Times New Roman" w:cs="Times New Roman"/>
        </w:rPr>
        <w:t>. ar Nr. </w:t>
      </w:r>
      <w:r w:rsidRPr="00FF3C83">
        <w:rPr>
          <w:rFonts w:ascii="Times New Roman" w:hAnsi="Times New Roman" w:cs="Times New Roman"/>
        </w:rPr>
        <w:t>ĀNP/1-11-1/26/2144</w:t>
      </w:r>
      <w:r>
        <w:rPr>
          <w:rFonts w:ascii="Times New Roman" w:hAnsi="Times New Roman" w:cs="Times New Roman"/>
        </w:rPr>
        <w:t xml:space="preserve">) ar priekšlikumiem spēkā esošā </w:t>
      </w:r>
      <w:proofErr w:type="spellStart"/>
      <w:r w:rsidRPr="00FF3C83">
        <w:rPr>
          <w:rFonts w:ascii="Times New Roman" w:hAnsi="Times New Roman" w:cs="Times New Roman"/>
        </w:rPr>
        <w:t>lokālplānojuma</w:t>
      </w:r>
      <w:proofErr w:type="spellEnd"/>
      <w:r w:rsidRPr="00FF3C83">
        <w:rPr>
          <w:rFonts w:ascii="Times New Roman" w:hAnsi="Times New Roman" w:cs="Times New Roman"/>
        </w:rPr>
        <w:t xml:space="preserve"> nekustamajiem īpašumiem “Efejas” un “Pumpuriņi”, Garkalnē, Ādažu novad</w:t>
      </w:r>
      <w:r>
        <w:rPr>
          <w:rFonts w:ascii="Times New Roman" w:hAnsi="Times New Roman" w:cs="Times New Roman"/>
        </w:rPr>
        <w:t>ā</w:t>
      </w:r>
      <w:r w:rsidRPr="00FF3C83">
        <w:rPr>
          <w:rFonts w:ascii="Times New Roman" w:hAnsi="Times New Roman" w:cs="Times New Roman"/>
        </w:rPr>
        <w:t xml:space="preserve"> </w:t>
      </w:r>
      <w:r>
        <w:rPr>
          <w:rFonts w:ascii="Times New Roman" w:hAnsi="Times New Roman" w:cs="Times New Roman"/>
        </w:rPr>
        <w:t xml:space="preserve">īstenošanas kārtībai. Iesniegumā norādīts, </w:t>
      </w:r>
      <w:r w:rsidRPr="008C23FE">
        <w:rPr>
          <w:rFonts w:ascii="Times New Roman" w:hAnsi="Times New Roman" w:cs="Times New Roman"/>
        </w:rPr>
        <w:t xml:space="preserve">ka īpašumam uz 07.04.2026. ir izsniegta būvatļauja minimālajā sastāvā un izstrādāts pilnais būvprojekts, atbilstoši </w:t>
      </w:r>
      <w:r>
        <w:rPr>
          <w:rFonts w:ascii="Times New Roman" w:hAnsi="Times New Roman" w:cs="Times New Roman"/>
        </w:rPr>
        <w:t xml:space="preserve">tehnisko noteikumu </w:t>
      </w:r>
      <w:r w:rsidRPr="008C23FE">
        <w:rPr>
          <w:rFonts w:ascii="Times New Roman" w:hAnsi="Times New Roman" w:cs="Times New Roman"/>
        </w:rPr>
        <w:t>prasībām un valsts instanču norādījumiem, kā arī ir saņemti 90% no saskaņojumiem, līdz ar to  ierosina tālāk</w:t>
      </w:r>
      <w:r>
        <w:rPr>
          <w:rFonts w:ascii="Times New Roman" w:hAnsi="Times New Roman" w:cs="Times New Roman"/>
        </w:rPr>
        <w:t>u</w:t>
      </w:r>
      <w:r w:rsidRPr="008C23FE">
        <w:rPr>
          <w:rFonts w:ascii="Times New Roman" w:hAnsi="Times New Roman" w:cs="Times New Roman"/>
        </w:rPr>
        <w:t xml:space="preserve"> īstenošanas secīb</w:t>
      </w:r>
      <w:r>
        <w:rPr>
          <w:rFonts w:ascii="Times New Roman" w:hAnsi="Times New Roman" w:cs="Times New Roman"/>
        </w:rPr>
        <w:t>u</w:t>
      </w:r>
      <w:r w:rsidRPr="008C23FE">
        <w:rPr>
          <w:rFonts w:ascii="Times New Roman" w:hAnsi="Times New Roman" w:cs="Times New Roman"/>
        </w:rPr>
        <w:t xml:space="preserve">, par ko </w:t>
      </w:r>
      <w:r>
        <w:rPr>
          <w:rFonts w:ascii="Times New Roman" w:hAnsi="Times New Roman" w:cs="Times New Roman"/>
        </w:rPr>
        <w:t>slēdzot</w:t>
      </w:r>
      <w:r w:rsidRPr="008C23FE">
        <w:rPr>
          <w:rFonts w:ascii="Times New Roman" w:hAnsi="Times New Roman" w:cs="Times New Roman"/>
        </w:rPr>
        <w:t xml:space="preserve"> vienošanās</w:t>
      </w:r>
      <w:r>
        <w:rPr>
          <w:rFonts w:ascii="Times New Roman" w:hAnsi="Times New Roman" w:cs="Times New Roman"/>
        </w:rPr>
        <w:t>.</w:t>
      </w:r>
    </w:p>
    <w:p w14:paraId="7BE7DC11" w14:textId="77777777" w:rsidR="00F40FB5" w:rsidRDefault="00C173EC" w:rsidP="00F40FB5">
      <w:pPr>
        <w:spacing w:after="120"/>
        <w:jc w:val="both"/>
        <w:rPr>
          <w:rFonts w:ascii="Times New Roman" w:eastAsia="Calibri" w:hAnsi="Times New Roman" w:cs="Times New Roman"/>
        </w:rPr>
      </w:pPr>
      <w:r w:rsidRPr="00F40FB5">
        <w:rPr>
          <w:rFonts w:ascii="Times New Roman" w:eastAsia="Calibri" w:hAnsi="Times New Roman" w:cs="Times New Roman"/>
        </w:rPr>
        <w:t>Izvērtējot ar iesniegumu saistītos apstākļus, tika konstatēts:</w:t>
      </w:r>
    </w:p>
    <w:p w14:paraId="7DC995AE" w14:textId="77777777" w:rsidR="00F2237A" w:rsidRPr="00F40FB5" w:rsidRDefault="00F2237A" w:rsidP="00F40FB5">
      <w:pPr>
        <w:spacing w:after="120"/>
        <w:jc w:val="both"/>
        <w:rPr>
          <w:rFonts w:ascii="Times New Roman" w:eastAsia="Calibri" w:hAnsi="Times New Roman" w:cs="Times New Roman"/>
        </w:rPr>
      </w:pPr>
    </w:p>
    <w:p w14:paraId="08F2724E" w14:textId="77777777" w:rsidR="00F40FB5" w:rsidRPr="00F40FB5" w:rsidRDefault="00C173EC" w:rsidP="00F40FB5">
      <w:pPr>
        <w:numPr>
          <w:ilvl w:val="0"/>
          <w:numId w:val="3"/>
        </w:numPr>
        <w:spacing w:before="120"/>
        <w:jc w:val="both"/>
        <w:rPr>
          <w:rFonts w:ascii="Times New Roman" w:eastAsia="Calibri" w:hAnsi="Times New Roman" w:cs="Times New Roman"/>
        </w:rPr>
      </w:pPr>
      <w:r w:rsidRPr="00F40FB5">
        <w:rPr>
          <w:rFonts w:ascii="Times New Roman" w:eastAsia="Calibri" w:hAnsi="Times New Roman" w:cs="Times New Roman"/>
        </w:rPr>
        <w:t>Ar Ādažu novada domes 23.11.2023. lēmumu Par saistošo noteikumu “</w:t>
      </w:r>
      <w:proofErr w:type="spellStart"/>
      <w:r w:rsidRPr="00F40FB5">
        <w:rPr>
          <w:rFonts w:ascii="Times New Roman" w:eastAsia="Calibri" w:hAnsi="Times New Roman" w:cs="Times New Roman"/>
        </w:rPr>
        <w:t>Lokālplānojuma</w:t>
      </w:r>
      <w:proofErr w:type="spellEnd"/>
      <w:r w:rsidRPr="00F40FB5">
        <w:rPr>
          <w:rFonts w:ascii="Times New Roman" w:eastAsia="Calibri" w:hAnsi="Times New Roman" w:cs="Times New Roman"/>
        </w:rPr>
        <w:t xml:space="preserve">, ar kuru groza teritorijas plānojumu nekustamo īpašumu “Efejas”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xml:space="preserve">. 8044 012 0498) un “Pumpuriņi”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xml:space="preserve">. 8044 012 0499), Garkalnē, Ādažu pagastā, Ādažu novadā, teritorijā, grafiskā daļa un teritorijas izmantošanas un apbūves noteikumi” (turpmāk – </w:t>
      </w:r>
      <w:proofErr w:type="spellStart"/>
      <w:r w:rsidRPr="00F40FB5">
        <w:rPr>
          <w:rFonts w:ascii="Times New Roman" w:eastAsia="Calibri" w:hAnsi="Times New Roman" w:cs="Times New Roman"/>
        </w:rPr>
        <w:t>Lokālplānojums</w:t>
      </w:r>
      <w:proofErr w:type="spellEnd"/>
      <w:r w:rsidRPr="00F40FB5">
        <w:rPr>
          <w:rFonts w:ascii="Times New Roman" w:eastAsia="Calibri" w:hAnsi="Times New Roman" w:cs="Times New Roman"/>
        </w:rPr>
        <w:t xml:space="preserve">) projektu (protokols Nr. 27, 25.§) un saistošajiem noteikumiem Nr. 44/2023 apstiprināts </w:t>
      </w:r>
      <w:proofErr w:type="spellStart"/>
      <w:r w:rsidRPr="00F40FB5">
        <w:rPr>
          <w:rFonts w:ascii="Times New Roman" w:eastAsia="Calibri" w:hAnsi="Times New Roman" w:cs="Times New Roman"/>
        </w:rPr>
        <w:t>lokālplānojums</w:t>
      </w:r>
      <w:proofErr w:type="spellEnd"/>
      <w:r w:rsidRPr="00F40FB5">
        <w:rPr>
          <w:rFonts w:ascii="Times New Roman" w:eastAsia="Calibri" w:hAnsi="Times New Roman" w:cs="Times New Roman"/>
        </w:rPr>
        <w:t xml:space="preserve"> nekustamajiem īpašumiem “Efejas” un “Pumpuriņi” “</w:t>
      </w:r>
      <w:proofErr w:type="spellStart"/>
      <w:r w:rsidRPr="00F40FB5">
        <w:rPr>
          <w:rFonts w:ascii="Times New Roman" w:eastAsia="Calibri" w:hAnsi="Times New Roman" w:cs="Times New Roman"/>
        </w:rPr>
        <w:t>Lokālplānojuma</w:t>
      </w:r>
      <w:proofErr w:type="spellEnd"/>
      <w:r w:rsidRPr="00F40FB5">
        <w:rPr>
          <w:rFonts w:ascii="Times New Roman" w:eastAsia="Calibri" w:hAnsi="Times New Roman" w:cs="Times New Roman"/>
        </w:rPr>
        <w:t xml:space="preserve">, ar kuru groza teritorijas plānojumu nekustamo īpašumu “Efejas”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xml:space="preserve">. 8044 012 0498) un “Pumpuriņi”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8044 012 0499), Garkalnē, Ādažu pagastā, Ādažu novadā, teritorijā, grafiskā daļa un teritorijas izmantošanas un apbūves noteikumi”.</w:t>
      </w:r>
    </w:p>
    <w:p w14:paraId="78561168" w14:textId="77777777" w:rsidR="00F40FB5" w:rsidRPr="0064798A" w:rsidRDefault="00C173EC" w:rsidP="00F40FB5">
      <w:pPr>
        <w:pStyle w:val="Sarakstarindkopa"/>
        <w:numPr>
          <w:ilvl w:val="0"/>
          <w:numId w:val="3"/>
        </w:numPr>
        <w:spacing w:before="120"/>
        <w:contextualSpacing w:val="0"/>
        <w:jc w:val="both"/>
        <w:rPr>
          <w:rFonts w:ascii="Times New Roman" w:hAnsi="Times New Roman" w:cs="Times New Roman"/>
        </w:rPr>
      </w:pPr>
      <w:r w:rsidRPr="0064798A">
        <w:rPr>
          <w:rFonts w:ascii="Times New Roman" w:hAnsi="Times New Roman" w:cs="Times New Roman"/>
        </w:rPr>
        <w:t>Ar Ādažu novada domes 27.02.2025. lēmumu Nr.</w:t>
      </w:r>
      <w:r w:rsidRPr="00E92E2C">
        <w:rPr>
          <w:rFonts w:ascii="Times New Roman" w:hAnsi="Times New Roman" w:cs="Times New Roman"/>
        </w:rPr>
        <w:t> </w:t>
      </w:r>
      <w:r w:rsidRPr="0064798A">
        <w:rPr>
          <w:rFonts w:ascii="Times New Roman" w:hAnsi="Times New Roman" w:cs="Times New Roman"/>
        </w:rPr>
        <w:t>62</w:t>
      </w:r>
      <w:r w:rsidRPr="0095256A">
        <w:t xml:space="preserve"> </w:t>
      </w:r>
      <w:r>
        <w:t>“</w:t>
      </w:r>
      <w:r w:rsidRPr="0095256A">
        <w:rPr>
          <w:rFonts w:ascii="Times New Roman" w:hAnsi="Times New Roman" w:cs="Times New Roman"/>
        </w:rPr>
        <w:t xml:space="preserve">Par </w:t>
      </w:r>
      <w:proofErr w:type="spellStart"/>
      <w:r w:rsidRPr="0095256A">
        <w:rPr>
          <w:rFonts w:ascii="Times New Roman" w:hAnsi="Times New Roman" w:cs="Times New Roman"/>
        </w:rPr>
        <w:t>lokālplānojuma</w:t>
      </w:r>
      <w:proofErr w:type="spellEnd"/>
      <w:r w:rsidRPr="0095256A">
        <w:rPr>
          <w:rFonts w:ascii="Times New Roman" w:hAnsi="Times New Roman" w:cs="Times New Roman"/>
        </w:rPr>
        <w:t xml:space="preserve"> nekustamajiem īpašumiem “Efejas” un “Pumpuriņi”, Garkalnē grozījumu apstiprināšanu</w:t>
      </w:r>
      <w:r>
        <w:rPr>
          <w:rFonts w:ascii="Times New Roman" w:hAnsi="Times New Roman" w:cs="Times New Roman"/>
        </w:rPr>
        <w:t>”</w:t>
      </w:r>
      <w:r w:rsidRPr="0064798A">
        <w:rPr>
          <w:rFonts w:ascii="Times New Roman" w:hAnsi="Times New Roman" w:cs="Times New Roman"/>
        </w:rPr>
        <w:t xml:space="preserve"> un saistošajiem noteikumiem Nr. 11/2025 “</w:t>
      </w:r>
      <w:proofErr w:type="spellStart"/>
      <w:r w:rsidRPr="0064798A">
        <w:rPr>
          <w:rFonts w:ascii="Times New Roman" w:hAnsi="Times New Roman" w:cs="Times New Roman"/>
        </w:rPr>
        <w:t>Lokālplānojuma</w:t>
      </w:r>
      <w:proofErr w:type="spellEnd"/>
      <w:r w:rsidRPr="0064798A">
        <w:rPr>
          <w:rFonts w:ascii="Times New Roman" w:hAnsi="Times New Roman" w:cs="Times New Roman"/>
        </w:rPr>
        <w:t>, ar kuru groza teritorijas plānojumu nekustamo īpašumu Efejas” (kadastra Nr.</w:t>
      </w:r>
      <w:r w:rsidRPr="00E92E2C">
        <w:rPr>
          <w:rFonts w:ascii="Times New Roman" w:hAnsi="Times New Roman" w:cs="Times New Roman"/>
        </w:rPr>
        <w:t> </w:t>
      </w:r>
      <w:r w:rsidRPr="0064798A">
        <w:rPr>
          <w:rFonts w:ascii="Times New Roman" w:hAnsi="Times New Roman" w:cs="Times New Roman"/>
        </w:rPr>
        <w:t xml:space="preserve">80440120518), Garkalnē, Ādažu pag., Ādažu nov. zemes vienības ar kadastra apzīmējumu 80440120498, un “Pumpuriņi" (kadastra Nr. 80440120519), Garkalnē, Ādažu pag., Ādažu nov. zemes vienības ar kadastra apzīmējumu 80440120499 teritorijā grozījumu grafiskā daļa un teritorijas izmantošanas un apbūves noteikumi” apstiprināti </w:t>
      </w:r>
      <w:proofErr w:type="spellStart"/>
      <w:r w:rsidRPr="0064798A">
        <w:rPr>
          <w:rFonts w:ascii="Times New Roman" w:hAnsi="Times New Roman" w:cs="Times New Roman"/>
        </w:rPr>
        <w:t>lokālplānojuma</w:t>
      </w:r>
      <w:proofErr w:type="spellEnd"/>
      <w:r w:rsidRPr="0064798A">
        <w:rPr>
          <w:rFonts w:ascii="Times New Roman" w:hAnsi="Times New Roman" w:cs="Times New Roman"/>
        </w:rPr>
        <w:t xml:space="preserve"> grozījumi, samazinot ielu sarkano līniju platumu.</w:t>
      </w:r>
    </w:p>
    <w:p w14:paraId="18E6B74C" w14:textId="5EDDDD9B" w:rsidR="00F40FB5" w:rsidRPr="00921CB5" w:rsidRDefault="00C173EC" w:rsidP="00F40FB5">
      <w:pPr>
        <w:pStyle w:val="Sarakstarindkopa"/>
        <w:numPr>
          <w:ilvl w:val="0"/>
          <w:numId w:val="3"/>
        </w:numPr>
        <w:spacing w:before="120" w:after="240"/>
        <w:contextualSpacing w:val="0"/>
        <w:jc w:val="both"/>
        <w:rPr>
          <w:rFonts w:ascii="Times New Roman" w:hAnsi="Times New Roman" w:cs="Times New Roman"/>
        </w:rPr>
      </w:pPr>
      <w:proofErr w:type="spellStart"/>
      <w:r w:rsidRPr="00921CB5">
        <w:rPr>
          <w:rFonts w:ascii="Times New Roman" w:hAnsi="Times New Roman" w:cs="Times New Roman"/>
        </w:rPr>
        <w:t>Lokālplānojuma</w:t>
      </w:r>
      <w:proofErr w:type="spellEnd"/>
      <w:r w:rsidRPr="00921CB5">
        <w:rPr>
          <w:rFonts w:ascii="Times New Roman" w:hAnsi="Times New Roman" w:cs="Times New Roman"/>
        </w:rPr>
        <w:t xml:space="preserve"> īstenošanai nav noteikta detalizēta īstenošanas kārtība, paredzot, ka tā veicama atbilstoši spēkā esošā Ādažu novada teritorijas plānojuma </w:t>
      </w:r>
      <w:r w:rsidR="00682004" w:rsidRPr="00682004">
        <w:rPr>
          <w:rFonts w:ascii="Times New Roman" w:hAnsi="Times New Roman" w:cs="Times New Roman"/>
        </w:rPr>
        <w:t>(Turpmāk – Teritorijas plānojums</w:t>
      </w:r>
      <w:r w:rsidR="00682004">
        <w:rPr>
          <w:rFonts w:ascii="Times New Roman" w:hAnsi="Times New Roman" w:cs="Times New Roman"/>
        </w:rPr>
        <w:t>)</w:t>
      </w:r>
      <w:r w:rsidR="00682004" w:rsidRPr="00682004">
        <w:rPr>
          <w:rFonts w:ascii="Times New Roman" w:hAnsi="Times New Roman" w:cs="Times New Roman"/>
        </w:rPr>
        <w:t xml:space="preserve"> </w:t>
      </w:r>
      <w:r w:rsidRPr="00921CB5">
        <w:rPr>
          <w:rFonts w:ascii="Times New Roman" w:hAnsi="Times New Roman" w:cs="Times New Roman"/>
        </w:rPr>
        <w:t>prasībām.</w:t>
      </w:r>
    </w:p>
    <w:p w14:paraId="77CF5033" w14:textId="29BF81BD" w:rsidR="00F40FB5" w:rsidRPr="003C5CF5" w:rsidRDefault="00C173EC" w:rsidP="00F40FB5">
      <w:pPr>
        <w:pStyle w:val="Sarakstarindkopa"/>
        <w:numPr>
          <w:ilvl w:val="0"/>
          <w:numId w:val="3"/>
        </w:numPr>
        <w:jc w:val="both"/>
        <w:rPr>
          <w:rFonts w:ascii="Times New Roman" w:hAnsi="Times New Roman" w:cs="Times New Roman"/>
        </w:rPr>
      </w:pPr>
      <w:r>
        <w:rPr>
          <w:rFonts w:ascii="Times New Roman" w:hAnsi="Times New Roman" w:cs="Times New Roman"/>
        </w:rPr>
        <w:lastRenderedPageBreak/>
        <w:t>Teritorijas plānojum</w:t>
      </w:r>
      <w:r w:rsidR="00682004">
        <w:rPr>
          <w:rFonts w:ascii="Times New Roman" w:hAnsi="Times New Roman" w:cs="Times New Roman"/>
        </w:rPr>
        <w:t>a</w:t>
      </w:r>
      <w:r>
        <w:rPr>
          <w:rFonts w:ascii="Times New Roman" w:hAnsi="Times New Roman" w:cs="Times New Roman"/>
        </w:rPr>
        <w:t xml:space="preserve"> 82.; 83.; 84. un 85. punkt</w:t>
      </w:r>
      <w:r w:rsidR="00682004">
        <w:rPr>
          <w:rFonts w:ascii="Times New Roman" w:hAnsi="Times New Roman" w:cs="Times New Roman"/>
        </w:rPr>
        <w:t>s</w:t>
      </w:r>
      <w:r>
        <w:rPr>
          <w:rFonts w:ascii="Times New Roman" w:hAnsi="Times New Roman" w:cs="Times New Roman"/>
        </w:rPr>
        <w:t xml:space="preserve">, nosaka </w:t>
      </w:r>
      <w:proofErr w:type="spellStart"/>
      <w:r w:rsidRPr="000340B5">
        <w:rPr>
          <w:rFonts w:ascii="Times New Roman" w:hAnsi="Times New Roman" w:cs="Times New Roman"/>
        </w:rPr>
        <w:t>Lokālplānojuma</w:t>
      </w:r>
      <w:proofErr w:type="spellEnd"/>
      <w:r w:rsidRPr="000340B5">
        <w:rPr>
          <w:rFonts w:ascii="Times New Roman" w:hAnsi="Times New Roman" w:cs="Times New Roman"/>
        </w:rPr>
        <w:t xml:space="preserve"> īstenošanas kārtīb</w:t>
      </w:r>
      <w:r>
        <w:rPr>
          <w:rFonts w:ascii="Times New Roman" w:hAnsi="Times New Roman" w:cs="Times New Roman"/>
        </w:rPr>
        <w:t>u</w:t>
      </w:r>
      <w:r w:rsidRPr="000340B5">
        <w:rPr>
          <w:rFonts w:ascii="Times New Roman" w:hAnsi="Times New Roman" w:cs="Times New Roman"/>
        </w:rPr>
        <w:t>:</w:t>
      </w:r>
    </w:p>
    <w:p w14:paraId="6744A105" w14:textId="79A179EF" w:rsidR="00F40FB5" w:rsidRPr="00150F73" w:rsidRDefault="00C173EC" w:rsidP="00F40FB5">
      <w:pPr>
        <w:pStyle w:val="Sarakstarindkopa"/>
        <w:numPr>
          <w:ilvl w:val="1"/>
          <w:numId w:val="4"/>
        </w:numPr>
        <w:jc w:val="both"/>
        <w:rPr>
          <w:rFonts w:ascii="Times New Roman" w:hAnsi="Times New Roman" w:cs="Times New Roman"/>
        </w:rPr>
      </w:pPr>
      <w:r>
        <w:rPr>
          <w:rFonts w:ascii="Times New Roman" w:hAnsi="Times New Roman" w:cs="Times New Roman"/>
        </w:rPr>
        <w:t xml:space="preserve">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īstenošanu veic saskaņā ar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risinājumiem, izstrādājot būvprojektu un veicot būvniecību. Zemes vienības sadali veic, izstrādājot zemes ierīcības projektus ar mērķi sākotnēji veikt ielu daļu atdalīšanu un pēc ielu un inženiertīklu izbūves veikt apbūves zemes vienību veidošanu</w:t>
      </w:r>
      <w:r w:rsidR="00682004">
        <w:rPr>
          <w:rFonts w:ascii="Times New Roman" w:hAnsi="Times New Roman" w:cs="Times New Roman"/>
        </w:rPr>
        <w:t>;</w:t>
      </w:r>
    </w:p>
    <w:p w14:paraId="4EE23D9E" w14:textId="36DE9872" w:rsidR="00F40FB5" w:rsidRDefault="00C173EC" w:rsidP="00F40FB5">
      <w:pPr>
        <w:pStyle w:val="Sarakstarindkopa"/>
        <w:numPr>
          <w:ilvl w:val="1"/>
          <w:numId w:val="4"/>
        </w:numPr>
        <w:jc w:val="both"/>
        <w:rPr>
          <w:rFonts w:ascii="Times New Roman" w:hAnsi="Times New Roman" w:cs="Times New Roman"/>
        </w:rPr>
      </w:pPr>
      <w:r w:rsidRPr="00150F73">
        <w:rPr>
          <w:rFonts w:ascii="Times New Roman" w:hAnsi="Times New Roman" w:cs="Times New Roman"/>
        </w:rPr>
        <w:t xml:space="preserve">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īstenošana var tikt veikta būvniecības kārtās, būvprojektā noteiktā secībā.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teritorijā ēku, inženierbūvju un inženiertīklu izbūves secība precizējama un nosakāma būvprojektā, saskaņā ar katra konkrētā inženiertīkla turētāja tehniskajiem noteikumiem</w:t>
      </w:r>
      <w:r w:rsidR="00682004">
        <w:rPr>
          <w:rFonts w:ascii="Times New Roman" w:hAnsi="Times New Roman" w:cs="Times New Roman"/>
        </w:rPr>
        <w:t>;</w:t>
      </w:r>
    </w:p>
    <w:p w14:paraId="3137DAA0" w14:textId="09628429" w:rsidR="00F40FB5" w:rsidRDefault="00C173EC" w:rsidP="006C2F37">
      <w:pPr>
        <w:pStyle w:val="Sarakstarindkopa"/>
        <w:numPr>
          <w:ilvl w:val="1"/>
          <w:numId w:val="4"/>
        </w:numPr>
        <w:jc w:val="both"/>
        <w:rPr>
          <w:rFonts w:ascii="Times New Roman" w:hAnsi="Times New Roman" w:cs="Times New Roman"/>
        </w:rPr>
      </w:pPr>
      <w:r w:rsidRPr="00150F73">
        <w:rPr>
          <w:rFonts w:ascii="Times New Roman" w:hAnsi="Times New Roman" w:cs="Times New Roman"/>
        </w:rPr>
        <w:t>Ēku būvniecību plānotajās zemes vienībās atļauts uzsākt pēc attiecīgo zemes vienību izveides.</w:t>
      </w:r>
    </w:p>
    <w:p w14:paraId="550770B5" w14:textId="77777777" w:rsidR="006C2F37" w:rsidRDefault="006C2F37" w:rsidP="006C2F37">
      <w:pPr>
        <w:jc w:val="both"/>
        <w:rPr>
          <w:rFonts w:ascii="Times New Roman" w:hAnsi="Times New Roman" w:cs="Times New Roman"/>
        </w:rPr>
      </w:pPr>
    </w:p>
    <w:p w14:paraId="1F8F8B67" w14:textId="77777777" w:rsidR="006C2F37" w:rsidRPr="00373BCE" w:rsidRDefault="00C173EC" w:rsidP="006C2F37">
      <w:pPr>
        <w:pStyle w:val="Sarakstarindkopa"/>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T</w:t>
      </w:r>
      <w:r w:rsidRPr="00373BCE">
        <w:rPr>
          <w:rFonts w:ascii="Times New Roman" w:eastAsia="Times New Roman" w:hAnsi="Times New Roman" w:cs="Times New Roman"/>
        </w:rPr>
        <w:t>eritorijas plānojuma Teritorijas izmantošanas un apbūves noteikumu (turpmāk – TIAN) 36.punktā</w:t>
      </w:r>
      <w:r>
        <w:rPr>
          <w:rFonts w:ascii="Times New Roman" w:eastAsia="Times New Roman" w:hAnsi="Times New Roman" w:cs="Times New Roman"/>
        </w:rPr>
        <w:t xml:space="preserve"> ir noteiktas p</w:t>
      </w:r>
      <w:r w:rsidRPr="00373BCE">
        <w:rPr>
          <w:rFonts w:ascii="Times New Roman" w:eastAsia="Times New Roman" w:hAnsi="Times New Roman" w:cs="Times New Roman"/>
        </w:rPr>
        <w:t xml:space="preserve">rasības </w:t>
      </w:r>
      <w:proofErr w:type="spellStart"/>
      <w:r w:rsidRPr="00373BCE">
        <w:rPr>
          <w:rFonts w:ascii="Times New Roman" w:eastAsia="Times New Roman" w:hAnsi="Times New Roman" w:cs="Times New Roman"/>
        </w:rPr>
        <w:t>jaunveidojamo</w:t>
      </w:r>
      <w:proofErr w:type="spellEnd"/>
      <w:r w:rsidRPr="00373BCE">
        <w:rPr>
          <w:rFonts w:ascii="Times New Roman" w:eastAsia="Times New Roman" w:hAnsi="Times New Roman" w:cs="Times New Roman"/>
        </w:rPr>
        <w:t xml:space="preserve"> ielu projektēšanai</w:t>
      </w:r>
      <w:r>
        <w:rPr>
          <w:rFonts w:ascii="Times New Roman" w:eastAsia="Times New Roman" w:hAnsi="Times New Roman" w:cs="Times New Roman"/>
        </w:rPr>
        <w:t xml:space="preserve">: </w:t>
      </w:r>
    </w:p>
    <w:p w14:paraId="60E3BDC4" w14:textId="77777777" w:rsidR="006C2F37" w:rsidRPr="00373BCE" w:rsidRDefault="00C173EC" w:rsidP="006C2F37">
      <w:pPr>
        <w:pStyle w:val="Sarakstarindkopa"/>
        <w:numPr>
          <w:ilvl w:val="1"/>
          <w:numId w:val="4"/>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373BCE">
        <w:rPr>
          <w:rFonts w:ascii="Times New Roman" w:eastAsia="Times New Roman" w:hAnsi="Times New Roman" w:cs="Times New Roman"/>
        </w:rPr>
        <w:t>maģistrālas nozīmes ielām (esošajām un perspektīvajām): platums sarkanajās līnijās atbilstoši 2.1.pielikumam, brauktuves minimālais platums - 6 m (NP 7,5 LVS 190-2), ietve abās brauktuves pusēs ar minimālo platumu 2 m vai apvienota ietve ar veloceliņu - 3 m, ja nepieciešams, izbūvējams novadgrāvis, apgaismojums. Segumu paredzēt no betona bruģakmens (asfaltbetona vai cita tipa segumu projektēt, ja ir saskaņojums ar Pašvaldības Saimniecības un infrastruktūras daļu);</w:t>
      </w:r>
    </w:p>
    <w:p w14:paraId="1BF3EFC2" w14:textId="26C4C5BC" w:rsidR="006C2F37" w:rsidRPr="00166CED" w:rsidRDefault="00C173EC" w:rsidP="006C2F37">
      <w:pPr>
        <w:pStyle w:val="Sarakstarindkopa"/>
        <w:numPr>
          <w:ilvl w:val="1"/>
          <w:numId w:val="4"/>
        </w:numPr>
        <w:spacing w:after="120"/>
        <w:jc w:val="both"/>
        <w:rPr>
          <w:rFonts w:ascii="Times New Roman" w:eastAsia="Times New Roman" w:hAnsi="Times New Roman" w:cs="Times New Roman"/>
        </w:rPr>
      </w:pPr>
      <w:r w:rsidRPr="00373BCE">
        <w:rPr>
          <w:rFonts w:ascii="Times New Roman" w:eastAsia="Times New Roman" w:hAnsi="Times New Roman" w:cs="Times New Roman"/>
        </w:rPr>
        <w:t xml:space="preserve"> </w:t>
      </w:r>
      <w:r w:rsidRPr="00166CED">
        <w:rPr>
          <w:rFonts w:ascii="Times New Roman" w:eastAsia="Times New Roman" w:hAnsi="Times New Roman" w:cs="Times New Roman"/>
        </w:rPr>
        <w:t xml:space="preserve">vietējas nozīmes ielām: platums sarkanajās līnijās atbilstoši 2.1.pielikumam, brauktuves minimālais platums - 5,5 m (NP 5,5 LVS 190-2) (ietve ar minimālo platumu 1,5 m vai apvienota ietve ar veloceliņu - 3 m, ja nepieciešams, izbūvējams novadgrāvis, apgaismojums. Segumu paredzēt no betona bruģakmens (asfaltbetona vai cita tipa segumu projektēt, ja ir saskaņojums ar Pašvaldības </w:t>
      </w:r>
      <w:r w:rsidR="00166CED" w:rsidRPr="00166CED">
        <w:rPr>
          <w:rFonts w:ascii="Times New Roman" w:eastAsia="Times New Roman" w:hAnsi="Times New Roman" w:cs="Times New Roman"/>
        </w:rPr>
        <w:t>aģentūru “Carnikavas komunālserviss”</w:t>
      </w:r>
      <w:r w:rsidRPr="00166CED">
        <w:rPr>
          <w:rFonts w:ascii="Times New Roman" w:eastAsia="Times New Roman" w:hAnsi="Times New Roman" w:cs="Times New Roman"/>
        </w:rPr>
        <w:t>).</w:t>
      </w:r>
    </w:p>
    <w:p w14:paraId="012309FB" w14:textId="3FB54C64" w:rsidR="006C2F37" w:rsidRPr="006C2F37" w:rsidRDefault="006C2F37" w:rsidP="006C2F37">
      <w:pPr>
        <w:pStyle w:val="Sarakstarindkopa"/>
        <w:ind w:left="360"/>
        <w:jc w:val="both"/>
        <w:rPr>
          <w:rFonts w:ascii="Times New Roman" w:hAnsi="Times New Roman" w:cs="Times New Roman"/>
        </w:rPr>
      </w:pPr>
    </w:p>
    <w:p w14:paraId="49D752F5" w14:textId="77777777" w:rsidR="006C2F37" w:rsidRDefault="00C173EC" w:rsidP="006C2F37">
      <w:pPr>
        <w:pStyle w:val="Sarakstarindkopa"/>
        <w:numPr>
          <w:ilvl w:val="0"/>
          <w:numId w:val="4"/>
        </w:numPr>
        <w:spacing w:after="120"/>
        <w:ind w:left="360"/>
        <w:jc w:val="both"/>
        <w:rPr>
          <w:rFonts w:ascii="Times New Roman" w:eastAsia="Times New Roman" w:hAnsi="Times New Roman" w:cs="Times New Roman"/>
        </w:rPr>
      </w:pPr>
      <w:r w:rsidRPr="00373BCE">
        <w:rPr>
          <w:rFonts w:ascii="Times New Roman" w:eastAsia="Times New Roman" w:hAnsi="Times New Roman" w:cs="Times New Roman"/>
        </w:rPr>
        <w:t>Teritorijas plānojuma TIAN</w:t>
      </w:r>
      <w:r>
        <w:rPr>
          <w:rFonts w:ascii="Times New Roman" w:eastAsia="Times New Roman" w:hAnsi="Times New Roman" w:cs="Times New Roman"/>
        </w:rPr>
        <w:t xml:space="preserve"> un</w:t>
      </w:r>
      <w:r w:rsidRPr="00373BCE">
        <w:rPr>
          <w:rFonts w:ascii="Times New Roman" w:eastAsia="Times New Roman" w:hAnsi="Times New Roman" w:cs="Times New Roman"/>
        </w:rPr>
        <w:t xml:space="preserve"> </w:t>
      </w:r>
      <w:proofErr w:type="spellStart"/>
      <w:r w:rsidRPr="00373BCE">
        <w:rPr>
          <w:rFonts w:ascii="Times New Roman" w:eastAsia="Times New Roman" w:hAnsi="Times New Roman" w:cs="Times New Roman"/>
        </w:rPr>
        <w:t>Lokālplānojuma</w:t>
      </w:r>
      <w:proofErr w:type="spellEnd"/>
      <w:r w:rsidRPr="00373BCE">
        <w:rPr>
          <w:rFonts w:ascii="Times New Roman" w:eastAsia="Times New Roman" w:hAnsi="Times New Roman" w:cs="Times New Roman"/>
        </w:rPr>
        <w:t xml:space="preserve"> prasības neparedz ielu izbūvi pa kārtām </w:t>
      </w:r>
      <w:r>
        <w:rPr>
          <w:rFonts w:ascii="Times New Roman" w:eastAsia="Times New Roman" w:hAnsi="Times New Roman" w:cs="Times New Roman"/>
        </w:rPr>
        <w:t xml:space="preserve">, t.i. </w:t>
      </w:r>
      <w:r w:rsidRPr="00373BCE">
        <w:rPr>
          <w:rFonts w:ascii="Times New Roman" w:eastAsia="Times New Roman" w:hAnsi="Times New Roman" w:cs="Times New Roman"/>
        </w:rPr>
        <w:t>ielas ekspluatācijā  var nodot tikai ar cieto segumu.</w:t>
      </w:r>
    </w:p>
    <w:p w14:paraId="64966242" w14:textId="77777777" w:rsidR="006C2F37" w:rsidRDefault="006C2F37" w:rsidP="006C2F37">
      <w:pPr>
        <w:pStyle w:val="Sarakstarindkopa"/>
        <w:spacing w:after="120"/>
        <w:ind w:left="360"/>
        <w:jc w:val="both"/>
        <w:rPr>
          <w:rFonts w:ascii="Times New Roman" w:eastAsia="Times New Roman" w:hAnsi="Times New Roman" w:cs="Times New Roman"/>
        </w:rPr>
      </w:pPr>
    </w:p>
    <w:p w14:paraId="78447556" w14:textId="5C815632" w:rsidR="006C2F37" w:rsidRDefault="00C173EC" w:rsidP="006C2F37">
      <w:pPr>
        <w:pStyle w:val="Sarakstarindkopa"/>
        <w:numPr>
          <w:ilvl w:val="0"/>
          <w:numId w:val="4"/>
        </w:numPr>
        <w:ind w:left="360"/>
        <w:jc w:val="both"/>
        <w:rPr>
          <w:rFonts w:ascii="Times New Roman" w:hAnsi="Times New Roman" w:cs="Times New Roman"/>
        </w:rPr>
      </w:pPr>
      <w:r w:rsidRPr="00175F79">
        <w:rPr>
          <w:rFonts w:ascii="Times New Roman" w:hAnsi="Times New Roman" w:cs="Times New Roman"/>
        </w:rPr>
        <w:t xml:space="preserve">Pēc </w:t>
      </w:r>
      <w:proofErr w:type="spellStart"/>
      <w:r w:rsidRPr="00175F79">
        <w:rPr>
          <w:rFonts w:ascii="Times New Roman" w:hAnsi="Times New Roman" w:cs="Times New Roman"/>
        </w:rPr>
        <w:t>Lokālplānojuma</w:t>
      </w:r>
      <w:proofErr w:type="spellEnd"/>
      <w:r w:rsidRPr="00175F79">
        <w:rPr>
          <w:rFonts w:ascii="Times New Roman" w:hAnsi="Times New Roman" w:cs="Times New Roman"/>
        </w:rPr>
        <w:t xml:space="preserve"> ierosinātāju un attīstītāju iniciatīvas 07.04.2026. Pašvaldībā tika sasaukta Tehniskās komisijas sēde, kurā tika izskatīts jautājums par </w:t>
      </w:r>
      <w:proofErr w:type="spellStart"/>
      <w:r w:rsidRPr="00175F79">
        <w:rPr>
          <w:rFonts w:ascii="Times New Roman" w:hAnsi="Times New Roman" w:cs="Times New Roman"/>
        </w:rPr>
        <w:t>Lokālplānojuma</w:t>
      </w:r>
      <w:proofErr w:type="spellEnd"/>
      <w:r w:rsidRPr="00175F79">
        <w:rPr>
          <w:rFonts w:ascii="Times New Roman" w:hAnsi="Times New Roman" w:cs="Times New Roman"/>
        </w:rPr>
        <w:t xml:space="preserve"> īstenošanas kārtības grozīšanu un piedāvājumu ielu izbūvi veikt pa kārtām, vispirms izbūvējot ielas ar grants segumu un tad saņemot atļauju pie tām atdalīt zemes vienības, piešķirot tām kadastra apzīmējumus, bet nepiešķirot adreses.</w:t>
      </w:r>
      <w:r>
        <w:rPr>
          <w:rFonts w:ascii="Times New Roman" w:hAnsi="Times New Roman" w:cs="Times New Roman"/>
        </w:rPr>
        <w:t xml:space="preserve"> Attīstītāj</w:t>
      </w:r>
      <w:r w:rsidR="00682004">
        <w:rPr>
          <w:rFonts w:ascii="Times New Roman" w:hAnsi="Times New Roman" w:cs="Times New Roman"/>
        </w:rPr>
        <w:t>s</w:t>
      </w:r>
      <w:r>
        <w:rPr>
          <w:rFonts w:ascii="Times New Roman" w:hAnsi="Times New Roman" w:cs="Times New Roman"/>
        </w:rPr>
        <w:t xml:space="preserve"> savu ieceri pamato ar to, ka īsā termiņā plāno īstenot </w:t>
      </w:r>
      <w:proofErr w:type="spellStart"/>
      <w:r>
        <w:rPr>
          <w:rFonts w:ascii="Times New Roman" w:hAnsi="Times New Roman" w:cs="Times New Roman"/>
        </w:rPr>
        <w:t>lokālplānojumu</w:t>
      </w:r>
      <w:proofErr w:type="spellEnd"/>
      <w:r>
        <w:rPr>
          <w:rFonts w:ascii="Times New Roman" w:hAnsi="Times New Roman" w:cs="Times New Roman"/>
        </w:rPr>
        <w:t>, sabūvēt mājas un būvniecības procesā tik</w:t>
      </w:r>
      <w:r w:rsidR="00682004">
        <w:rPr>
          <w:rFonts w:ascii="Times New Roman" w:hAnsi="Times New Roman" w:cs="Times New Roman"/>
        </w:rPr>
        <w:t>tu</w:t>
      </w:r>
      <w:r>
        <w:rPr>
          <w:rFonts w:ascii="Times New Roman" w:hAnsi="Times New Roman" w:cs="Times New Roman"/>
        </w:rPr>
        <w:t xml:space="preserve"> sabojāt</w:t>
      </w:r>
      <w:r w:rsidR="00682004">
        <w:rPr>
          <w:rFonts w:ascii="Times New Roman" w:hAnsi="Times New Roman" w:cs="Times New Roman"/>
        </w:rPr>
        <w:t>i</w:t>
      </w:r>
      <w:r>
        <w:rPr>
          <w:rFonts w:ascii="Times New Roman" w:hAnsi="Times New Roman" w:cs="Times New Roman"/>
        </w:rPr>
        <w:t xml:space="preserve"> </w:t>
      </w:r>
      <w:proofErr w:type="spellStart"/>
      <w:r>
        <w:rPr>
          <w:rFonts w:ascii="Times New Roman" w:hAnsi="Times New Roman" w:cs="Times New Roman"/>
        </w:rPr>
        <w:t>jaunizbūvētie</w:t>
      </w:r>
      <w:proofErr w:type="spellEnd"/>
      <w:r>
        <w:rPr>
          <w:rFonts w:ascii="Times New Roman" w:hAnsi="Times New Roman" w:cs="Times New Roman"/>
        </w:rPr>
        <w:t xml:space="preserve"> ceļi ar cieto segumu, loģiskāk un ekonomiskām būtu cieto segumu ielām uzklāt pēc ēku būvniecības. Cieto segumu plānots izbūvēt 3 gadu laikā, un lai pašvaldībai būtu drošība, ka </w:t>
      </w:r>
      <w:proofErr w:type="spellStart"/>
      <w:r>
        <w:rPr>
          <w:rFonts w:ascii="Times New Roman" w:hAnsi="Times New Roman" w:cs="Times New Roman"/>
        </w:rPr>
        <w:t>jaunizbūvētās</w:t>
      </w:r>
      <w:proofErr w:type="spellEnd"/>
      <w:r>
        <w:rPr>
          <w:rFonts w:ascii="Times New Roman" w:hAnsi="Times New Roman" w:cs="Times New Roman"/>
        </w:rPr>
        <w:t xml:space="preserve"> ielas nepaliks bez cietā seguma, ir gatavi iesniegt bankas garantiju tādā apmērā, kas ļautu pašvaldībai pašai ieklāt cieto segumu par </w:t>
      </w:r>
      <w:r w:rsidR="00682004">
        <w:rPr>
          <w:rFonts w:ascii="Times New Roman" w:hAnsi="Times New Roman" w:cs="Times New Roman"/>
        </w:rPr>
        <w:t>A</w:t>
      </w:r>
      <w:r>
        <w:rPr>
          <w:rFonts w:ascii="Times New Roman" w:hAnsi="Times New Roman" w:cs="Times New Roman"/>
        </w:rPr>
        <w:t xml:space="preserve">ttīstītāja naudu, gadījumā, ja </w:t>
      </w:r>
      <w:r w:rsidR="00682004">
        <w:rPr>
          <w:rFonts w:ascii="Times New Roman" w:hAnsi="Times New Roman" w:cs="Times New Roman"/>
        </w:rPr>
        <w:t>A</w:t>
      </w:r>
      <w:r>
        <w:rPr>
          <w:rFonts w:ascii="Times New Roman" w:hAnsi="Times New Roman" w:cs="Times New Roman"/>
        </w:rPr>
        <w:t>ttīstītāj</w:t>
      </w:r>
      <w:r w:rsidR="00682004">
        <w:rPr>
          <w:rFonts w:ascii="Times New Roman" w:hAnsi="Times New Roman" w:cs="Times New Roman"/>
        </w:rPr>
        <w:t>s</w:t>
      </w:r>
      <w:r>
        <w:rPr>
          <w:rFonts w:ascii="Times New Roman" w:hAnsi="Times New Roman" w:cs="Times New Roman"/>
        </w:rPr>
        <w:t xml:space="preserve"> solījumu nepildītu. </w:t>
      </w:r>
    </w:p>
    <w:p w14:paraId="0AA0C5E5" w14:textId="77777777" w:rsidR="006C2F37" w:rsidRPr="00D56262" w:rsidRDefault="006C2F37" w:rsidP="006C2F37">
      <w:pPr>
        <w:jc w:val="both"/>
        <w:rPr>
          <w:rFonts w:ascii="Times New Roman" w:hAnsi="Times New Roman" w:cs="Times New Roman"/>
        </w:rPr>
      </w:pPr>
    </w:p>
    <w:p w14:paraId="51C5225A" w14:textId="052BBB2D" w:rsidR="00F40FB5" w:rsidRPr="006C2F37" w:rsidRDefault="00C173EC" w:rsidP="006C2F37">
      <w:pPr>
        <w:pStyle w:val="Sarakstarindkopa"/>
        <w:numPr>
          <w:ilvl w:val="0"/>
          <w:numId w:val="4"/>
        </w:numPr>
        <w:ind w:left="360"/>
        <w:jc w:val="both"/>
        <w:rPr>
          <w:rFonts w:ascii="Times New Roman" w:hAnsi="Times New Roman" w:cs="Times New Roman"/>
        </w:rPr>
      </w:pPr>
      <w:r w:rsidRPr="00D402D0">
        <w:rPr>
          <w:rFonts w:ascii="Times New Roman" w:hAnsi="Times New Roman" w:cs="Times New Roman"/>
        </w:rPr>
        <w:t xml:space="preserve">Tehniskā komisija uzklausīja ieceri un nolēma, ka </w:t>
      </w:r>
      <w:r w:rsidR="00682004">
        <w:rPr>
          <w:rFonts w:ascii="Times New Roman" w:hAnsi="Times New Roman" w:cs="Times New Roman"/>
        </w:rPr>
        <w:t xml:space="preserve">Attīstītājam </w:t>
      </w:r>
      <w:r w:rsidRPr="00D402D0">
        <w:rPr>
          <w:rFonts w:ascii="Times New Roman" w:hAnsi="Times New Roman" w:cs="Times New Roman"/>
        </w:rPr>
        <w:t>ir jā</w:t>
      </w:r>
      <w:r w:rsidRPr="00D402D0">
        <w:rPr>
          <w:rFonts w:ascii="Times New Roman" w:eastAsia="Times New Roman" w:hAnsi="Times New Roman" w:cs="Times New Roman"/>
          <w:lang w:eastAsia="lv-LV"/>
        </w:rPr>
        <w:t xml:space="preserve">sagatavo un jāiesniedz pašvaldībā detalizēts iesniegums par īstenošanas kārtību.  </w:t>
      </w:r>
    </w:p>
    <w:p w14:paraId="6420EB3E" w14:textId="77777777" w:rsidR="006C2F37" w:rsidRDefault="006C2F37" w:rsidP="006C2F37">
      <w:pPr>
        <w:jc w:val="both"/>
        <w:rPr>
          <w:rFonts w:ascii="Times New Roman" w:hAnsi="Times New Roman" w:cs="Times New Roman"/>
        </w:rPr>
      </w:pPr>
    </w:p>
    <w:p w14:paraId="538E8B93" w14:textId="77777777" w:rsidR="006C2F37" w:rsidRPr="00072177" w:rsidRDefault="00C173EC" w:rsidP="006C2F37">
      <w:pPr>
        <w:spacing w:after="120"/>
        <w:jc w:val="both"/>
        <w:rPr>
          <w:rFonts w:ascii="Times New Roman" w:eastAsia="Times New Roman" w:hAnsi="Times New Roman" w:cs="Times New Roman"/>
        </w:rPr>
      </w:pPr>
      <w:r w:rsidRPr="00072177">
        <w:rPr>
          <w:rFonts w:ascii="Times New Roman" w:hAnsi="Times New Roman" w:cs="Times New Roman"/>
          <w:bCs/>
        </w:rPr>
        <w:t xml:space="preserve">Pamatojoties uz Pašvaldību likuma 4. panta pirmās daļas </w:t>
      </w:r>
      <w:r>
        <w:rPr>
          <w:rFonts w:ascii="Times New Roman" w:hAnsi="Times New Roman" w:cs="Times New Roman"/>
          <w:bCs/>
        </w:rPr>
        <w:t xml:space="preserve">2. un </w:t>
      </w:r>
      <w:r w:rsidRPr="00072177">
        <w:rPr>
          <w:rFonts w:ascii="Times New Roman" w:hAnsi="Times New Roman" w:cs="Times New Roman"/>
          <w:bCs/>
        </w:rPr>
        <w:t xml:space="preserve">15. punktu un 10. panta pirmās daļas 21. punktu, Teritorijas attīstības plānošanas likuma 12. panta trešo daļu, </w:t>
      </w:r>
      <w:r w:rsidRPr="00072177">
        <w:rPr>
          <w:rFonts w:ascii="Times New Roman" w:eastAsia="Times New Roman" w:hAnsi="Times New Roman" w:cs="Times New Roman"/>
          <w:lang w:val="x-none"/>
        </w:rPr>
        <w:t xml:space="preserve">kā arī domes Attīstības komitejas </w:t>
      </w:r>
      <w:r w:rsidRPr="00072177">
        <w:rPr>
          <w:rFonts w:ascii="Times New Roman" w:eastAsia="Times New Roman" w:hAnsi="Times New Roman" w:cs="Times New Roman"/>
        </w:rPr>
        <w:t>10.06.2026</w:t>
      </w:r>
      <w:r w:rsidRPr="00072177">
        <w:rPr>
          <w:rFonts w:ascii="Times New Roman" w:eastAsia="Times New Roman" w:hAnsi="Times New Roman" w:cs="Times New Roman"/>
          <w:lang w:val="x-none"/>
        </w:rPr>
        <w:t>. atzinumu, Ādažu novada pašvaldības</w:t>
      </w:r>
      <w:r w:rsidRPr="00072177">
        <w:rPr>
          <w:rFonts w:ascii="Times New Roman" w:eastAsia="Times New Roman" w:hAnsi="Times New Roman" w:cs="Times New Roman"/>
        </w:rPr>
        <w:t xml:space="preserve"> </w:t>
      </w:r>
      <w:r w:rsidRPr="00072177">
        <w:rPr>
          <w:rFonts w:ascii="Times New Roman" w:eastAsia="Times New Roman" w:hAnsi="Times New Roman" w:cs="Times New Roman"/>
          <w:lang w:val="x-none"/>
        </w:rPr>
        <w:t>dome</w:t>
      </w:r>
    </w:p>
    <w:p w14:paraId="249D0068" w14:textId="77777777" w:rsidR="006C2F37" w:rsidRPr="006C2F37" w:rsidRDefault="006C2F37" w:rsidP="006C2F37">
      <w:pPr>
        <w:jc w:val="both"/>
        <w:rPr>
          <w:rFonts w:ascii="Times New Roman" w:hAnsi="Times New Roman" w:cs="Times New Roman"/>
        </w:rPr>
      </w:pPr>
    </w:p>
    <w:p w14:paraId="7E71C6D5" w14:textId="77777777" w:rsidR="00564CA6" w:rsidRPr="00564CA6" w:rsidRDefault="00C173EC" w:rsidP="00BB16A4">
      <w:pPr>
        <w:spacing w:after="120"/>
        <w:jc w:val="center"/>
        <w:rPr>
          <w:rFonts w:ascii="Times New Roman" w:hAnsi="Times New Roman" w:cs="Times New Roman"/>
          <w:b/>
        </w:rPr>
      </w:pPr>
      <w:r w:rsidRPr="00564CA6">
        <w:rPr>
          <w:rFonts w:ascii="Times New Roman" w:hAnsi="Times New Roman" w:cs="Times New Roman"/>
          <w:b/>
        </w:rPr>
        <w:t>NOLEMJ:</w:t>
      </w:r>
    </w:p>
    <w:p w14:paraId="62DB6ED5" w14:textId="4CA0438A" w:rsidR="006C2F37" w:rsidRDefault="00C173EC" w:rsidP="006C2F37">
      <w:pPr>
        <w:pStyle w:val="Paraststmeklis"/>
        <w:numPr>
          <w:ilvl w:val="0"/>
          <w:numId w:val="5"/>
        </w:numPr>
        <w:spacing w:before="120" w:beforeAutospacing="0" w:after="120" w:afterAutospacing="0"/>
        <w:jc w:val="both"/>
      </w:pPr>
      <w:r>
        <w:lastRenderedPageBreak/>
        <w:t xml:space="preserve">Apstiprināt </w:t>
      </w:r>
      <w:proofErr w:type="spellStart"/>
      <w:r w:rsidRPr="00BB5B62">
        <w:t>lokālplānojuma</w:t>
      </w:r>
      <w:proofErr w:type="spellEnd"/>
      <w:r w:rsidRPr="00BB5B62">
        <w:t xml:space="preserve"> nekustamajiem īpašumiem “Efejas” un “Pumpuriņi”, Garkalnē</w:t>
      </w:r>
      <w:r>
        <w:t xml:space="preserve"> īstenošanas kārtību, noslēdzot starp Attīstītāju un Pašvaldību  </w:t>
      </w:r>
      <w:r w:rsidR="00682004">
        <w:t>V</w:t>
      </w:r>
      <w:r>
        <w:t>ienošanos, un iekļaujot tajā šādus pamatnosacījumus</w:t>
      </w:r>
      <w:r w:rsidR="00682004">
        <w:t xml:space="preserve">: </w:t>
      </w:r>
      <w:r>
        <w:t xml:space="preserve">    </w:t>
      </w:r>
    </w:p>
    <w:p w14:paraId="5F0CFDB7" w14:textId="61B7CA5E" w:rsidR="006C2F37" w:rsidRDefault="00C173EC" w:rsidP="00682004">
      <w:pPr>
        <w:pStyle w:val="Paraststmeklis"/>
        <w:spacing w:before="120" w:beforeAutospacing="0" w:after="120" w:afterAutospacing="0"/>
        <w:ind w:left="851" w:hanging="491"/>
        <w:jc w:val="both"/>
      </w:pPr>
      <w:r>
        <w:t xml:space="preserve">1.1. Būvvalde saskaņo pilnu būvprojektu ar cietā seguma izbūvi </w:t>
      </w:r>
      <w:proofErr w:type="spellStart"/>
      <w:r>
        <w:t>lokālplānojumā</w:t>
      </w:r>
      <w:proofErr w:type="spellEnd"/>
      <w:r>
        <w:t xml:space="preserve"> </w:t>
      </w:r>
      <w:r w:rsidRPr="005A2CC9">
        <w:t>“Pumpuriņi”, Garkalne, Ādažu pag., Ādažu nov. (kadastra Nr. 8044 012 0519) un “Efejas”, Garkalne, Ādažu pag., Ādažu nov. (kadastra Nr. 8044 012 0518</w:t>
      </w:r>
      <w:r>
        <w:t xml:space="preserve">) atbilstoši tehnisko noteikumu </w:t>
      </w:r>
      <w:r w:rsidRPr="008C23FE">
        <w:t>prasībām</w:t>
      </w:r>
      <w:r>
        <w:t xml:space="preserve"> , kā arī Valsts instanču prasībām un izsniedz būvatļauju būvdarbu veikšanai.</w:t>
      </w:r>
    </w:p>
    <w:p w14:paraId="106E2C8D" w14:textId="77777777" w:rsidR="006C2F37" w:rsidRDefault="00C173EC" w:rsidP="006C2F37">
      <w:pPr>
        <w:pStyle w:val="Paraststmeklis"/>
        <w:spacing w:before="120" w:beforeAutospacing="0" w:after="120" w:afterAutospacing="0"/>
        <w:ind w:left="360"/>
        <w:jc w:val="both"/>
      </w:pPr>
      <w:r>
        <w:t xml:space="preserve">1.2. Attīstītājs </w:t>
      </w:r>
      <w:proofErr w:type="spellStart"/>
      <w:r>
        <w:t>lokālplānojumu</w:t>
      </w:r>
      <w:proofErr w:type="spellEnd"/>
      <w:r>
        <w:t xml:space="preserve"> īsteno šādā kārtībā:  </w:t>
      </w:r>
    </w:p>
    <w:p w14:paraId="6DAFD33E" w14:textId="77777777" w:rsidR="006C2F37" w:rsidRPr="007630E2" w:rsidRDefault="00C173EC" w:rsidP="006C2F37">
      <w:pPr>
        <w:pStyle w:val="Paraststmeklis"/>
        <w:spacing w:before="120" w:beforeAutospacing="0" w:after="120" w:afterAutospacing="0"/>
        <w:ind w:left="1418" w:hanging="709"/>
        <w:jc w:val="both"/>
      </w:pPr>
      <w:r>
        <w:t>1.2.1. u</w:t>
      </w:r>
      <w:r w:rsidRPr="007630E2">
        <w:t>z esošās būvatļaujas pamata izstrādā izmaiņu būvprojektu ielas ar inženierkomunikācijām (ūdensvads, kanalizācija, apgaismojums) izbūvei ar šķembu segumu</w:t>
      </w:r>
      <w:r>
        <w:t xml:space="preserve"> un  i</w:t>
      </w:r>
      <w:r w:rsidRPr="007630E2">
        <w:t>zbūvē ielu ar ieprojektētām inženierkomunikācijām atbilstoši apstiprinātam būvprojektam</w:t>
      </w:r>
      <w:r>
        <w:t xml:space="preserve"> un nodod to ekspluatācijā</w:t>
      </w:r>
      <w:r w:rsidRPr="007630E2">
        <w:t>;</w:t>
      </w:r>
    </w:p>
    <w:p w14:paraId="0D47F04E" w14:textId="5F368250" w:rsidR="006C2F37" w:rsidRPr="00D933F6" w:rsidRDefault="00C173EC" w:rsidP="006C2F37">
      <w:pPr>
        <w:pStyle w:val="Sarakstarindkopa"/>
        <w:ind w:left="1418" w:hanging="709"/>
        <w:jc w:val="both"/>
        <w:rPr>
          <w:rFonts w:ascii="Times New Roman" w:eastAsia="Times New Roman" w:hAnsi="Times New Roman" w:cs="Times New Roman"/>
          <w:lang w:eastAsia="lv-LV"/>
        </w:rPr>
      </w:pPr>
      <w:r w:rsidRPr="005A39D1">
        <w:rPr>
          <w:rFonts w:ascii="Times New Roman" w:hAnsi="Times New Roman" w:cs="Times New Roman"/>
        </w:rPr>
        <w:t>1.2.2.</w:t>
      </w:r>
      <w:r>
        <w:t xml:space="preserve"> </w:t>
      </w:r>
      <w:r w:rsidRPr="00D933F6">
        <w:rPr>
          <w:rFonts w:ascii="Times New Roman" w:eastAsia="Times New Roman" w:hAnsi="Times New Roman" w:cs="Times New Roman"/>
          <w:lang w:eastAsia="lv-LV"/>
        </w:rPr>
        <w:t>2 (divu) nedēļu pēc izbūvētās ielas ar šķembu segumu nodošanas ekspluatācijā</w:t>
      </w:r>
      <w:r>
        <w:rPr>
          <w:rFonts w:ascii="Times New Roman" w:eastAsia="Times New Roman" w:hAnsi="Times New Roman" w:cs="Times New Roman"/>
          <w:lang w:eastAsia="lv-LV"/>
        </w:rPr>
        <w:t>,</w:t>
      </w:r>
      <w:r w:rsidRPr="00D933F6">
        <w:rPr>
          <w:rFonts w:ascii="Times New Roman" w:eastAsia="Times New Roman" w:hAnsi="Times New Roman" w:cs="Times New Roman"/>
          <w:lang w:eastAsia="lv-LV"/>
        </w:rPr>
        <w:t xml:space="preserve"> iesniedz Pašvaldībai pirmā pieprasījuma neatsaucamu bankas garantiju (turpmāk - Bankas garantija) </w:t>
      </w:r>
      <w:r w:rsidRPr="006D6366">
        <w:rPr>
          <w:rFonts w:ascii="Times New Roman" w:eastAsia="Times New Roman" w:hAnsi="Times New Roman" w:cs="Times New Roman"/>
          <w:lang w:eastAsia="lv-LV"/>
        </w:rPr>
        <w:t>par</w:t>
      </w:r>
      <w:r>
        <w:rPr>
          <w:rFonts w:ascii="Times New Roman" w:eastAsia="Times New Roman" w:hAnsi="Times New Roman" w:cs="Times New Roman"/>
          <w:lang w:eastAsia="lv-LV"/>
        </w:rPr>
        <w:t xml:space="preserve"> ielas </w:t>
      </w:r>
      <w:r w:rsidRPr="006D636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w:t>
      </w:r>
      <w:r w:rsidRPr="006D6366">
        <w:rPr>
          <w:rFonts w:ascii="Times New Roman" w:eastAsia="Times New Roman" w:hAnsi="Times New Roman" w:cs="Times New Roman"/>
          <w:lang w:eastAsia="lv-LV"/>
        </w:rPr>
        <w:t xml:space="preserve">cietā seguma izbūvi 3 gadu laikā </w:t>
      </w:r>
      <w:r w:rsidRPr="00D933F6">
        <w:rPr>
          <w:rFonts w:ascii="Times New Roman" w:eastAsia="Times New Roman" w:hAnsi="Times New Roman" w:cs="Times New Roman"/>
          <w:lang w:eastAsia="lv-LV"/>
        </w:rPr>
        <w:t xml:space="preserve">par summu  </w:t>
      </w:r>
      <w:r w:rsidRPr="00D05158">
        <w:rPr>
          <w:rFonts w:ascii="Times New Roman" w:eastAsia="Times New Roman" w:hAnsi="Times New Roman" w:cs="Times New Roman"/>
          <w:lang w:eastAsia="lv-LV"/>
        </w:rPr>
        <w:t>367 41</w:t>
      </w:r>
      <w:r>
        <w:rPr>
          <w:rFonts w:ascii="Times New Roman" w:eastAsia="Times New Roman" w:hAnsi="Times New Roman" w:cs="Times New Roman"/>
          <w:lang w:eastAsia="lv-LV"/>
        </w:rPr>
        <w:t>7</w:t>
      </w:r>
      <w:r w:rsidRPr="00D05158">
        <w:rPr>
          <w:rFonts w:ascii="Times New Roman" w:eastAsia="Times New Roman" w:hAnsi="Times New Roman" w:cs="Times New Roman"/>
          <w:lang w:eastAsia="lv-LV"/>
        </w:rPr>
        <w:t xml:space="preserve"> </w:t>
      </w:r>
      <w:r w:rsidRPr="001D07FC">
        <w:rPr>
          <w:rFonts w:ascii="Times New Roman" w:eastAsia="Times New Roman" w:hAnsi="Times New Roman" w:cs="Times New Roman"/>
          <w:lang w:eastAsia="lv-LV"/>
        </w:rPr>
        <w:t>EUR,</w:t>
      </w:r>
      <w:r w:rsidRPr="00514EA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 </w:t>
      </w:r>
      <w:r w:rsidRPr="00D933F6">
        <w:rPr>
          <w:rFonts w:ascii="Times New Roman" w:eastAsia="Times New Roman" w:hAnsi="Times New Roman" w:cs="Times New Roman"/>
          <w:lang w:eastAsia="lv-LV"/>
        </w:rPr>
        <w:t xml:space="preserve">kurā norādīts, ka Bankas garantijas devējam  ir pienākums </w:t>
      </w:r>
      <w:r>
        <w:rPr>
          <w:rFonts w:ascii="Times New Roman" w:eastAsia="Times New Roman" w:hAnsi="Times New Roman" w:cs="Times New Roman"/>
          <w:lang w:eastAsia="lv-LV"/>
        </w:rPr>
        <w:t>P</w:t>
      </w:r>
      <w:r w:rsidRPr="00D933F6">
        <w:rPr>
          <w:rFonts w:ascii="Times New Roman" w:eastAsia="Times New Roman" w:hAnsi="Times New Roman" w:cs="Times New Roman"/>
          <w:lang w:eastAsia="lv-LV"/>
        </w:rPr>
        <w:t>ašvaldībai,  kā Bankas garantijas saņēmējam pēc pirmā pieprasījuma 5 (piecu) darba dienu laikā samaksāt naudas summu, kas nepārsniedz garantijā noteikto summu, ja Attīstītājs  neizpilda saistības, kas noteiktas Vienošanās  un par kurām izdota garantija, nepieprasot no Pašvaldības papildus pierādījumus vai paskaidrojumus.</w:t>
      </w:r>
      <w:r w:rsidRPr="005A39D1">
        <w:t xml:space="preserve"> </w:t>
      </w:r>
      <w:r w:rsidRPr="005A39D1">
        <w:rPr>
          <w:rFonts w:ascii="Times New Roman" w:eastAsia="Times New Roman" w:hAnsi="Times New Roman" w:cs="Times New Roman"/>
          <w:lang w:eastAsia="lv-LV"/>
        </w:rPr>
        <w:t>Bankas garantijas devējs ir Eiropas Savienības vai Eiropas Ekonomikas zonas dalībvalstī reģistrēta kredītiestāde, tās filiāle vai ārvalsts kredītiestādes filiāle, kura ir tiesīga Latvijas Republikā veikt kredītiestādes darbību</w:t>
      </w:r>
      <w:r w:rsidR="002929EF">
        <w:rPr>
          <w:rFonts w:ascii="Times New Roman" w:eastAsia="Times New Roman" w:hAnsi="Times New Roman" w:cs="Times New Roman"/>
          <w:lang w:eastAsia="lv-LV"/>
        </w:rPr>
        <w:t>;</w:t>
      </w:r>
    </w:p>
    <w:p w14:paraId="1BDAA0B4" w14:textId="77777777" w:rsidR="006C2F37" w:rsidRPr="007630E2" w:rsidRDefault="00C173EC" w:rsidP="006C2F37">
      <w:pPr>
        <w:pStyle w:val="Paraststmeklis"/>
        <w:spacing w:before="120" w:beforeAutospacing="0" w:after="120" w:afterAutospacing="0"/>
        <w:ind w:left="1418" w:hanging="698"/>
        <w:jc w:val="both"/>
      </w:pPr>
      <w:r>
        <w:t>1.2.3.  p</w:t>
      </w:r>
      <w:r w:rsidRPr="007630E2">
        <w:t xml:space="preserve">ēc </w:t>
      </w:r>
      <w:r>
        <w:t>Bankas garantijas iesniegšanas ir tiesīgs v</w:t>
      </w:r>
      <w:r w:rsidRPr="007630E2">
        <w:t xml:space="preserve">eikt kadastrālo </w:t>
      </w:r>
      <w:r>
        <w:t xml:space="preserve">zemes vienību </w:t>
      </w:r>
      <w:r w:rsidRPr="007630E2">
        <w:t>izdalīšanu ar zemes ierīcības projektu (bez adrešu saņemšanas un nesadalīšanu atsevišķos īpašumos);</w:t>
      </w:r>
    </w:p>
    <w:p w14:paraId="2D53CDFE" w14:textId="77777777" w:rsidR="006C2F37" w:rsidRDefault="00C173EC" w:rsidP="006C2F37">
      <w:pPr>
        <w:pStyle w:val="Paraststmeklis"/>
        <w:spacing w:before="120" w:beforeAutospacing="0" w:after="120" w:afterAutospacing="0"/>
        <w:ind w:left="1418" w:hanging="698"/>
        <w:jc w:val="both"/>
      </w:pPr>
      <w:r>
        <w:t>1.2.4.  izstrādā ēku būvprojektus un uzsāk dzīvojamo ēku būvdarbus izdalītajās zemes vienībās;</w:t>
      </w:r>
    </w:p>
    <w:p w14:paraId="03125062" w14:textId="77777777" w:rsidR="006C2F37" w:rsidRDefault="00C173EC" w:rsidP="006C2F37">
      <w:pPr>
        <w:pStyle w:val="Paraststmeklis"/>
        <w:spacing w:before="120" w:beforeAutospacing="0" w:after="120" w:afterAutospacing="0"/>
        <w:ind w:left="1276" w:hanging="556"/>
        <w:jc w:val="both"/>
      </w:pPr>
      <w:r>
        <w:t>1.2.5. veic izbūvētās ielas virskārtas seguma nomaiņu no šķembu klājuma uz asfalta vai bruģakmens segumu (ar jaunu būvniecības dokumentāciju atbilstoši spēkā esošiem normatīviem);</w:t>
      </w:r>
    </w:p>
    <w:p w14:paraId="70A28189" w14:textId="5B605D4E" w:rsidR="006C2F37" w:rsidRDefault="00C173EC" w:rsidP="006C2F37">
      <w:pPr>
        <w:pStyle w:val="Paraststmeklis"/>
        <w:spacing w:before="120" w:beforeAutospacing="0" w:after="120" w:afterAutospacing="0"/>
        <w:ind w:left="1276" w:hanging="556"/>
        <w:jc w:val="both"/>
      </w:pPr>
      <w:r>
        <w:t xml:space="preserve">1.2.6. pēc asfalta vai bruģakmens seguma izbūves nodošanas ekspluatācijā  saņem </w:t>
      </w:r>
      <w:r w:rsidR="00682004">
        <w:t xml:space="preserve">zemes vienību </w:t>
      </w:r>
      <w:r>
        <w:t>adreses un reģistrē izdalītās vienības atsevišķās zemesgrāmatās un nodod ēkas ekspluatācijā;</w:t>
      </w:r>
    </w:p>
    <w:p w14:paraId="25505EFB" w14:textId="77777777" w:rsidR="006C2F37" w:rsidRDefault="00C173EC" w:rsidP="006C2F37">
      <w:pPr>
        <w:pStyle w:val="Sarakstarindkopa"/>
        <w:numPr>
          <w:ilvl w:val="1"/>
          <w:numId w:val="5"/>
        </w:numPr>
        <w:spacing w:before="120" w:line="259" w:lineRule="auto"/>
        <w:ind w:left="850" w:hanging="493"/>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Pašvaldība ir tiesīga 4 mēnešus pirms Bankas garantijā paredzētā termiņa iestāšanās pieprasīt Attīstītājam palielināt Bankas garantijas summu, ja Attīstītājs nav uzsācis ielas ar cieto segumu izbūvi, ja tirgus izpēte liecina, ka Bankas garantijā norādītā summa nav pietiekama cietā seguma izbūvei; </w:t>
      </w:r>
    </w:p>
    <w:p w14:paraId="1758977B" w14:textId="11434D57" w:rsidR="006C2F37" w:rsidRDefault="00C173EC" w:rsidP="006C2F37">
      <w:pPr>
        <w:pStyle w:val="Sarakstarindkopa"/>
        <w:numPr>
          <w:ilvl w:val="1"/>
          <w:numId w:val="5"/>
        </w:numPr>
        <w:spacing w:before="120" w:line="259" w:lineRule="auto"/>
        <w:ind w:left="850" w:hanging="493"/>
        <w:contextualSpacing w:val="0"/>
        <w:jc w:val="both"/>
        <w:rPr>
          <w:rFonts w:ascii="Times New Roman" w:eastAsia="Times New Roman" w:hAnsi="Times New Roman" w:cs="Times New Roman"/>
          <w:lang w:eastAsia="lv-LV"/>
        </w:rPr>
      </w:pPr>
      <w:r w:rsidRPr="00EF5AF1">
        <w:rPr>
          <w:rFonts w:ascii="Times New Roman" w:eastAsia="Times New Roman" w:hAnsi="Times New Roman" w:cs="Times New Roman"/>
          <w:lang w:eastAsia="lv-LV"/>
        </w:rPr>
        <w:t>Pašvaldība</w:t>
      </w:r>
      <w:r>
        <w:rPr>
          <w:rFonts w:ascii="Times New Roman" w:eastAsia="Times New Roman" w:hAnsi="Times New Roman" w:cs="Times New Roman"/>
          <w:lang w:eastAsia="lv-LV"/>
        </w:rPr>
        <w:t>i, i</w:t>
      </w:r>
      <w:r w:rsidRPr="00EF5AF1">
        <w:rPr>
          <w:rFonts w:ascii="Times New Roman" w:eastAsia="Times New Roman" w:hAnsi="Times New Roman" w:cs="Times New Roman"/>
          <w:lang w:eastAsia="lv-LV"/>
        </w:rPr>
        <w:t xml:space="preserve">zmantojot pirmā pieprasījuma Bankas garantiju un saņemot Bankas garantijā noradīto naudas summu, </w:t>
      </w:r>
      <w:r>
        <w:rPr>
          <w:rFonts w:ascii="Times New Roman" w:eastAsia="Times New Roman" w:hAnsi="Times New Roman" w:cs="Times New Roman"/>
          <w:lang w:eastAsia="lv-LV"/>
        </w:rPr>
        <w:t>ir</w:t>
      </w:r>
      <w:r w:rsidRPr="00EF5AF1">
        <w:rPr>
          <w:rFonts w:ascii="Times New Roman" w:eastAsia="Times New Roman" w:hAnsi="Times New Roman" w:cs="Times New Roman"/>
          <w:lang w:eastAsia="lv-LV"/>
        </w:rPr>
        <w:t xml:space="preserve"> pienākums ir izbūvēt Vienošanās paredzēt</w:t>
      </w:r>
      <w:r>
        <w:rPr>
          <w:rFonts w:ascii="Times New Roman" w:eastAsia="Times New Roman" w:hAnsi="Times New Roman" w:cs="Times New Roman"/>
          <w:lang w:eastAsia="lv-LV"/>
        </w:rPr>
        <w:t>o</w:t>
      </w:r>
      <w:r w:rsidRPr="00EF5AF1">
        <w:rPr>
          <w:rFonts w:ascii="Times New Roman" w:eastAsia="Times New Roman" w:hAnsi="Times New Roman" w:cs="Times New Roman"/>
          <w:lang w:eastAsia="lv-LV"/>
        </w:rPr>
        <w:t xml:space="preserve"> iel</w:t>
      </w:r>
      <w:r>
        <w:rPr>
          <w:rFonts w:ascii="Times New Roman" w:eastAsia="Times New Roman" w:hAnsi="Times New Roman" w:cs="Times New Roman"/>
          <w:lang w:eastAsia="lv-LV"/>
        </w:rPr>
        <w:t>u</w:t>
      </w:r>
      <w:r w:rsidRPr="00EF5AF1">
        <w:rPr>
          <w:rFonts w:ascii="Times New Roman" w:eastAsia="Times New Roman" w:hAnsi="Times New Roman" w:cs="Times New Roman"/>
          <w:lang w:eastAsia="lv-LV"/>
        </w:rPr>
        <w:t xml:space="preserve"> ar cieto segumu</w:t>
      </w:r>
      <w:r>
        <w:rPr>
          <w:rFonts w:ascii="Times New Roman" w:eastAsia="Times New Roman" w:hAnsi="Times New Roman" w:cs="Times New Roman"/>
          <w:lang w:eastAsia="lv-LV"/>
        </w:rPr>
        <w:t>;</w:t>
      </w:r>
    </w:p>
    <w:p w14:paraId="3CB80A6C" w14:textId="1447C725" w:rsidR="006C2F37" w:rsidRDefault="00C173EC" w:rsidP="006C2F37">
      <w:pPr>
        <w:pStyle w:val="Sarakstarindkopa"/>
        <w:numPr>
          <w:ilvl w:val="1"/>
          <w:numId w:val="5"/>
        </w:numPr>
        <w:spacing w:before="120" w:line="259" w:lineRule="auto"/>
        <w:ind w:left="850" w:hanging="493"/>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Parakstot Vienošanos</w:t>
      </w:r>
      <w:r w:rsidR="004A3E07">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Attīstītājs piekrīt, ka lēmuma 1.4. punkta iestāšanās gadījumā Attīstītājs nodod ielas ar cieto segumu būvprojektu Pašvaldības rīcībā.</w:t>
      </w:r>
    </w:p>
    <w:p w14:paraId="7B74A8AC" w14:textId="53417571" w:rsidR="006C2F37" w:rsidRPr="00BB5F84" w:rsidRDefault="00C173EC" w:rsidP="006C2F37">
      <w:pPr>
        <w:pStyle w:val="Sarakstarindkopa"/>
        <w:numPr>
          <w:ilvl w:val="0"/>
          <w:numId w:val="5"/>
        </w:numPr>
        <w:spacing w:before="120" w:line="259" w:lineRule="auto"/>
        <w:ind w:left="426" w:hanging="426"/>
        <w:contextualSpacing w:val="0"/>
        <w:jc w:val="both"/>
        <w:rPr>
          <w:rFonts w:ascii="Times New Roman" w:eastAsia="Times New Roman" w:hAnsi="Times New Roman" w:cs="Times New Roman"/>
          <w:lang w:eastAsia="lv-LV"/>
        </w:rPr>
      </w:pPr>
      <w:r w:rsidRPr="00735E06">
        <w:rPr>
          <w:rFonts w:ascii="Times New Roman" w:hAnsi="Times New Roman"/>
        </w:rPr>
        <w:lastRenderedPageBreak/>
        <w:t xml:space="preserve">Centrālās pārvaldes Juridiskajai un iepirkumu nodaļai </w:t>
      </w:r>
      <w:r>
        <w:rPr>
          <w:rFonts w:ascii="Times New Roman" w:hAnsi="Times New Roman"/>
        </w:rPr>
        <w:t>viena mēneša laikā no lēmuma pieņemšanas organizēt</w:t>
      </w:r>
      <w:r w:rsidRPr="00735E06">
        <w:rPr>
          <w:rFonts w:ascii="Times New Roman" w:hAnsi="Times New Roman"/>
        </w:rPr>
        <w:t xml:space="preserve"> vienošan</w:t>
      </w:r>
      <w:r>
        <w:rPr>
          <w:rFonts w:ascii="Times New Roman" w:hAnsi="Times New Roman"/>
        </w:rPr>
        <w:t>ās noslēgšanu</w:t>
      </w:r>
      <w:r w:rsidRPr="00735E06">
        <w:rPr>
          <w:rFonts w:ascii="Times New Roman" w:hAnsi="Times New Roman"/>
        </w:rPr>
        <w:t xml:space="preserve"> </w:t>
      </w:r>
      <w:r>
        <w:rPr>
          <w:rFonts w:ascii="Times New Roman" w:hAnsi="Times New Roman"/>
        </w:rPr>
        <w:t>ar Attīstītāju.</w:t>
      </w:r>
      <w:r w:rsidRPr="00BB5F84">
        <w:rPr>
          <w:rFonts w:ascii="Times New Roman" w:eastAsia="Times New Roman" w:hAnsi="Times New Roman" w:cs="Times New Roman"/>
          <w:lang w:eastAsia="lv-LV"/>
        </w:rPr>
        <w:t xml:space="preserve"> </w:t>
      </w:r>
    </w:p>
    <w:p w14:paraId="23CB074E" w14:textId="421B331C" w:rsidR="00564CA6" w:rsidRPr="006C2F37" w:rsidRDefault="00564CA6" w:rsidP="00BB16A4">
      <w:pPr>
        <w:jc w:val="both"/>
        <w:rPr>
          <w:rFonts w:ascii="Times New Roman" w:hAnsi="Times New Roman" w:cs="Times New Roman"/>
          <w:iCs/>
        </w:rPr>
      </w:pPr>
    </w:p>
    <w:p w14:paraId="28848560" w14:textId="77777777" w:rsidR="00BB16A4" w:rsidRDefault="00BB16A4" w:rsidP="00BB16A4">
      <w:pPr>
        <w:jc w:val="both"/>
        <w:rPr>
          <w:rFonts w:ascii="Times New Roman" w:hAnsi="Times New Roman" w:cs="Times New Roman"/>
        </w:rPr>
      </w:pPr>
    </w:p>
    <w:p w14:paraId="560288AB" w14:textId="77777777" w:rsidR="00865A0C" w:rsidRPr="00564CA6" w:rsidRDefault="00865A0C" w:rsidP="00BB16A4">
      <w:pPr>
        <w:jc w:val="both"/>
        <w:rPr>
          <w:rFonts w:ascii="Times New Roman" w:hAnsi="Times New Roman" w:cs="Times New Roman"/>
        </w:rPr>
      </w:pPr>
    </w:p>
    <w:p w14:paraId="0730CF35" w14:textId="77777777" w:rsidR="00F2237A" w:rsidRPr="00285C14" w:rsidRDefault="00F2237A" w:rsidP="00F2237A">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7689CA51" w14:textId="77777777" w:rsidR="00F2237A" w:rsidRPr="00285C14" w:rsidRDefault="00F2237A" w:rsidP="00F2237A">
      <w:pPr>
        <w:jc w:val="center"/>
        <w:rPr>
          <w:rFonts w:ascii="Times New Roman" w:hAnsi="Times New Roman"/>
        </w:rPr>
      </w:pPr>
    </w:p>
    <w:p w14:paraId="1F2369C2" w14:textId="77777777" w:rsidR="00F2237A" w:rsidRPr="002213E7" w:rsidRDefault="00F2237A" w:rsidP="00F2237A">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43B68DE7" w14:textId="398039A9" w:rsidR="00191312" w:rsidRPr="00B47C10" w:rsidRDefault="00191312" w:rsidP="00564CA6">
      <w:pPr>
        <w:rPr>
          <w:rFonts w:ascii="Times New Roman" w:hAnsi="Times New Roman" w:cs="Times New Roman"/>
          <w:sz w:val="20"/>
          <w:szCs w:val="20"/>
        </w:rPr>
      </w:pPr>
    </w:p>
    <w:sectPr w:rsidR="00191312"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4911" w14:textId="77777777" w:rsidR="001F1A36" w:rsidRDefault="001F1A36">
      <w:r>
        <w:separator/>
      </w:r>
    </w:p>
  </w:endnote>
  <w:endnote w:type="continuationSeparator" w:id="0">
    <w:p w14:paraId="46095001" w14:textId="77777777" w:rsidR="001F1A36" w:rsidRDefault="001F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6965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173E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4730" w14:textId="77777777" w:rsidR="001F1A36" w:rsidRDefault="001F1A36">
      <w:r>
        <w:separator/>
      </w:r>
    </w:p>
  </w:footnote>
  <w:footnote w:type="continuationSeparator" w:id="0">
    <w:p w14:paraId="5A3C6F95" w14:textId="77777777" w:rsidR="001F1A36" w:rsidRDefault="001F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multilevel"/>
    <w:tmpl w:val="FF449F1C"/>
    <w:lvl w:ilvl="0">
      <w:start w:val="1"/>
      <w:numFmt w:val="decimal"/>
      <w:lvlText w:val="%1."/>
      <w:lvlJc w:val="left"/>
      <w:pPr>
        <w:ind w:left="360" w:hanging="360"/>
      </w:pPr>
      <w:rPr>
        <w:sz w:val="24"/>
        <w:szCs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7752F3"/>
    <w:multiLevelType w:val="hybridMultilevel"/>
    <w:tmpl w:val="63841CA0"/>
    <w:lvl w:ilvl="0" w:tplc="56B60248">
      <w:start w:val="1"/>
      <w:numFmt w:val="decimal"/>
      <w:lvlText w:val="%1."/>
      <w:lvlJc w:val="left"/>
      <w:pPr>
        <w:ind w:left="720" w:hanging="360"/>
      </w:pPr>
      <w:rPr>
        <w:rFonts w:hint="default"/>
      </w:rPr>
    </w:lvl>
    <w:lvl w:ilvl="1" w:tplc="07324CCA" w:tentative="1">
      <w:start w:val="1"/>
      <w:numFmt w:val="lowerLetter"/>
      <w:lvlText w:val="%2."/>
      <w:lvlJc w:val="left"/>
      <w:pPr>
        <w:ind w:left="1440" w:hanging="360"/>
      </w:pPr>
    </w:lvl>
    <w:lvl w:ilvl="2" w:tplc="4DB44482" w:tentative="1">
      <w:start w:val="1"/>
      <w:numFmt w:val="lowerRoman"/>
      <w:lvlText w:val="%3."/>
      <w:lvlJc w:val="right"/>
      <w:pPr>
        <w:ind w:left="2160" w:hanging="180"/>
      </w:pPr>
    </w:lvl>
    <w:lvl w:ilvl="3" w:tplc="88742D94" w:tentative="1">
      <w:start w:val="1"/>
      <w:numFmt w:val="decimal"/>
      <w:lvlText w:val="%4."/>
      <w:lvlJc w:val="left"/>
      <w:pPr>
        <w:ind w:left="2880" w:hanging="360"/>
      </w:pPr>
    </w:lvl>
    <w:lvl w:ilvl="4" w:tplc="E966785A" w:tentative="1">
      <w:start w:val="1"/>
      <w:numFmt w:val="lowerLetter"/>
      <w:lvlText w:val="%5."/>
      <w:lvlJc w:val="left"/>
      <w:pPr>
        <w:ind w:left="3600" w:hanging="360"/>
      </w:pPr>
    </w:lvl>
    <w:lvl w:ilvl="5" w:tplc="B7C4657A" w:tentative="1">
      <w:start w:val="1"/>
      <w:numFmt w:val="lowerRoman"/>
      <w:lvlText w:val="%6."/>
      <w:lvlJc w:val="right"/>
      <w:pPr>
        <w:ind w:left="4320" w:hanging="180"/>
      </w:pPr>
    </w:lvl>
    <w:lvl w:ilvl="6" w:tplc="7D385E7C" w:tentative="1">
      <w:start w:val="1"/>
      <w:numFmt w:val="decimal"/>
      <w:lvlText w:val="%7."/>
      <w:lvlJc w:val="left"/>
      <w:pPr>
        <w:ind w:left="5040" w:hanging="360"/>
      </w:pPr>
    </w:lvl>
    <w:lvl w:ilvl="7" w:tplc="58FAFB82" w:tentative="1">
      <w:start w:val="1"/>
      <w:numFmt w:val="lowerLetter"/>
      <w:lvlText w:val="%8."/>
      <w:lvlJc w:val="left"/>
      <w:pPr>
        <w:ind w:left="5760" w:hanging="360"/>
      </w:pPr>
    </w:lvl>
    <w:lvl w:ilvl="8" w:tplc="3B688648" w:tentative="1">
      <w:start w:val="1"/>
      <w:numFmt w:val="lowerRoman"/>
      <w:lvlText w:val="%9."/>
      <w:lvlJc w:val="right"/>
      <w:pPr>
        <w:ind w:left="6480" w:hanging="180"/>
      </w:pPr>
    </w:lvl>
  </w:abstractNum>
  <w:abstractNum w:abstractNumId="2" w15:restartNumberingAfterBreak="0">
    <w:nsid w:val="49975997"/>
    <w:multiLevelType w:val="hybridMultilevel"/>
    <w:tmpl w:val="933E3E86"/>
    <w:lvl w:ilvl="0" w:tplc="7174085E">
      <w:start w:val="1"/>
      <w:numFmt w:val="decimal"/>
      <w:lvlText w:val="%1."/>
      <w:lvlJc w:val="left"/>
      <w:pPr>
        <w:ind w:left="720" w:hanging="360"/>
      </w:pPr>
      <w:rPr>
        <w:rFonts w:ascii="Times New Roman" w:eastAsiaTheme="minorHAnsi" w:hAnsi="Times New Roman" w:cs="Times New Roman"/>
      </w:rPr>
    </w:lvl>
    <w:lvl w:ilvl="1" w:tplc="5BB6C852">
      <w:start w:val="1"/>
      <w:numFmt w:val="lowerLetter"/>
      <w:lvlText w:val="%2."/>
      <w:lvlJc w:val="left"/>
      <w:pPr>
        <w:ind w:left="1440" w:hanging="360"/>
      </w:pPr>
    </w:lvl>
    <w:lvl w:ilvl="2" w:tplc="904A1070" w:tentative="1">
      <w:start w:val="1"/>
      <w:numFmt w:val="lowerRoman"/>
      <w:lvlText w:val="%3."/>
      <w:lvlJc w:val="right"/>
      <w:pPr>
        <w:ind w:left="2160" w:hanging="180"/>
      </w:pPr>
    </w:lvl>
    <w:lvl w:ilvl="3" w:tplc="EEA496F0" w:tentative="1">
      <w:start w:val="1"/>
      <w:numFmt w:val="decimal"/>
      <w:lvlText w:val="%4."/>
      <w:lvlJc w:val="left"/>
      <w:pPr>
        <w:ind w:left="2880" w:hanging="360"/>
      </w:pPr>
    </w:lvl>
    <w:lvl w:ilvl="4" w:tplc="16144BDA" w:tentative="1">
      <w:start w:val="1"/>
      <w:numFmt w:val="lowerLetter"/>
      <w:lvlText w:val="%5."/>
      <w:lvlJc w:val="left"/>
      <w:pPr>
        <w:ind w:left="3600" w:hanging="360"/>
      </w:pPr>
    </w:lvl>
    <w:lvl w:ilvl="5" w:tplc="549EB766" w:tentative="1">
      <w:start w:val="1"/>
      <w:numFmt w:val="lowerRoman"/>
      <w:lvlText w:val="%6."/>
      <w:lvlJc w:val="right"/>
      <w:pPr>
        <w:ind w:left="4320" w:hanging="180"/>
      </w:pPr>
    </w:lvl>
    <w:lvl w:ilvl="6" w:tplc="396EB866" w:tentative="1">
      <w:start w:val="1"/>
      <w:numFmt w:val="decimal"/>
      <w:lvlText w:val="%7."/>
      <w:lvlJc w:val="left"/>
      <w:pPr>
        <w:ind w:left="5040" w:hanging="360"/>
      </w:pPr>
    </w:lvl>
    <w:lvl w:ilvl="7" w:tplc="D9567274" w:tentative="1">
      <w:start w:val="1"/>
      <w:numFmt w:val="lowerLetter"/>
      <w:lvlText w:val="%8."/>
      <w:lvlJc w:val="left"/>
      <w:pPr>
        <w:ind w:left="5760" w:hanging="360"/>
      </w:pPr>
    </w:lvl>
    <w:lvl w:ilvl="8" w:tplc="45D43D00"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5E054DC"/>
    <w:multiLevelType w:val="multilevel"/>
    <w:tmpl w:val="83B41DA2"/>
    <w:lvl w:ilvl="0">
      <w:start w:val="4"/>
      <w:numFmt w:val="decimal"/>
      <w:lvlText w:val="%1."/>
      <w:lvlJc w:val="left"/>
      <w:pPr>
        <w:ind w:left="785"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0567416">
    <w:abstractNumId w:val="3"/>
  </w:num>
  <w:num w:numId="2" w16cid:durableId="1964530278">
    <w:abstractNumId w:val="1"/>
  </w:num>
  <w:num w:numId="3" w16cid:durableId="1735272658">
    <w:abstractNumId w:val="2"/>
  </w:num>
  <w:num w:numId="4" w16cid:durableId="630399981">
    <w:abstractNumId w:val="4"/>
  </w:num>
  <w:num w:numId="5"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40B5"/>
    <w:rsid w:val="00070E3F"/>
    <w:rsid w:val="00072177"/>
    <w:rsid w:val="00147221"/>
    <w:rsid w:val="00150F73"/>
    <w:rsid w:val="00166CED"/>
    <w:rsid w:val="00175F79"/>
    <w:rsid w:val="00191312"/>
    <w:rsid w:val="00195A73"/>
    <w:rsid w:val="001A297B"/>
    <w:rsid w:val="001D07FC"/>
    <w:rsid w:val="001F1A36"/>
    <w:rsid w:val="00230602"/>
    <w:rsid w:val="0025391B"/>
    <w:rsid w:val="002929EF"/>
    <w:rsid w:val="00297558"/>
    <w:rsid w:val="002D53F6"/>
    <w:rsid w:val="002F674F"/>
    <w:rsid w:val="00351D48"/>
    <w:rsid w:val="00373BCE"/>
    <w:rsid w:val="003C401E"/>
    <w:rsid w:val="003C5CF5"/>
    <w:rsid w:val="004A3E07"/>
    <w:rsid w:val="004D516C"/>
    <w:rsid w:val="0051191E"/>
    <w:rsid w:val="00514EAA"/>
    <w:rsid w:val="00521C00"/>
    <w:rsid w:val="0053073B"/>
    <w:rsid w:val="00543508"/>
    <w:rsid w:val="00564CA6"/>
    <w:rsid w:val="005A2CC9"/>
    <w:rsid w:val="005A39D1"/>
    <w:rsid w:val="005B7688"/>
    <w:rsid w:val="005C7FA1"/>
    <w:rsid w:val="00617AAC"/>
    <w:rsid w:val="0064798A"/>
    <w:rsid w:val="00682004"/>
    <w:rsid w:val="00693F05"/>
    <w:rsid w:val="006C2EB5"/>
    <w:rsid w:val="006C2F37"/>
    <w:rsid w:val="006D3451"/>
    <w:rsid w:val="006D513B"/>
    <w:rsid w:val="006D6366"/>
    <w:rsid w:val="00735E06"/>
    <w:rsid w:val="0074092B"/>
    <w:rsid w:val="007630E2"/>
    <w:rsid w:val="00782A43"/>
    <w:rsid w:val="007913C4"/>
    <w:rsid w:val="0079484F"/>
    <w:rsid w:val="007B4DDB"/>
    <w:rsid w:val="008257F8"/>
    <w:rsid w:val="00865A0C"/>
    <w:rsid w:val="008928DA"/>
    <w:rsid w:val="008C23FE"/>
    <w:rsid w:val="008E3846"/>
    <w:rsid w:val="009139A1"/>
    <w:rsid w:val="00921CB5"/>
    <w:rsid w:val="00931891"/>
    <w:rsid w:val="0093223F"/>
    <w:rsid w:val="0095256A"/>
    <w:rsid w:val="00996740"/>
    <w:rsid w:val="009A3989"/>
    <w:rsid w:val="009B7F8F"/>
    <w:rsid w:val="00A10992"/>
    <w:rsid w:val="00A254B5"/>
    <w:rsid w:val="00A52B04"/>
    <w:rsid w:val="00B0377D"/>
    <w:rsid w:val="00B36CD4"/>
    <w:rsid w:val="00B4014F"/>
    <w:rsid w:val="00B47C10"/>
    <w:rsid w:val="00BB16A4"/>
    <w:rsid w:val="00BB5B62"/>
    <w:rsid w:val="00BB5F84"/>
    <w:rsid w:val="00BB6AAE"/>
    <w:rsid w:val="00BE75D1"/>
    <w:rsid w:val="00C173EC"/>
    <w:rsid w:val="00C56B76"/>
    <w:rsid w:val="00C82360"/>
    <w:rsid w:val="00C9477C"/>
    <w:rsid w:val="00CC1B2F"/>
    <w:rsid w:val="00CF16C2"/>
    <w:rsid w:val="00D05158"/>
    <w:rsid w:val="00D402D0"/>
    <w:rsid w:val="00D56262"/>
    <w:rsid w:val="00D86969"/>
    <w:rsid w:val="00D933F6"/>
    <w:rsid w:val="00DD2078"/>
    <w:rsid w:val="00E33EA7"/>
    <w:rsid w:val="00E52DA2"/>
    <w:rsid w:val="00E63B99"/>
    <w:rsid w:val="00E75D8D"/>
    <w:rsid w:val="00E80D3B"/>
    <w:rsid w:val="00E8282D"/>
    <w:rsid w:val="00E92E2C"/>
    <w:rsid w:val="00EA3EB5"/>
    <w:rsid w:val="00EF06E1"/>
    <w:rsid w:val="00EF5AF1"/>
    <w:rsid w:val="00F2237A"/>
    <w:rsid w:val="00F40FB5"/>
    <w:rsid w:val="00FA29A3"/>
    <w:rsid w:val="00FF3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F40FB5"/>
    <w:pPr>
      <w:ind w:left="720"/>
      <w:contextualSpacing/>
    </w:pPr>
  </w:style>
  <w:style w:type="paragraph" w:styleId="Paraststmeklis">
    <w:name w:val="Normal (Web)"/>
    <w:basedOn w:val="Parasts"/>
    <w:uiPriority w:val="99"/>
    <w:unhideWhenUsed/>
    <w:rsid w:val="006C2F37"/>
    <w:pPr>
      <w:spacing w:before="100" w:beforeAutospacing="1" w:after="100" w:afterAutospacing="1"/>
    </w:pPr>
    <w:rPr>
      <w:rFonts w:ascii="Times New Roman" w:eastAsia="Times New Roman" w:hAnsi="Times New Roman" w:cs="Times New Roman"/>
      <w:lang w:eastAsia="lv-LV"/>
    </w:rPr>
  </w:style>
  <w:style w:type="character" w:styleId="Hipersaite">
    <w:name w:val="Hyperlink"/>
    <w:basedOn w:val="Noklusjumarindkopasfonts"/>
    <w:uiPriority w:val="99"/>
    <w:unhideWhenUsed/>
    <w:rsid w:val="00191312"/>
    <w:rPr>
      <w:color w:val="0563C1" w:themeColor="hyperlink"/>
      <w:u w:val="single"/>
    </w:rPr>
  </w:style>
  <w:style w:type="character" w:styleId="Komentraatsauce">
    <w:name w:val="annotation reference"/>
    <w:basedOn w:val="Noklusjumarindkopasfonts"/>
    <w:uiPriority w:val="99"/>
    <w:semiHidden/>
    <w:unhideWhenUsed/>
    <w:rsid w:val="00682004"/>
    <w:rPr>
      <w:sz w:val="16"/>
      <w:szCs w:val="16"/>
    </w:rPr>
  </w:style>
  <w:style w:type="paragraph" w:styleId="Komentrateksts">
    <w:name w:val="annotation text"/>
    <w:basedOn w:val="Parasts"/>
    <w:link w:val="KomentratekstsRakstz"/>
    <w:uiPriority w:val="99"/>
    <w:unhideWhenUsed/>
    <w:rsid w:val="00682004"/>
    <w:rPr>
      <w:sz w:val="20"/>
      <w:szCs w:val="20"/>
    </w:rPr>
  </w:style>
  <w:style w:type="character" w:customStyle="1" w:styleId="KomentratekstsRakstz">
    <w:name w:val="Komentāra teksts Rakstz."/>
    <w:basedOn w:val="Noklusjumarindkopasfonts"/>
    <w:link w:val="Komentrateksts"/>
    <w:uiPriority w:val="99"/>
    <w:rsid w:val="00682004"/>
    <w:rPr>
      <w:sz w:val="20"/>
      <w:szCs w:val="20"/>
    </w:rPr>
  </w:style>
  <w:style w:type="paragraph" w:styleId="Komentratma">
    <w:name w:val="annotation subject"/>
    <w:basedOn w:val="Komentrateksts"/>
    <w:next w:val="Komentrateksts"/>
    <w:link w:val="KomentratmaRakstz"/>
    <w:uiPriority w:val="99"/>
    <w:semiHidden/>
    <w:unhideWhenUsed/>
    <w:rsid w:val="00682004"/>
    <w:rPr>
      <w:b/>
      <w:bCs/>
    </w:rPr>
  </w:style>
  <w:style w:type="character" w:customStyle="1" w:styleId="KomentratmaRakstz">
    <w:name w:val="Komentāra tēma Rakstz."/>
    <w:basedOn w:val="KomentratekstsRakstz"/>
    <w:link w:val="Komentratma"/>
    <w:uiPriority w:val="99"/>
    <w:semiHidden/>
    <w:rsid w:val="006820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5978</Words>
  <Characters>3408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2026-06-26T08:33:00Z</dcterms:modified>
</cp:coreProperties>
</file>