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36E5E" w14:textId="57FEA208" w:rsidR="004C769B" w:rsidRDefault="004C769B" w:rsidP="003552A4">
      <w:pPr>
        <w:jc w:val="right"/>
        <w:rPr>
          <w:rFonts w:ascii="Times New Roman" w:hAnsi="Times New Roman" w:cs="Times New Roman"/>
          <w:b/>
          <w:bCs/>
        </w:rPr>
      </w:pPr>
      <w:r>
        <w:rPr>
          <w:rFonts w:ascii="Times New Roman" w:hAnsi="Times New Roman" w:cs="Times New Roman"/>
          <w:b/>
          <w:bCs/>
          <w:noProof/>
        </w:rPr>
        <w:drawing>
          <wp:inline distT="0" distB="0" distL="0" distR="0" wp14:anchorId="5E9AFF8C" wp14:editId="537CA5BA">
            <wp:extent cx="5731510" cy="1317625"/>
            <wp:effectExtent l="0" t="0" r="2540" b="0"/>
            <wp:docPr id="1310233377" name="Attēls 1" descr="The image shows a blue circle with a triangle and a diamond, surrounded by various colored triangle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33377" name="Attēls 1" descr="The image shows a blue circle with a triangle and a diamond, surrounded by various colored triangles.&#10;&#10;Mākslīgā intelekta ģenerēts saturs var būt nepareizs."/>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1317625"/>
                    </a:xfrm>
                    <a:prstGeom prst="rect">
                      <a:avLst/>
                    </a:prstGeom>
                  </pic:spPr>
                </pic:pic>
              </a:graphicData>
            </a:graphic>
          </wp:inline>
        </w:drawing>
      </w:r>
    </w:p>
    <w:p w14:paraId="710098E8" w14:textId="4D1B1A5C" w:rsidR="00D90BC1" w:rsidRDefault="00D90BC1" w:rsidP="00D90BC1">
      <w:pPr>
        <w:jc w:val="center"/>
        <w:rPr>
          <w:rFonts w:ascii="Times New Roman" w:hAnsi="Times New Roman" w:cs="Times New Roman"/>
        </w:rPr>
      </w:pPr>
      <w:r w:rsidRPr="00D90BC1">
        <w:rPr>
          <w:rFonts w:ascii="Times New Roman" w:hAnsi="Times New Roman" w:cs="Times New Roman"/>
        </w:rPr>
        <w:t>Ādaži</w:t>
      </w:r>
    </w:p>
    <w:p w14:paraId="58531553" w14:textId="24E71A61" w:rsidR="00D90BC1" w:rsidRPr="00D90BC1" w:rsidRDefault="00D90BC1" w:rsidP="00D90BC1">
      <w:pPr>
        <w:rPr>
          <w:rFonts w:ascii="Times New Roman" w:hAnsi="Times New Roman" w:cs="Times New Roman"/>
        </w:rPr>
      </w:pPr>
      <w:r>
        <w:rPr>
          <w:rFonts w:ascii="Times New Roman" w:hAnsi="Times New Roman" w:cs="Times New Roman"/>
        </w:rPr>
        <w:t xml:space="preserve">04.06.2026. Nr. </w:t>
      </w:r>
      <w:r w:rsidRPr="00D90BC1">
        <w:rPr>
          <w:rFonts w:ascii="Times New Roman" w:hAnsi="Times New Roman" w:cs="Times New Roman"/>
        </w:rPr>
        <w:t>ĀNS/1-4-2/26/197</w:t>
      </w:r>
    </w:p>
    <w:p w14:paraId="2537ABE4" w14:textId="77777777" w:rsidR="00353F16" w:rsidRDefault="00353F16" w:rsidP="00353F16">
      <w:pPr>
        <w:spacing w:after="0"/>
        <w:jc w:val="right"/>
        <w:rPr>
          <w:rFonts w:ascii="Times New Roman" w:hAnsi="Times New Roman" w:cs="Times New Roman"/>
          <w:b/>
          <w:bCs/>
        </w:rPr>
      </w:pPr>
    </w:p>
    <w:p w14:paraId="72CCAA8A" w14:textId="50248CBA" w:rsidR="003552A4" w:rsidRDefault="003552A4" w:rsidP="00353F16">
      <w:pPr>
        <w:spacing w:after="0"/>
        <w:jc w:val="right"/>
        <w:rPr>
          <w:rFonts w:ascii="Times New Roman" w:hAnsi="Times New Roman" w:cs="Times New Roman"/>
          <w:b/>
          <w:bCs/>
        </w:rPr>
      </w:pPr>
      <w:r w:rsidRPr="003552A4">
        <w:rPr>
          <w:rFonts w:ascii="Times New Roman" w:hAnsi="Times New Roman" w:cs="Times New Roman"/>
          <w:b/>
          <w:bCs/>
        </w:rPr>
        <w:t>Ādažu novada pašvaldības Finanšu komitejai</w:t>
      </w:r>
      <w:r w:rsidRPr="003552A4">
        <w:rPr>
          <w:rFonts w:ascii="Times New Roman" w:hAnsi="Times New Roman" w:cs="Times New Roman"/>
        </w:rPr>
        <w:br/>
      </w:r>
      <w:r w:rsidRPr="003552A4">
        <w:rPr>
          <w:rFonts w:ascii="Times New Roman" w:hAnsi="Times New Roman" w:cs="Times New Roman"/>
          <w:b/>
          <w:bCs/>
        </w:rPr>
        <w:t>Ādažu novada pašvaldībai</w:t>
      </w:r>
    </w:p>
    <w:p w14:paraId="3D11F6A5" w14:textId="51836876" w:rsidR="00353F16" w:rsidRPr="00353F16" w:rsidRDefault="00353F16" w:rsidP="00353F16">
      <w:pPr>
        <w:spacing w:after="0"/>
        <w:jc w:val="right"/>
        <w:rPr>
          <w:rFonts w:ascii="Times New Roman" w:hAnsi="Times New Roman" w:cs="Times New Roman"/>
          <w:i/>
          <w:iCs/>
        </w:rPr>
      </w:pPr>
      <w:hyperlink r:id="rId7" w:history="1">
        <w:r w:rsidRPr="00353F16">
          <w:rPr>
            <w:rStyle w:val="Hipersaite"/>
            <w:rFonts w:ascii="Times New Roman" w:hAnsi="Times New Roman" w:cs="Times New Roman"/>
            <w:i/>
            <w:iCs/>
          </w:rPr>
          <w:t>dome@adazunovads.lv</w:t>
        </w:r>
      </w:hyperlink>
      <w:r w:rsidRPr="00353F16">
        <w:rPr>
          <w:rFonts w:ascii="Times New Roman" w:hAnsi="Times New Roman" w:cs="Times New Roman"/>
          <w:i/>
          <w:iCs/>
        </w:rPr>
        <w:t xml:space="preserve"> </w:t>
      </w:r>
    </w:p>
    <w:p w14:paraId="4B9B7894" w14:textId="77777777" w:rsidR="004C769B" w:rsidRPr="003552A4" w:rsidRDefault="004C769B" w:rsidP="003552A4">
      <w:pPr>
        <w:jc w:val="right"/>
        <w:rPr>
          <w:rFonts w:ascii="Times New Roman" w:hAnsi="Times New Roman" w:cs="Times New Roman"/>
        </w:rPr>
      </w:pPr>
    </w:p>
    <w:p w14:paraId="30B76386" w14:textId="73B52A57" w:rsidR="003552A4" w:rsidRDefault="003552A4" w:rsidP="003552A4">
      <w:pPr>
        <w:jc w:val="both"/>
        <w:rPr>
          <w:rFonts w:ascii="Times New Roman" w:hAnsi="Times New Roman" w:cs="Times New Roman"/>
          <w:b/>
          <w:bCs/>
          <w:i/>
          <w:iCs/>
        </w:rPr>
      </w:pPr>
      <w:r w:rsidRPr="003552A4">
        <w:rPr>
          <w:rFonts w:ascii="Times New Roman" w:hAnsi="Times New Roman" w:cs="Times New Roman"/>
          <w:b/>
          <w:bCs/>
          <w:i/>
          <w:iCs/>
        </w:rPr>
        <w:t>Par siltumenerģijas ražošanas pakalpojuma līgumu ar SIA “BALTENEKO” pirmstermiņa izbeigšanas lietderīb</w:t>
      </w:r>
      <w:r w:rsidR="004C769B">
        <w:rPr>
          <w:rFonts w:ascii="Times New Roman" w:hAnsi="Times New Roman" w:cs="Times New Roman"/>
          <w:b/>
          <w:bCs/>
          <w:i/>
          <w:iCs/>
        </w:rPr>
        <w:t>as izvērtējumu</w:t>
      </w:r>
    </w:p>
    <w:p w14:paraId="55D8D742" w14:textId="77777777" w:rsidR="004C769B" w:rsidRPr="003552A4" w:rsidRDefault="004C769B" w:rsidP="003552A4">
      <w:pPr>
        <w:jc w:val="both"/>
        <w:rPr>
          <w:rFonts w:ascii="Times New Roman" w:hAnsi="Times New Roman" w:cs="Times New Roman"/>
          <w:b/>
          <w:bCs/>
          <w:i/>
          <w:iCs/>
        </w:rPr>
      </w:pPr>
    </w:p>
    <w:p w14:paraId="0671DB08" w14:textId="77777777" w:rsidR="003552A4" w:rsidRPr="004C769B" w:rsidRDefault="003552A4" w:rsidP="003552A4">
      <w:pPr>
        <w:ind w:firstLine="720"/>
        <w:jc w:val="both"/>
        <w:rPr>
          <w:rFonts w:ascii="Times New Roman" w:hAnsi="Times New Roman" w:cs="Times New Roman"/>
        </w:rPr>
      </w:pPr>
      <w:r w:rsidRPr="004C769B">
        <w:rPr>
          <w:rFonts w:ascii="Times New Roman" w:hAnsi="Times New Roman" w:cs="Times New Roman"/>
        </w:rPr>
        <w:t>SIA “ĀDAŽU NAMSAIMNIEKS”, izvērtējot Ādažu novada pašvaldības domes 2026. gada 23. aprīļa lēmumā Nr. 164 noteikto uzdevumu par siltumenerģijas ražošanas pakalpojuma līgumu ar SIA “BALTENEKO” pirmstermiņa izbeigšanas lietderību, sniedz šādu viedokli.</w:t>
      </w:r>
    </w:p>
    <w:p w14:paraId="58EC8318" w14:textId="77777777" w:rsidR="003552A4" w:rsidRPr="004C769B" w:rsidRDefault="003552A4" w:rsidP="003552A4">
      <w:pPr>
        <w:ind w:firstLine="720"/>
        <w:jc w:val="both"/>
        <w:rPr>
          <w:rFonts w:ascii="Times New Roman" w:hAnsi="Times New Roman" w:cs="Times New Roman"/>
        </w:rPr>
      </w:pPr>
      <w:r w:rsidRPr="004C769B">
        <w:rPr>
          <w:rFonts w:ascii="Times New Roman" w:hAnsi="Times New Roman" w:cs="Times New Roman"/>
        </w:rPr>
        <w:t>SIA “ĀDAŽU NAMSAIMNIEKS” ieskatā šobrīd nav lietderīgi uzsākt darbības, kas saistītas ar līgumu pirmstermiņa izbeigšanu vai SIA “BALTENEKO” pakalpojuma nodrošināšanai izmantoto aktīvu atpirkšanu. Praktiski, finansiāli un pārvaldības ziņā pamatotāks risinājums ir turpināt esošo līgumu izpildi līdz to termiņa beigām — 2031. gada 1. maijam — un jautājumu par turpmāko siltumenerģijas ražošanas modeli Ādažos un Kadagā vērtēt savlaicīgi pirms šī termiņa beigām.</w:t>
      </w:r>
    </w:p>
    <w:p w14:paraId="046E0A9C" w14:textId="77777777" w:rsidR="003552A4" w:rsidRPr="004C769B" w:rsidRDefault="003552A4" w:rsidP="003552A4">
      <w:pPr>
        <w:jc w:val="both"/>
        <w:rPr>
          <w:rFonts w:ascii="Times New Roman" w:hAnsi="Times New Roman" w:cs="Times New Roman"/>
        </w:rPr>
      </w:pPr>
      <w:r w:rsidRPr="004C769B">
        <w:rPr>
          <w:rFonts w:ascii="Times New Roman" w:hAnsi="Times New Roman" w:cs="Times New Roman"/>
        </w:rPr>
        <w:t>Šāda pieeja ir pamatota ar šādiem apsvērumiem.</w:t>
      </w:r>
    </w:p>
    <w:p w14:paraId="0C99C2D0" w14:textId="62B42700" w:rsidR="003552A4" w:rsidRPr="004C769B" w:rsidRDefault="003552A4" w:rsidP="003552A4">
      <w:pPr>
        <w:ind w:firstLine="720"/>
        <w:jc w:val="both"/>
        <w:rPr>
          <w:rFonts w:ascii="Times New Roman" w:hAnsi="Times New Roman" w:cs="Times New Roman"/>
        </w:rPr>
      </w:pPr>
      <w:r w:rsidRPr="004C769B">
        <w:rPr>
          <w:rFonts w:ascii="Times New Roman" w:hAnsi="Times New Roman" w:cs="Times New Roman"/>
        </w:rPr>
        <w:t>Pirmkārt, esošo līgumu izpildē līdz šim nav konstatēti SIA “BALTENEKO” līgumsaistību izpildes pārkāpumi, kā arī nav norādītas sūdzības par siltumenerģijas piegādes pārtraukumiem vai pakalpojuma kvalitāti. Līdz ar to šobrīd nav konstatējams tāds neatliekams apstāklis, kura dēļ būtu nepieciešams mainīt esošo pakalpojuma sniegšanas modeli pirms līgumu termiņa beigām.</w:t>
      </w:r>
    </w:p>
    <w:p w14:paraId="01D36BA0" w14:textId="048E2AA8" w:rsidR="003552A4" w:rsidRPr="004C769B" w:rsidRDefault="003552A4" w:rsidP="003552A4">
      <w:pPr>
        <w:ind w:firstLine="720"/>
        <w:jc w:val="both"/>
        <w:rPr>
          <w:rFonts w:ascii="Times New Roman" w:hAnsi="Times New Roman" w:cs="Times New Roman"/>
        </w:rPr>
      </w:pPr>
      <w:r w:rsidRPr="004C769B">
        <w:rPr>
          <w:rFonts w:ascii="Times New Roman" w:hAnsi="Times New Roman" w:cs="Times New Roman"/>
        </w:rPr>
        <w:t xml:space="preserve">Otrkārt, tarifu un ar to saistīto izdevumu kontroli un to pamatotību veic Sabiedrisko pakalpojumu regulēšanas komisija. Siltumapgādes tarifs tiek noteikts regulētā kārtībā, kurā tiek vērtētas tarifā iekļautās izmaksas un to ekonomiskais pamatojums. Līdz ar to iedzīvotājiem ir nodrošināts neatkarīgs tarifa pamatotības uzraudzības mehānisms, kas mazina nepamatota tarifa piemērošanas risku. </w:t>
      </w:r>
    </w:p>
    <w:p w14:paraId="32519587" w14:textId="76F00EE7" w:rsidR="00E608F6" w:rsidRPr="004C769B" w:rsidRDefault="00E608F6" w:rsidP="003552A4">
      <w:pPr>
        <w:ind w:firstLine="720"/>
        <w:jc w:val="both"/>
        <w:rPr>
          <w:rFonts w:ascii="Times New Roman" w:hAnsi="Times New Roman" w:cs="Times New Roman"/>
        </w:rPr>
      </w:pPr>
      <w:r w:rsidRPr="004C769B">
        <w:rPr>
          <w:rFonts w:ascii="Times New Roman" w:hAnsi="Times New Roman" w:cs="Times New Roman"/>
        </w:rPr>
        <w:t>Treškārt, līgumu pirmstermiņa izbeigšana radītu nepieciešamību atpirkt SIA “BALTENEKO” pakalpojuma nodrošināšanai iegādātos ražošanas aktīvus</w:t>
      </w:r>
      <w:r w:rsidR="005C1442">
        <w:rPr>
          <w:rFonts w:ascii="Times New Roman" w:hAnsi="Times New Roman" w:cs="Times New Roman"/>
        </w:rPr>
        <w:t>, kas tiktu vērtēti pēc tā brīža tirgus vērtības</w:t>
      </w:r>
      <w:r w:rsidRPr="004C769B">
        <w:rPr>
          <w:rFonts w:ascii="Times New Roman" w:hAnsi="Times New Roman" w:cs="Times New Roman"/>
        </w:rPr>
        <w:t xml:space="preserve">. Tas nozīmētu </w:t>
      </w:r>
      <w:r w:rsidR="005C1442">
        <w:rPr>
          <w:rFonts w:ascii="Times New Roman" w:hAnsi="Times New Roman" w:cs="Times New Roman"/>
        </w:rPr>
        <w:t>iegādāties</w:t>
      </w:r>
      <w:r w:rsidRPr="004C769B">
        <w:rPr>
          <w:rFonts w:ascii="Times New Roman" w:hAnsi="Times New Roman" w:cs="Times New Roman"/>
        </w:rPr>
        <w:t xml:space="preserve"> aktīv</w:t>
      </w:r>
      <w:r w:rsidR="005C1442">
        <w:rPr>
          <w:rFonts w:ascii="Times New Roman" w:hAnsi="Times New Roman" w:cs="Times New Roman"/>
        </w:rPr>
        <w:t>us</w:t>
      </w:r>
      <w:r w:rsidRPr="004C769B">
        <w:rPr>
          <w:rFonts w:ascii="Times New Roman" w:hAnsi="Times New Roman" w:cs="Times New Roman"/>
        </w:rPr>
        <w:t xml:space="preserve">, kuru piemērotība nākotnes siltumapgādes modelim pēc 2031. gada šobrīd nav skaidri nosakāma. Līdz līgumu termiņa </w:t>
      </w:r>
      <w:r w:rsidRPr="004C769B">
        <w:rPr>
          <w:rFonts w:ascii="Times New Roman" w:hAnsi="Times New Roman" w:cs="Times New Roman"/>
        </w:rPr>
        <w:lastRenderedPageBreak/>
        <w:t>beigām šie aktīvi turpinās nolietoties, bet siltumenerģijas patēriņu ietekmēs ēku energoefektivitātes pasākumi un patēriņa izmaiņas. Tādēļ racionālāk ir nākotnes ražošanas risinājumu vērtēt tuvāk līgumu termiņa beigām, kad būs aktuālāki dati par nepieciešamo jaudu, patēriņu, tehnoloģijām un izmaksām.</w:t>
      </w:r>
    </w:p>
    <w:p w14:paraId="0A099217" w14:textId="01334195" w:rsidR="003552A4" w:rsidRPr="004C769B" w:rsidRDefault="00E608F6" w:rsidP="003552A4">
      <w:pPr>
        <w:ind w:firstLine="720"/>
        <w:jc w:val="both"/>
        <w:rPr>
          <w:rFonts w:ascii="Times New Roman" w:hAnsi="Times New Roman" w:cs="Times New Roman"/>
        </w:rPr>
      </w:pPr>
      <w:r w:rsidRPr="004C769B">
        <w:rPr>
          <w:rFonts w:ascii="Times New Roman" w:hAnsi="Times New Roman" w:cs="Times New Roman"/>
        </w:rPr>
        <w:t>Ceturt</w:t>
      </w:r>
      <w:r w:rsidR="003552A4" w:rsidRPr="004C769B">
        <w:rPr>
          <w:rFonts w:ascii="Times New Roman" w:hAnsi="Times New Roman" w:cs="Times New Roman"/>
        </w:rPr>
        <w:t>kārt, SIA “BALTENEKO” 2024. gada pārskatā norādīts, ka uzņēmums 2022. gadā saņēmis CFLA finansējumu 298 400 EUR projektam “Katlu mājas pārbūve pārejai uz biomasas kurināmo”, un projektam noteikts piecu gadu pēcuzraudzības periods. Tas nozīmē, ka līdz 2027. gadam pastāv papildu piesardzības apsvērumi attiecībā uz projekta aktīvu statusu un to izmantošanu.</w:t>
      </w:r>
    </w:p>
    <w:p w14:paraId="2C3621AC" w14:textId="49D50DC8" w:rsidR="003552A4" w:rsidRPr="004C769B" w:rsidRDefault="00E608F6" w:rsidP="003552A4">
      <w:pPr>
        <w:ind w:firstLine="720"/>
        <w:jc w:val="both"/>
        <w:rPr>
          <w:rFonts w:ascii="Times New Roman" w:hAnsi="Times New Roman" w:cs="Times New Roman"/>
        </w:rPr>
      </w:pPr>
      <w:r w:rsidRPr="004C769B">
        <w:rPr>
          <w:rFonts w:ascii="Times New Roman" w:hAnsi="Times New Roman" w:cs="Times New Roman"/>
        </w:rPr>
        <w:t xml:space="preserve">Piektkārt, </w:t>
      </w:r>
      <w:r w:rsidR="003552A4" w:rsidRPr="004C769B">
        <w:rPr>
          <w:rFonts w:ascii="Times New Roman" w:hAnsi="Times New Roman" w:cs="Times New Roman"/>
        </w:rPr>
        <w:t>tajā pašā gada pārskatā norādīts, ka daļa SIA “BALTENEKO” pamatlīdzekļu ir ieķīlāta par labu AS “Attīstības finanšu institūcija Altum”. Nodrošinājums reģistrēts kā komercķīla ar pirmā prasījuma tiesībām 440 640 EUR apmērā uz projekta ietvaros jauniegādātajiem pamatlīdzekļiem, tajā skaitā 2 MW biomasas katlu un ar to saistīto aprīkojumu. Šis apstāklis aktīvu iespējamo pārņemšanu pirms līgumu termiņa beigām padara juridiski un finansiāli sarežģītāku un vēl vairāk pamato piesardzīgu, nesasteigtu pieeju.</w:t>
      </w:r>
    </w:p>
    <w:p w14:paraId="33B6887F" w14:textId="4E9034D9" w:rsidR="003552A4" w:rsidRPr="004C769B" w:rsidRDefault="00E608F6" w:rsidP="003552A4">
      <w:pPr>
        <w:ind w:firstLine="720"/>
        <w:jc w:val="both"/>
        <w:rPr>
          <w:rFonts w:ascii="Times New Roman" w:hAnsi="Times New Roman" w:cs="Times New Roman"/>
        </w:rPr>
      </w:pPr>
      <w:r w:rsidRPr="004C769B">
        <w:rPr>
          <w:rFonts w:ascii="Times New Roman" w:hAnsi="Times New Roman" w:cs="Times New Roman"/>
        </w:rPr>
        <w:t>Sestkārt</w:t>
      </w:r>
      <w:r w:rsidR="003552A4" w:rsidRPr="004C769B">
        <w:rPr>
          <w:rFonts w:ascii="Times New Roman" w:hAnsi="Times New Roman" w:cs="Times New Roman"/>
        </w:rPr>
        <w:t>, SIA “ĀDAŽU NAMSAIMNIEKS” kā pašvaldības kapitālsabiedrības primārais uzdevums ir nodrošināt stabilu, drošu un nepārtrauktu siltumapgādes pakalpojumu iedzīvotājiem. Esošajā situācijā, kad pakalpojums Ādažos un Kadagā tiek nodrošināts, racionāli ir uzņēmuma resursus koncentrēt uz pakalpojuma nepārtrauktības nodrošināšanu un Carnikavas siltumapgādes sistēmas sakārtošanu.</w:t>
      </w:r>
    </w:p>
    <w:p w14:paraId="7C9F2EC6" w14:textId="77777777" w:rsidR="003552A4" w:rsidRPr="004C769B" w:rsidRDefault="003552A4" w:rsidP="003552A4">
      <w:pPr>
        <w:ind w:firstLine="720"/>
        <w:jc w:val="both"/>
        <w:rPr>
          <w:rFonts w:ascii="Times New Roman" w:hAnsi="Times New Roman" w:cs="Times New Roman"/>
        </w:rPr>
      </w:pPr>
      <w:r w:rsidRPr="004C769B">
        <w:rPr>
          <w:rFonts w:ascii="Times New Roman" w:hAnsi="Times New Roman" w:cs="Times New Roman"/>
        </w:rPr>
        <w:t>Ņemot vērā minēto, SIA “ĀDAŽU NAMSAIMNIEKS” uzskata, ka pašvaldības un iedzīvotāju interesēm šobrīd vislabāk atbilst esošo līgumu turpināšana līdz to termiņa beigām. Šāda pieeja ļauj saglabāt pakalpojuma nepārtrauktību, izvairīties no priekšlaicīgas un, iespējams, nākotnes vajadzībām nepiemērotu aktīvu atpirkšanas vai kompensācijas pienākuma, neiesaistīties esošo aktīvu finansējuma un komercķīlas jautājumu pārņemšanā, kā arī saglabāt iespēju pirms 2031. gada izvēlēties tehnoloģiski un ekonomiski piemērotāko siltumenerģijas ražošanas modeli nākamajam periodam.</w:t>
      </w:r>
    </w:p>
    <w:p w14:paraId="6E59C1E8" w14:textId="77777777" w:rsidR="00741707" w:rsidRDefault="00741707" w:rsidP="003552A4">
      <w:pPr>
        <w:jc w:val="both"/>
        <w:rPr>
          <w:rFonts w:ascii="Times New Roman" w:hAnsi="Times New Roman" w:cs="Times New Roman"/>
        </w:rPr>
      </w:pPr>
    </w:p>
    <w:p w14:paraId="01D25C71" w14:textId="460FFC95" w:rsidR="003552A4" w:rsidRPr="00741707" w:rsidRDefault="00741707" w:rsidP="003552A4">
      <w:pPr>
        <w:jc w:val="both"/>
        <w:rPr>
          <w:rFonts w:ascii="Times New Roman" w:hAnsi="Times New Roman" w:cs="Times New Roman"/>
        </w:rPr>
      </w:pPr>
      <w:r w:rsidRPr="00741707">
        <w:rPr>
          <w:rFonts w:ascii="Times New Roman" w:hAnsi="Times New Roman" w:cs="Times New Roman"/>
        </w:rPr>
        <w:t>IETEIKUMS:</w:t>
      </w:r>
    </w:p>
    <w:p w14:paraId="7E310DEC" w14:textId="75AB9B95" w:rsidR="003552A4" w:rsidRPr="004C769B" w:rsidRDefault="003552A4" w:rsidP="003552A4">
      <w:pPr>
        <w:ind w:firstLine="720"/>
        <w:jc w:val="both"/>
        <w:rPr>
          <w:rFonts w:ascii="Times New Roman" w:hAnsi="Times New Roman" w:cs="Times New Roman"/>
        </w:rPr>
      </w:pPr>
      <w:r w:rsidRPr="004C769B">
        <w:rPr>
          <w:rFonts w:ascii="Times New Roman" w:hAnsi="Times New Roman" w:cs="Times New Roman"/>
        </w:rPr>
        <w:t xml:space="preserve">SIA “ĀDAŽU NAMSAIMNIEKS” neiesaka šobrīd virzīt SIA “BALTENEKO” aktīvu atpirkšanu </w:t>
      </w:r>
      <w:r w:rsidR="004C769B" w:rsidRPr="004C769B">
        <w:rPr>
          <w:rFonts w:ascii="Times New Roman" w:hAnsi="Times New Roman" w:cs="Times New Roman"/>
        </w:rPr>
        <w:t>un</w:t>
      </w:r>
      <w:r w:rsidRPr="004C769B">
        <w:rPr>
          <w:rFonts w:ascii="Times New Roman" w:hAnsi="Times New Roman" w:cs="Times New Roman"/>
        </w:rPr>
        <w:t xml:space="preserve"> siltumenerģijas ražošanas pakalpojuma līgumu pirmstermiņa izbeigšanu.</w:t>
      </w:r>
    </w:p>
    <w:p w14:paraId="3AF023C1" w14:textId="070032B9" w:rsidR="003552A4" w:rsidRDefault="003552A4" w:rsidP="003552A4">
      <w:pPr>
        <w:ind w:firstLine="720"/>
        <w:jc w:val="both"/>
        <w:rPr>
          <w:rFonts w:ascii="Times New Roman" w:hAnsi="Times New Roman" w:cs="Times New Roman"/>
        </w:rPr>
      </w:pPr>
      <w:r w:rsidRPr="004C769B">
        <w:rPr>
          <w:rFonts w:ascii="Times New Roman" w:hAnsi="Times New Roman" w:cs="Times New Roman"/>
        </w:rPr>
        <w:t xml:space="preserve">Par </w:t>
      </w:r>
      <w:r w:rsidR="004C769B" w:rsidRPr="004C769B">
        <w:rPr>
          <w:rFonts w:ascii="Times New Roman" w:hAnsi="Times New Roman" w:cs="Times New Roman"/>
        </w:rPr>
        <w:t>atbilstošāko</w:t>
      </w:r>
      <w:r w:rsidRPr="004C769B">
        <w:rPr>
          <w:rFonts w:ascii="Times New Roman" w:hAnsi="Times New Roman" w:cs="Times New Roman"/>
        </w:rPr>
        <w:t xml:space="preserve"> un saimnieciski pamatotāko risinājumu uzskatāma esošo līgumu izpildes turpināšana līdz 2031. gada 1. maijam, vienlaikus savlaicīgi plānojot nākotnes siltumapgādes modeli Ādažu un Kadagas sistēmām</w:t>
      </w:r>
      <w:r w:rsidR="00741707">
        <w:rPr>
          <w:rFonts w:ascii="Times New Roman" w:hAnsi="Times New Roman" w:cs="Times New Roman"/>
        </w:rPr>
        <w:t>-</w:t>
      </w:r>
      <w:r w:rsidRPr="004C769B">
        <w:rPr>
          <w:rFonts w:ascii="Times New Roman" w:hAnsi="Times New Roman" w:cs="Times New Roman"/>
        </w:rPr>
        <w:t xml:space="preserve"> periodam pēc spēkā esošo līgumu termiņa beigām</w:t>
      </w:r>
      <w:r w:rsidR="00D90BC1">
        <w:rPr>
          <w:rFonts w:ascii="Times New Roman" w:hAnsi="Times New Roman" w:cs="Times New Roman"/>
        </w:rPr>
        <w:t>.</w:t>
      </w:r>
    </w:p>
    <w:p w14:paraId="6CE9727B" w14:textId="77777777" w:rsidR="00D90BC1" w:rsidRPr="004C769B" w:rsidRDefault="00D90BC1" w:rsidP="003552A4">
      <w:pPr>
        <w:ind w:firstLine="720"/>
        <w:jc w:val="both"/>
        <w:rPr>
          <w:rFonts w:ascii="Times New Roman" w:hAnsi="Times New Roman" w:cs="Times New Roman"/>
        </w:rPr>
      </w:pPr>
    </w:p>
    <w:p w14:paraId="40DD974C" w14:textId="52D9DC08" w:rsidR="004C769B" w:rsidRPr="003552A4" w:rsidRDefault="00D90BC1" w:rsidP="00D90BC1">
      <w:pPr>
        <w:jc w:val="both"/>
        <w:rPr>
          <w:rFonts w:ascii="Times New Roman" w:hAnsi="Times New Roman" w:cs="Times New Roman"/>
        </w:rPr>
      </w:pPr>
      <w:r>
        <w:rPr>
          <w:rFonts w:ascii="Times New Roman" w:hAnsi="Times New Roman" w:cs="Times New Roman"/>
        </w:rPr>
        <w:t xml:space="preserve">SIA “ </w:t>
      </w:r>
      <w:r w:rsidRPr="008A16D0">
        <w:rPr>
          <w:rFonts w:ascii="Times New Roman" w:hAnsi="Times New Roman" w:cs="Times New Roman"/>
        </w:rPr>
        <w:t>Ādažu Namsaimnieks</w:t>
      </w:r>
      <w:r>
        <w:rPr>
          <w:rFonts w:ascii="Times New Roman" w:hAnsi="Times New Roman" w:cs="Times New Roman"/>
        </w:rPr>
        <w:t>”</w:t>
      </w:r>
    </w:p>
    <w:p w14:paraId="30E0B272" w14:textId="0CF1EF48" w:rsidR="008A16D0" w:rsidRPr="00353F16" w:rsidRDefault="00D90BC1" w:rsidP="003552A4">
      <w:pPr>
        <w:jc w:val="both"/>
        <w:rPr>
          <w:rFonts w:ascii="Times New Roman" w:hAnsi="Times New Roman" w:cs="Times New Roman"/>
          <w:b/>
          <w:bCs/>
          <w:i/>
          <w:iCs/>
        </w:rPr>
      </w:pPr>
      <w:r>
        <w:rPr>
          <w:rFonts w:ascii="Times New Roman" w:hAnsi="Times New Roman" w:cs="Times New Roman"/>
        </w:rPr>
        <w:t>Valdes loceklis</w:t>
      </w:r>
      <w:r w:rsidRPr="00353F16">
        <w:rPr>
          <w:rFonts w:ascii="Times New Roman" w:hAnsi="Times New Roman" w:cs="Times New Roman"/>
          <w:b/>
          <w:bCs/>
          <w:i/>
          <w:iCs/>
        </w:rPr>
        <w:t xml:space="preserve"> </w:t>
      </w:r>
      <w:r>
        <w:rPr>
          <w:rFonts w:ascii="Times New Roman" w:hAnsi="Times New Roman" w:cs="Times New Roman"/>
          <w:b/>
          <w:bCs/>
          <w:i/>
          <w:iCs/>
        </w:rPr>
        <w:tab/>
      </w:r>
      <w:r>
        <w:rPr>
          <w:rFonts w:ascii="Times New Roman" w:hAnsi="Times New Roman" w:cs="Times New Roman"/>
          <w:b/>
          <w:bCs/>
          <w:i/>
          <w:iCs/>
        </w:rPr>
        <w:tab/>
      </w:r>
      <w:r>
        <w:rPr>
          <w:rFonts w:ascii="Times New Roman" w:hAnsi="Times New Roman" w:cs="Times New Roman"/>
          <w:b/>
          <w:bCs/>
          <w:i/>
          <w:iCs/>
        </w:rPr>
        <w:tab/>
      </w:r>
      <w:r>
        <w:rPr>
          <w:rFonts w:ascii="Times New Roman" w:hAnsi="Times New Roman" w:cs="Times New Roman"/>
          <w:b/>
          <w:bCs/>
          <w:i/>
          <w:iCs/>
        </w:rPr>
        <w:tab/>
      </w:r>
      <w:r>
        <w:rPr>
          <w:rFonts w:ascii="Times New Roman" w:hAnsi="Times New Roman" w:cs="Times New Roman"/>
          <w:b/>
          <w:bCs/>
          <w:i/>
          <w:iCs/>
        </w:rPr>
        <w:tab/>
      </w:r>
      <w:r>
        <w:rPr>
          <w:rFonts w:ascii="Times New Roman" w:hAnsi="Times New Roman" w:cs="Times New Roman"/>
          <w:b/>
          <w:bCs/>
          <w:i/>
          <w:iCs/>
        </w:rPr>
        <w:tab/>
      </w:r>
      <w:r>
        <w:rPr>
          <w:rFonts w:ascii="Times New Roman" w:hAnsi="Times New Roman" w:cs="Times New Roman"/>
          <w:b/>
          <w:bCs/>
          <w:i/>
          <w:iCs/>
        </w:rPr>
        <w:tab/>
      </w:r>
      <w:r>
        <w:rPr>
          <w:rFonts w:ascii="Times New Roman" w:hAnsi="Times New Roman" w:cs="Times New Roman"/>
          <w:b/>
          <w:bCs/>
          <w:i/>
          <w:iCs/>
        </w:rPr>
        <w:tab/>
      </w:r>
      <w:r w:rsidR="008A16D0" w:rsidRPr="00353F16">
        <w:rPr>
          <w:rFonts w:ascii="Times New Roman" w:hAnsi="Times New Roman" w:cs="Times New Roman"/>
          <w:b/>
          <w:bCs/>
          <w:i/>
          <w:iCs/>
        </w:rPr>
        <w:t xml:space="preserve">Juris Krūze </w:t>
      </w:r>
    </w:p>
    <w:p w14:paraId="69118773" w14:textId="3875502F" w:rsidR="00282D33" w:rsidRPr="003552A4" w:rsidRDefault="00D90BC1" w:rsidP="00D90BC1">
      <w:pPr>
        <w:tabs>
          <w:tab w:val="center" w:pos="4513"/>
        </w:tabs>
        <w:jc w:val="both"/>
        <w:rPr>
          <w:rFonts w:ascii="Times New Roman" w:hAnsi="Times New Roman" w:cs="Times New Roman"/>
        </w:rPr>
      </w:pPr>
      <w:r>
        <w:rPr>
          <w:rFonts w:ascii="Times New Roman" w:hAnsi="Times New Roman" w:cs="Times New Roman"/>
        </w:rPr>
        <w:tab/>
      </w:r>
    </w:p>
    <w:sectPr w:rsidR="00282D33" w:rsidRPr="003552A4" w:rsidSect="004C769B">
      <w:footerReference w:type="default" r:id="rId8"/>
      <w:pgSz w:w="11906" w:h="16838"/>
      <w:pgMar w:top="851"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CB2D8" w14:textId="77777777" w:rsidR="00682704" w:rsidRDefault="00682704" w:rsidP="00353F16">
      <w:pPr>
        <w:spacing w:after="0" w:line="240" w:lineRule="auto"/>
      </w:pPr>
      <w:r>
        <w:separator/>
      </w:r>
    </w:p>
  </w:endnote>
  <w:endnote w:type="continuationSeparator" w:id="0">
    <w:p w14:paraId="33DC6C93" w14:textId="77777777" w:rsidR="00682704" w:rsidRDefault="00682704" w:rsidP="00353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98B0A" w14:textId="091FA206" w:rsidR="00353F16" w:rsidRPr="00D90BC1" w:rsidRDefault="00353F16" w:rsidP="00353F16">
    <w:pPr>
      <w:pStyle w:val="Kjene"/>
      <w:jc w:val="center"/>
      <w:rPr>
        <w:rFonts w:ascii="Times New Roman" w:hAnsi="Times New Roman" w:cs="Times New Roman"/>
      </w:rPr>
    </w:pPr>
    <w:r w:rsidRPr="00D90BC1">
      <w:rPr>
        <w:rFonts w:ascii="Times New Roman" w:hAnsi="Times New Roman" w:cs="Times New Roman"/>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75E8F" w14:textId="77777777" w:rsidR="00682704" w:rsidRDefault="00682704" w:rsidP="00353F16">
      <w:pPr>
        <w:spacing w:after="0" w:line="240" w:lineRule="auto"/>
      </w:pPr>
      <w:r>
        <w:separator/>
      </w:r>
    </w:p>
  </w:footnote>
  <w:footnote w:type="continuationSeparator" w:id="0">
    <w:p w14:paraId="06049606" w14:textId="77777777" w:rsidR="00682704" w:rsidRDefault="00682704" w:rsidP="00353F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D33"/>
    <w:rsid w:val="0014462A"/>
    <w:rsid w:val="00186491"/>
    <w:rsid w:val="00282D33"/>
    <w:rsid w:val="00353F16"/>
    <w:rsid w:val="003552A4"/>
    <w:rsid w:val="004C769B"/>
    <w:rsid w:val="00531A3C"/>
    <w:rsid w:val="005944EA"/>
    <w:rsid w:val="005C1442"/>
    <w:rsid w:val="006240C0"/>
    <w:rsid w:val="00682704"/>
    <w:rsid w:val="00724F75"/>
    <w:rsid w:val="00741707"/>
    <w:rsid w:val="00794FB6"/>
    <w:rsid w:val="007B1529"/>
    <w:rsid w:val="008449E9"/>
    <w:rsid w:val="008A16D0"/>
    <w:rsid w:val="00A55DC9"/>
    <w:rsid w:val="00A66EFD"/>
    <w:rsid w:val="00B72793"/>
    <w:rsid w:val="00D90BC1"/>
    <w:rsid w:val="00E608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7612F"/>
  <w15:chartTrackingRefBased/>
  <w15:docId w15:val="{90CF2322-ABED-40A6-AEA6-554C7C27F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autoRedefine/>
    <w:uiPriority w:val="9"/>
    <w:qFormat/>
    <w:rsid w:val="007B1529"/>
    <w:pPr>
      <w:keepNext/>
      <w:keepLines/>
      <w:spacing w:before="480" w:after="0" w:line="276" w:lineRule="auto"/>
      <w:outlineLvl w:val="0"/>
    </w:pPr>
    <w:rPr>
      <w:rFonts w:ascii="Times New Roman" w:eastAsiaTheme="majorEastAsia" w:hAnsi="Times New Roman" w:cstheme="majorBidi"/>
      <w:b/>
      <w:bCs/>
      <w:sz w:val="28"/>
      <w:szCs w:val="28"/>
    </w:rPr>
  </w:style>
  <w:style w:type="paragraph" w:styleId="Virsraksts2">
    <w:name w:val="heading 2"/>
    <w:basedOn w:val="Parasts"/>
    <w:next w:val="Parasts"/>
    <w:link w:val="Virsraksts2Rakstz"/>
    <w:uiPriority w:val="9"/>
    <w:semiHidden/>
    <w:unhideWhenUsed/>
    <w:qFormat/>
    <w:rsid w:val="00282D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82D3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82D3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82D3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82D3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82D3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82D3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82D3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B1529"/>
    <w:rPr>
      <w:rFonts w:ascii="Times New Roman" w:eastAsiaTheme="majorEastAsia" w:hAnsi="Times New Roman" w:cstheme="majorBidi"/>
      <w:b/>
      <w:bCs/>
      <w:sz w:val="28"/>
      <w:szCs w:val="28"/>
    </w:rPr>
  </w:style>
  <w:style w:type="character" w:customStyle="1" w:styleId="Virsraksts2Rakstz">
    <w:name w:val="Virsraksts 2 Rakstz."/>
    <w:basedOn w:val="Noklusjumarindkopasfonts"/>
    <w:link w:val="Virsraksts2"/>
    <w:uiPriority w:val="9"/>
    <w:semiHidden/>
    <w:rsid w:val="00282D3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82D3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82D3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82D3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82D3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82D3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82D3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82D3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82D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82D3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82D3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82D3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82D3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82D33"/>
    <w:rPr>
      <w:i/>
      <w:iCs/>
      <w:color w:val="404040" w:themeColor="text1" w:themeTint="BF"/>
    </w:rPr>
  </w:style>
  <w:style w:type="paragraph" w:styleId="Sarakstarindkopa">
    <w:name w:val="List Paragraph"/>
    <w:basedOn w:val="Parasts"/>
    <w:uiPriority w:val="34"/>
    <w:qFormat/>
    <w:rsid w:val="00282D33"/>
    <w:pPr>
      <w:ind w:left="720"/>
      <w:contextualSpacing/>
    </w:pPr>
  </w:style>
  <w:style w:type="character" w:styleId="Intensvsizclums">
    <w:name w:val="Intense Emphasis"/>
    <w:basedOn w:val="Noklusjumarindkopasfonts"/>
    <w:uiPriority w:val="21"/>
    <w:qFormat/>
    <w:rsid w:val="00282D33"/>
    <w:rPr>
      <w:i/>
      <w:iCs/>
      <w:color w:val="0F4761" w:themeColor="accent1" w:themeShade="BF"/>
    </w:rPr>
  </w:style>
  <w:style w:type="paragraph" w:styleId="Intensvscitts">
    <w:name w:val="Intense Quote"/>
    <w:basedOn w:val="Parasts"/>
    <w:next w:val="Parasts"/>
    <w:link w:val="IntensvscittsRakstz"/>
    <w:uiPriority w:val="30"/>
    <w:qFormat/>
    <w:rsid w:val="00282D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82D33"/>
    <w:rPr>
      <w:i/>
      <w:iCs/>
      <w:color w:val="0F4761" w:themeColor="accent1" w:themeShade="BF"/>
    </w:rPr>
  </w:style>
  <w:style w:type="character" w:styleId="Intensvaatsauce">
    <w:name w:val="Intense Reference"/>
    <w:basedOn w:val="Noklusjumarindkopasfonts"/>
    <w:uiPriority w:val="32"/>
    <w:qFormat/>
    <w:rsid w:val="00282D33"/>
    <w:rPr>
      <w:b/>
      <w:bCs/>
      <w:smallCaps/>
      <w:color w:val="0F4761" w:themeColor="accent1" w:themeShade="BF"/>
      <w:spacing w:val="5"/>
    </w:rPr>
  </w:style>
  <w:style w:type="character" w:styleId="Hipersaite">
    <w:name w:val="Hyperlink"/>
    <w:basedOn w:val="Noklusjumarindkopasfonts"/>
    <w:uiPriority w:val="99"/>
    <w:unhideWhenUsed/>
    <w:rsid w:val="003552A4"/>
    <w:rPr>
      <w:color w:val="467886" w:themeColor="hyperlink"/>
      <w:u w:val="single"/>
    </w:rPr>
  </w:style>
  <w:style w:type="character" w:styleId="Neatrisintapieminana">
    <w:name w:val="Unresolved Mention"/>
    <w:basedOn w:val="Noklusjumarindkopasfonts"/>
    <w:uiPriority w:val="99"/>
    <w:semiHidden/>
    <w:unhideWhenUsed/>
    <w:rsid w:val="003552A4"/>
    <w:rPr>
      <w:color w:val="605E5C"/>
      <w:shd w:val="clear" w:color="auto" w:fill="E1DFDD"/>
    </w:rPr>
  </w:style>
  <w:style w:type="paragraph" w:styleId="Galvene">
    <w:name w:val="header"/>
    <w:basedOn w:val="Parasts"/>
    <w:link w:val="GalveneRakstz"/>
    <w:uiPriority w:val="99"/>
    <w:unhideWhenUsed/>
    <w:rsid w:val="00353F1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53F16"/>
  </w:style>
  <w:style w:type="paragraph" w:styleId="Kjene">
    <w:name w:val="footer"/>
    <w:basedOn w:val="Parasts"/>
    <w:link w:val="KjeneRakstz"/>
    <w:uiPriority w:val="99"/>
    <w:unhideWhenUsed/>
    <w:rsid w:val="00353F1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53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dome@adazu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3036</Words>
  <Characters>1732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Krūze</dc:creator>
  <cp:keywords/>
  <dc:description/>
  <cp:lastModifiedBy>Vineta Brizga</cp:lastModifiedBy>
  <cp:revision>2</cp:revision>
  <dcterms:created xsi:type="dcterms:W3CDTF">2026-06-04T13:39:00Z</dcterms:created>
  <dcterms:modified xsi:type="dcterms:W3CDTF">2026-06-04T13:39:00Z</dcterms:modified>
</cp:coreProperties>
</file>