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A73D88" w:rsidRDefault="00770C8C" w:rsidP="00564CA6">
      <w:r w:rsidRPr="00BF12F1">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C04B7" w:rsidRDefault="00770C8C" w:rsidP="00195A73">
      <w:pPr>
        <w:tabs>
          <w:tab w:val="center" w:pos="4535"/>
          <w:tab w:val="left" w:pos="7116"/>
        </w:tabs>
        <w:rPr>
          <w:rFonts w:ascii="Times New Roman" w:hAnsi="Times New Roman" w:cs="Times New Roman"/>
          <w:sz w:val="28"/>
          <w:szCs w:val="28"/>
        </w:rPr>
      </w:pPr>
      <w:r w:rsidRPr="002C04B7">
        <w:rPr>
          <w:rFonts w:ascii="Times New Roman" w:hAnsi="Times New Roman" w:cs="Times New Roman"/>
          <w:sz w:val="28"/>
          <w:szCs w:val="28"/>
        </w:rPr>
        <w:tab/>
        <w:t>LĒMUMS</w:t>
      </w:r>
      <w:r w:rsidRPr="002C04B7">
        <w:rPr>
          <w:rFonts w:ascii="Times New Roman" w:hAnsi="Times New Roman" w:cs="Times New Roman"/>
          <w:sz w:val="28"/>
          <w:szCs w:val="28"/>
        </w:rPr>
        <w:tab/>
      </w:r>
    </w:p>
    <w:p w14:paraId="5941AE1A" w14:textId="77777777" w:rsidR="00564CA6" w:rsidRPr="002C04B7" w:rsidRDefault="00770C8C" w:rsidP="00564CA6">
      <w:pPr>
        <w:jc w:val="center"/>
        <w:rPr>
          <w:rFonts w:ascii="Times New Roman" w:hAnsi="Times New Roman" w:cs="Times New Roman"/>
        </w:rPr>
      </w:pPr>
      <w:r w:rsidRPr="002C04B7">
        <w:rPr>
          <w:rFonts w:ascii="Times New Roman" w:hAnsi="Times New Roman" w:cs="Times New Roman"/>
        </w:rPr>
        <w:t>Ādažos, Ādažu novadā</w:t>
      </w:r>
    </w:p>
    <w:p w14:paraId="47C0F9DB" w14:textId="77777777" w:rsidR="00564CA6" w:rsidRPr="00A73D88" w:rsidRDefault="00770C8C" w:rsidP="00564CA6">
      <w:pPr>
        <w:rPr>
          <w:rFonts w:ascii="Times New Roman" w:hAnsi="Times New Roman" w:cs="Times New Roman"/>
        </w:rPr>
      </w:pPr>
      <w:r w:rsidRPr="002C04B7">
        <w:rPr>
          <w:rFonts w:ascii="Times New Roman" w:hAnsi="Times New Roman" w:cs="Times New Roman"/>
        </w:rPr>
        <w:tab/>
      </w:r>
      <w:r w:rsidRPr="002C04B7">
        <w:rPr>
          <w:rFonts w:ascii="Times New Roman" w:hAnsi="Times New Roman" w:cs="Times New Roman"/>
        </w:rPr>
        <w:tab/>
      </w:r>
      <w:r w:rsidRPr="002C04B7">
        <w:rPr>
          <w:rFonts w:ascii="Times New Roman" w:hAnsi="Times New Roman" w:cs="Times New Roman"/>
        </w:rPr>
        <w:tab/>
      </w:r>
      <w:r w:rsidRPr="002C04B7">
        <w:rPr>
          <w:rFonts w:ascii="Times New Roman" w:hAnsi="Times New Roman" w:cs="Times New Roman"/>
        </w:rPr>
        <w:tab/>
      </w:r>
    </w:p>
    <w:p w14:paraId="513E1B4D" w14:textId="41D62640" w:rsidR="00564CA6" w:rsidRPr="00A73D88" w:rsidRDefault="00770C8C" w:rsidP="00564CA6">
      <w:pPr>
        <w:rPr>
          <w:rFonts w:ascii="Times New Roman" w:hAnsi="Times New Roman" w:cs="Times New Roman"/>
        </w:rPr>
      </w:pPr>
      <w:r w:rsidRPr="00A73D88">
        <w:rPr>
          <w:rFonts w:ascii="Times New Roman" w:hAnsi="Times New Roman" w:cs="Times New Roman"/>
        </w:rPr>
        <w:t>202</w:t>
      </w:r>
      <w:r w:rsidR="00E37199" w:rsidRPr="00A73D88">
        <w:rPr>
          <w:rFonts w:ascii="Times New Roman" w:hAnsi="Times New Roman" w:cs="Times New Roman"/>
        </w:rPr>
        <w:t>6</w:t>
      </w:r>
      <w:r w:rsidRPr="00A73D88">
        <w:rPr>
          <w:rFonts w:ascii="Times New Roman" w:hAnsi="Times New Roman" w:cs="Times New Roman"/>
        </w:rPr>
        <w:t xml:space="preserve">. gada </w:t>
      </w:r>
      <w:r w:rsidR="00E37199" w:rsidRPr="00A73D88">
        <w:rPr>
          <w:rFonts w:ascii="Times New Roman" w:hAnsi="Times New Roman" w:cs="Times New Roman"/>
        </w:rPr>
        <w:t>28. maijā</w:t>
      </w:r>
      <w:r w:rsidRPr="00A73D88">
        <w:rPr>
          <w:rFonts w:ascii="Times New Roman" w:hAnsi="Times New Roman" w:cs="Times New Roman"/>
        </w:rPr>
        <w:t xml:space="preserve"> </w:t>
      </w:r>
      <w:r w:rsidRPr="00A73D88">
        <w:rPr>
          <w:rFonts w:ascii="Times New Roman" w:hAnsi="Times New Roman" w:cs="Times New Roman"/>
        </w:rPr>
        <w:tab/>
      </w:r>
      <w:r w:rsidRPr="00A73D88">
        <w:rPr>
          <w:rFonts w:ascii="Times New Roman" w:hAnsi="Times New Roman" w:cs="Times New Roman"/>
        </w:rPr>
        <w:tab/>
      </w:r>
      <w:r w:rsidRPr="00A73D88">
        <w:rPr>
          <w:rFonts w:ascii="Times New Roman" w:hAnsi="Times New Roman" w:cs="Times New Roman"/>
        </w:rPr>
        <w:tab/>
      </w:r>
      <w:r w:rsidR="009E4F91">
        <w:rPr>
          <w:rFonts w:ascii="Times New Roman" w:hAnsi="Times New Roman" w:cs="Times New Roman"/>
        </w:rPr>
        <w:tab/>
      </w:r>
      <w:r w:rsidR="009E4F91">
        <w:rPr>
          <w:rFonts w:ascii="Times New Roman" w:hAnsi="Times New Roman" w:cs="Times New Roman"/>
        </w:rPr>
        <w:tab/>
      </w:r>
      <w:r w:rsidR="009E4F91">
        <w:rPr>
          <w:rFonts w:ascii="Times New Roman" w:hAnsi="Times New Roman" w:cs="Times New Roman"/>
        </w:rPr>
        <w:tab/>
      </w:r>
      <w:r w:rsidR="009E4F91">
        <w:rPr>
          <w:rFonts w:ascii="Times New Roman" w:hAnsi="Times New Roman" w:cs="Times New Roman"/>
        </w:rPr>
        <w:tab/>
      </w:r>
      <w:r w:rsidRPr="00A73D88">
        <w:rPr>
          <w:rFonts w:ascii="Times New Roman" w:hAnsi="Times New Roman" w:cs="Times New Roman"/>
        </w:rPr>
        <w:tab/>
      </w:r>
      <w:r w:rsidRPr="00A73D88">
        <w:rPr>
          <w:rFonts w:ascii="Times New Roman" w:hAnsi="Times New Roman" w:cs="Times New Roman"/>
        </w:rPr>
        <w:tab/>
      </w:r>
      <w:r w:rsidRPr="00A73D88">
        <w:rPr>
          <w:rFonts w:ascii="Times New Roman" w:hAnsi="Times New Roman" w:cs="Times New Roman"/>
          <w:b/>
        </w:rPr>
        <w:t>Nr.</w:t>
      </w:r>
      <w:r w:rsidR="009E4F91">
        <w:rPr>
          <w:rFonts w:ascii="Times New Roman" w:hAnsi="Times New Roman" w:cs="Times New Roman"/>
          <w:noProof/>
        </w:rPr>
        <w:t xml:space="preserve"> </w:t>
      </w:r>
      <w:r w:rsidRPr="009E4F91">
        <w:rPr>
          <w:rFonts w:ascii="Times New Roman" w:hAnsi="Times New Roman" w:cs="Times New Roman"/>
          <w:b/>
          <w:bCs/>
          <w:noProof/>
        </w:rPr>
        <w:t>195</w:t>
      </w:r>
    </w:p>
    <w:p w14:paraId="56AA4385" w14:textId="77777777" w:rsidR="00564CA6" w:rsidRPr="00A73D88" w:rsidRDefault="00564CA6" w:rsidP="00564CA6">
      <w:pPr>
        <w:rPr>
          <w:rFonts w:ascii="Times New Roman" w:hAnsi="Times New Roman" w:cs="Times New Roman"/>
          <w:b/>
        </w:rPr>
      </w:pPr>
    </w:p>
    <w:p w14:paraId="519D13B6" w14:textId="77777777" w:rsidR="00E37199" w:rsidRPr="00A73D88" w:rsidRDefault="00770C8C" w:rsidP="00E37199">
      <w:pPr>
        <w:jc w:val="center"/>
        <w:rPr>
          <w:rFonts w:ascii="Times New Roman" w:hAnsi="Times New Roman" w:cs="Times New Roman"/>
          <w:b/>
          <w:color w:val="FF0000"/>
        </w:rPr>
      </w:pPr>
      <w:r w:rsidRPr="00A73D88">
        <w:rPr>
          <w:rFonts w:ascii="Times New Roman" w:hAnsi="Times New Roman" w:cs="Times New Roman"/>
          <w:b/>
        </w:rPr>
        <w:t xml:space="preserve">Par </w:t>
      </w:r>
      <w:r w:rsidRPr="00A73D88">
        <w:rPr>
          <w:rFonts w:ascii="Times New Roman" w:hAnsi="Times New Roman" w:cs="Times New Roman"/>
          <w:b/>
        </w:rPr>
        <w:t>Ādažu vidusskolas piebūves projektēšanu un izbūvi</w:t>
      </w:r>
    </w:p>
    <w:p w14:paraId="001C96E2" w14:textId="77777777" w:rsidR="00564CA6" w:rsidRPr="00A73D88" w:rsidRDefault="00564CA6" w:rsidP="00564CA6">
      <w:pPr>
        <w:rPr>
          <w:rFonts w:ascii="Times New Roman" w:hAnsi="Times New Roman" w:cs="Times New Roman"/>
          <w:b/>
          <w:i/>
          <w:color w:val="FF0000"/>
        </w:rPr>
      </w:pPr>
    </w:p>
    <w:p w14:paraId="063347D1"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Ādažu novada pašvaldības dome (turpmāk – pašvaldība) 28.12.2022. pieņēma lēmumu Nr. 598 “Par pašvaldības jaunas izglītības iestādes izveidošanu” (turpmāk – lēmums Nr. 598), konceptuāli atbalstot jaunas izglītības iestādes projektēšanu un būvniecību pašvaldības zemes īpašumā Ūbeļu ielā 18. Šis lēmums bija tieši saistīts ar nepieciešamību risināt kritisko telpu noslodzi un vietu trūkumu Ādažu vidusskolā (ĀVS), kur vispārējās izglītības procesam nācās izmantot tam neparedzētas telpas un specializētos kabinetus</w:t>
      </w:r>
      <w:r w:rsidRPr="00A73D88">
        <w:rPr>
          <w:rFonts w:ascii="Times New Roman" w:hAnsi="Times New Roman" w:cs="Times New Roman"/>
        </w:rPr>
        <w:t>.</w:t>
      </w:r>
    </w:p>
    <w:p w14:paraId="7856DA54"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Pašvaldības 22.03.2023. lēmumā Nr. 126 dome konceptuāli atbalstīja divu jaunu ēku izveidi izglītības iestāžu attīstībai: vienu Podnieku kvartālā sākumskolas programmām (līdz 300 vietām) un otru – zemes gabalā pie Ādažu vidusskolas 4.–9. klašu skolēniem. Infrastruktūras attīstība tika pamatota ar straujo iedzīvotāju skaita pieaugumu un prognozēm, ka bez jaunas skolas būvniecības vietu deficīts ĀVS līdz 2030./2031. mācību gadam varētu pārsniegt 640 vietas.</w:t>
      </w:r>
    </w:p>
    <w:p w14:paraId="3702AFF4"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Pašvaldības 23.11.2023. lēmumā Nr. 425 dome konceptuāli atbalstīja vienas jaunas vispārējās izglītības iestādes izveidi 1.–9. klašu posmam ar 800 vietām, tādējādi atceļot iepriekšējo ieceri par divām atsevišķām skolas ēkām. Papildus tika atbalstīta finansējuma piešķiršana tehniski ekonomiskā pamatojuma (TEP) izstrādei, lai izvērtētu jaunās skolas izmaksas un ĀVS darbības nodrošināšanu līdz tās atklāšanai.</w:t>
      </w:r>
    </w:p>
    <w:p w14:paraId="7D25075E" w14:textId="0EE9897A"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Lai rastu objektīvu un saimnieciski pamatotu risinājumu kritiskajam vietu trūkumam ĀVS un ņemtu vērā pašvaldības ierobežotās aizņemšanās iespējas, Pašvaldības 29.02.2024. lēmumā Nr. 68 dome konceptuāli atbalstīja jaunās 1.–9. klašu pamatskolas izveidi, izmantojot PPP modeli. </w:t>
      </w:r>
      <w:r w:rsidR="0018038A" w:rsidRPr="00A73D88">
        <w:rPr>
          <w:rFonts w:ascii="Times New Roman" w:hAnsi="Times New Roman" w:cs="Times New Roman"/>
        </w:rPr>
        <w:t xml:space="preserve">2024.-2026. gadā tika veikts pētījums “Publiskās un privātās partnerības finanšu un ekonomiskie aprēķini jaunas izglītības iestādes 1.-9. klasei izveidei” (turpmāk – Pētījums), kura mērķis bija noteikt Ādažu novadam tehniski, sociāli un ekonomiski piemērotāko vispārējās izglītības sniegšanas modeli. </w:t>
      </w:r>
      <w:r w:rsidRPr="00A73D88">
        <w:rPr>
          <w:rFonts w:ascii="Times New Roman" w:hAnsi="Times New Roman" w:cs="Times New Roman"/>
        </w:rPr>
        <w:t>Pētījuma gala nodevums tika prezentēts 19.03.2026., apliecinot, ka efektīvākā alternatīva ir jaunas pamatskolas izveide ar 900 vietām nekustamajā īpašumā “Liepnieki”.</w:t>
      </w:r>
    </w:p>
    <w:p w14:paraId="1098984A"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Pētījuma galvenie secinājumi ir šādi:</w:t>
      </w:r>
    </w:p>
    <w:p w14:paraId="4916FB2A" w14:textId="77777777" w:rsidR="00E37199" w:rsidRPr="00A73D88" w:rsidRDefault="00770C8C" w:rsidP="00E37199">
      <w:pPr>
        <w:numPr>
          <w:ilvl w:val="0"/>
          <w:numId w:val="3"/>
        </w:numPr>
        <w:spacing w:after="120"/>
        <w:jc w:val="both"/>
        <w:rPr>
          <w:rFonts w:ascii="Times New Roman" w:hAnsi="Times New Roman" w:cs="Times New Roman"/>
        </w:rPr>
      </w:pPr>
      <w:r w:rsidRPr="00A73D88">
        <w:rPr>
          <w:rFonts w:ascii="Times New Roman" w:hAnsi="Times New Roman" w:cs="Times New Roman"/>
        </w:rPr>
        <w:t>Pašvaldībai ir unikāls demogrāfiskais spiediens (21% iedzīvotāju ir bērni), un esošā infrastruktūra ir pārslogota.</w:t>
      </w:r>
    </w:p>
    <w:p w14:paraId="11AE6183" w14:textId="77777777" w:rsidR="00E37199" w:rsidRPr="00A73D88" w:rsidRDefault="00770C8C" w:rsidP="00E37199">
      <w:pPr>
        <w:numPr>
          <w:ilvl w:val="0"/>
          <w:numId w:val="3"/>
        </w:numPr>
        <w:spacing w:after="120"/>
        <w:jc w:val="both"/>
        <w:rPr>
          <w:rFonts w:ascii="Times New Roman" w:hAnsi="Times New Roman" w:cs="Times New Roman"/>
        </w:rPr>
      </w:pPr>
      <w:r w:rsidRPr="00A73D88">
        <w:rPr>
          <w:rFonts w:ascii="Times New Roman" w:hAnsi="Times New Roman" w:cs="Times New Roman"/>
        </w:rPr>
        <w:t>Tā kā pašvaldības aizņemšanās saistības ir tuvu 15% griestiem un ES fondu finansējums jaunu skolu būvniecībai pašlaik nav pieejams, kā vienīgais reālais īstenošanas veids tiek rekomendēts PPP modelis.</w:t>
      </w:r>
    </w:p>
    <w:p w14:paraId="69DF9D9A" w14:textId="77777777" w:rsidR="00E37199" w:rsidRPr="00A73D88" w:rsidRDefault="00770C8C" w:rsidP="00E37199">
      <w:pPr>
        <w:numPr>
          <w:ilvl w:val="0"/>
          <w:numId w:val="3"/>
        </w:numPr>
        <w:spacing w:after="120"/>
        <w:jc w:val="both"/>
        <w:rPr>
          <w:rFonts w:ascii="Times New Roman" w:hAnsi="Times New Roman" w:cs="Times New Roman"/>
        </w:rPr>
      </w:pPr>
      <w:r w:rsidRPr="00A73D88">
        <w:rPr>
          <w:rFonts w:ascii="Times New Roman" w:hAnsi="Times New Roman" w:cs="Times New Roman"/>
        </w:rPr>
        <w:t>Līdz jaunās skolas atklāšanai 2030. gadā, lai operatīvi risinātu telpu deficītu ĀVS vidusskolas korpusā, kā saimnieciski izdevīgākais pagaidu risinājums ieteikta pārvietojamo moduļu konstrukciju īre.</w:t>
      </w:r>
    </w:p>
    <w:p w14:paraId="42AE13EE"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lastRenderedPageBreak/>
        <w:t>Ņemot vērā to, ka moduļu īre tika piedāvāta kā izdevīgākais risinājums tikai tuvākajiem 3-4 gadiem (līdz 2030./2031. gadam, kad darbu būtu jāuzsāk jaunajai skolai), savukārt pašvaldības finansiālās iespējas šobrīd neļauj uzsākt darbu pie jaunās skolas attīstības projekta, pašvaldības speciālisti izvērtēja šādas alternatīvas pagaidu mācību īstenošanas vietas nodrošināšanai pie ĀVS:</w:t>
      </w:r>
    </w:p>
    <w:p w14:paraId="2B3F7C63" w14:textId="77777777" w:rsidR="00E37199" w:rsidRPr="00A73D88" w:rsidRDefault="00770C8C" w:rsidP="00E37199">
      <w:pPr>
        <w:pStyle w:val="Sarakstarindkopa"/>
        <w:numPr>
          <w:ilvl w:val="0"/>
          <w:numId w:val="4"/>
        </w:numPr>
        <w:spacing w:after="120"/>
        <w:jc w:val="both"/>
        <w:rPr>
          <w:rFonts w:ascii="Times New Roman" w:hAnsi="Times New Roman" w:cs="Times New Roman"/>
        </w:rPr>
      </w:pPr>
      <w:r w:rsidRPr="00A73D88">
        <w:rPr>
          <w:rFonts w:ascii="Times New Roman" w:hAnsi="Times New Roman" w:cs="Times New Roman"/>
        </w:rPr>
        <w:t>Moduļu īre.</w:t>
      </w:r>
    </w:p>
    <w:p w14:paraId="3D939D29" w14:textId="77777777" w:rsidR="00E37199" w:rsidRPr="00A73D88" w:rsidRDefault="00770C8C" w:rsidP="00E37199">
      <w:pPr>
        <w:pStyle w:val="Sarakstarindkopa"/>
        <w:numPr>
          <w:ilvl w:val="0"/>
          <w:numId w:val="4"/>
        </w:numPr>
        <w:spacing w:after="120"/>
        <w:jc w:val="both"/>
        <w:rPr>
          <w:rFonts w:ascii="Times New Roman" w:hAnsi="Times New Roman" w:cs="Times New Roman"/>
        </w:rPr>
      </w:pPr>
      <w:r w:rsidRPr="00A73D88">
        <w:rPr>
          <w:rFonts w:ascii="Times New Roman" w:hAnsi="Times New Roman" w:cs="Times New Roman"/>
        </w:rPr>
        <w:t>Moduļu ēkas izbūve pie ĀVS.</w:t>
      </w:r>
    </w:p>
    <w:p w14:paraId="6300F466" w14:textId="77777777" w:rsidR="00E37199" w:rsidRPr="00A73D88" w:rsidRDefault="00770C8C" w:rsidP="00E37199">
      <w:pPr>
        <w:pStyle w:val="Sarakstarindkopa"/>
        <w:numPr>
          <w:ilvl w:val="0"/>
          <w:numId w:val="4"/>
        </w:numPr>
        <w:spacing w:after="120"/>
        <w:jc w:val="both"/>
        <w:rPr>
          <w:rFonts w:ascii="Times New Roman" w:hAnsi="Times New Roman" w:cs="Times New Roman"/>
        </w:rPr>
      </w:pPr>
      <w:r w:rsidRPr="00A73D88">
        <w:rPr>
          <w:rFonts w:ascii="Times New Roman" w:hAnsi="Times New Roman" w:cs="Times New Roman"/>
        </w:rPr>
        <w:t>Patstāvīgas piebūves izveide pie ĀVS.</w:t>
      </w:r>
    </w:p>
    <w:p w14:paraId="36ACEA56" w14:textId="77777777" w:rsidR="00E37199" w:rsidRPr="00A73D88" w:rsidRDefault="00770C8C" w:rsidP="00E37199">
      <w:pPr>
        <w:pStyle w:val="Sarakstarindkopa"/>
        <w:numPr>
          <w:ilvl w:val="0"/>
          <w:numId w:val="4"/>
        </w:numPr>
        <w:spacing w:after="120"/>
        <w:jc w:val="both"/>
        <w:rPr>
          <w:rFonts w:ascii="Times New Roman" w:hAnsi="Times New Roman" w:cs="Times New Roman"/>
        </w:rPr>
      </w:pPr>
      <w:r w:rsidRPr="00A73D88">
        <w:rPr>
          <w:rFonts w:ascii="Times New Roman" w:hAnsi="Times New Roman" w:cs="Times New Roman"/>
        </w:rPr>
        <w:t>Izglītības procesam nepieciešamo telpu noma no privātpersonām.</w:t>
      </w:r>
    </w:p>
    <w:p w14:paraId="22A6B3B2"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Alternatīvu salīdzināšanā tika ņemti vērā šādi aspekti: īstenošanas termiņi, finansiālais izdevīgums dažādos termiņos, pamatlīdzekļu vērtība, sākotnējās investīcijas. </w:t>
      </w:r>
    </w:p>
    <w:p w14:paraId="70486DF5"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Izvērtējot alternatīvas pagaidu mācību procesa nodrošināšanai ĀVS, moduļu īre tika atzīta par saimnieciski izdevīgāko un operatīvāko īstermiņa risinājumu 3–4 gadu periodam, jo tā ļautu ātri nodrošināt nepieciešamo platību atbilstoši faktiskajām vajadzībām līdz jaunās skolas atklāšanai. Ievērojot riskus attiecībā uz jaunās skolas izbūves pabeigšanu plānotajā termiņā, par saimnieciski pamatotāko risinājumu tiek saskatīta patstāvīgas piebūves izveide pie ĀVS, jo šāda ēka kļūst par pašvaldības pamatlīdzekli un </w:t>
      </w:r>
      <w:r w:rsidRPr="00A73D88">
        <w:rPr>
          <w:rFonts w:ascii="Times New Roman" w:hAnsi="Times New Roman" w:cs="Times New Roman"/>
        </w:rPr>
        <w:t>ilgtermiņā (virs 8 gadiem) ir finansiāli izdevīgāka nekā noma. Patstāvīgas piebūves izveide sniedz būtisku priekšrocību telpas vēlāk transformēt un pielāgot citām pašvaldības funkcijām, piemēram, interešu izglītībai, zinātnes centram vai citām vajadzībām, tādējādi radot paliekošu pievienoto vērtību novada infrastruktūrai. Savukārt telpu noma no privātpersonas blakus esošā zemes gabalā ir atzīta par finansiāli visneizdevīgāko risinājumu pašvaldībai, jo tā saistīta ar visaugstākajām ikmēneša izmaksām un nevei</w:t>
      </w:r>
      <w:r w:rsidRPr="00A73D88">
        <w:rPr>
          <w:rFonts w:ascii="Times New Roman" w:hAnsi="Times New Roman" w:cs="Times New Roman"/>
        </w:rPr>
        <w:t>do pašvaldības aktīvu vērtību.</w:t>
      </w:r>
    </w:p>
    <w:p w14:paraId="25AF35FC" w14:textId="092B1FD5"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2026. gadā veiktā pētījuma secinājumi liecina, ka ĀVS pagaidu mācību īstenošana vietai līdz 2030./2031. </w:t>
      </w:r>
      <w:proofErr w:type="spellStart"/>
      <w:r w:rsidRPr="00A73D88">
        <w:rPr>
          <w:rFonts w:ascii="Times New Roman" w:hAnsi="Times New Roman" w:cs="Times New Roman"/>
        </w:rPr>
        <w:t>m.g</w:t>
      </w:r>
      <w:proofErr w:type="spellEnd"/>
      <w:r w:rsidRPr="00A73D88">
        <w:rPr>
          <w:rFonts w:ascii="Times New Roman" w:hAnsi="Times New Roman" w:cs="Times New Roman"/>
        </w:rPr>
        <w:t>. būtu nepieciešamas 8 klases un palīgtelpas ar kopējo platību ~700 m</w:t>
      </w:r>
      <w:r w:rsidRPr="00A73D88">
        <w:rPr>
          <w:rFonts w:ascii="Times New Roman" w:hAnsi="Times New Roman" w:cs="Times New Roman"/>
          <w:vertAlign w:val="superscript"/>
        </w:rPr>
        <w:t>2</w:t>
      </w:r>
      <w:r w:rsidRPr="00A73D88">
        <w:rPr>
          <w:rFonts w:ascii="Times New Roman" w:hAnsi="Times New Roman" w:cs="Times New Roman"/>
        </w:rPr>
        <w:t>. Ņemot vērā to, ka uz šo mācību gadu jauna izglītības iestāde “Liepniekos” nebūs izbūvēta, ĀVS piebūvē nepieciešams paredzēt vismaz par 2 mācību kabinetiem (papildus ~120 m</w:t>
      </w:r>
      <w:r w:rsidRPr="00A73D88">
        <w:rPr>
          <w:rFonts w:ascii="Times New Roman" w:hAnsi="Times New Roman" w:cs="Times New Roman"/>
          <w:vertAlign w:val="superscript"/>
        </w:rPr>
        <w:t>2</w:t>
      </w:r>
      <w:r w:rsidRPr="00A73D88">
        <w:rPr>
          <w:rFonts w:ascii="Times New Roman" w:hAnsi="Times New Roman" w:cs="Times New Roman"/>
        </w:rPr>
        <w:t>) vairāk nekā norādīts pētījumā, kā arī telpu ēdināšanai (~150 m</w:t>
      </w:r>
      <w:r w:rsidRPr="00A73D88">
        <w:rPr>
          <w:rFonts w:ascii="Times New Roman" w:hAnsi="Times New Roman" w:cs="Times New Roman"/>
          <w:vertAlign w:val="superscript"/>
        </w:rPr>
        <w:t>2</w:t>
      </w:r>
      <w:r w:rsidRPr="00A73D88">
        <w:rPr>
          <w:rFonts w:ascii="Times New Roman" w:hAnsi="Times New Roman" w:cs="Times New Roman"/>
        </w:rPr>
        <w:t xml:space="preserve">). Kopējā nepieciešamā piebūves platība </w:t>
      </w:r>
      <w:r w:rsidR="00E92439" w:rsidRPr="00A73D88">
        <w:rPr>
          <w:rFonts w:ascii="Times New Roman" w:hAnsi="Times New Roman" w:cs="Times New Roman"/>
        </w:rPr>
        <w:t xml:space="preserve">vismaz </w:t>
      </w:r>
      <w:r w:rsidRPr="00A73D88">
        <w:rPr>
          <w:rFonts w:ascii="Times New Roman" w:hAnsi="Times New Roman" w:cs="Times New Roman"/>
        </w:rPr>
        <w:t>970 m</w:t>
      </w:r>
      <w:r w:rsidRPr="00A73D88">
        <w:rPr>
          <w:rFonts w:ascii="Times New Roman" w:hAnsi="Times New Roman" w:cs="Times New Roman"/>
          <w:vertAlign w:val="superscript"/>
        </w:rPr>
        <w:t>2</w:t>
      </w:r>
      <w:r w:rsidRPr="00A73D88">
        <w:rPr>
          <w:rFonts w:ascii="Times New Roman" w:hAnsi="Times New Roman" w:cs="Times New Roman"/>
        </w:rPr>
        <w:t xml:space="preserve">. </w:t>
      </w:r>
    </w:p>
    <w:p w14:paraId="4DB6C044" w14:textId="77777777"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Atbilstoši speciālistu aplēsēm, patstāvīgas piebūves izveide prasa aptuveni 5 mēnešus projektēšanai un 18 mēnešus būvniecībai. Lai nodrošinātu telpu gatavību un nodošanu ekspluatācijā uz 2028./2029. mācību gada sākumu (01.09.2028.), iepirkumu procedūras un projektēšanas darbi ir jāuzsāk ne vēlāk kā 2026. gada augustā. </w:t>
      </w:r>
    </w:p>
    <w:p w14:paraId="76FAC19F" w14:textId="08161411" w:rsidR="00E37199"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Ņemot vērā līdzīgu objektu izmaksas tirgū, secināts, ka ĀVS piebūves izmaksas varētu būt sākot no 1800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/m</w:t>
      </w:r>
      <w:r w:rsidRPr="00A73D88">
        <w:rPr>
          <w:rFonts w:ascii="Times New Roman" w:hAnsi="Times New Roman" w:cs="Times New Roman"/>
          <w:vertAlign w:val="superscript"/>
        </w:rPr>
        <w:t xml:space="preserve">2 </w:t>
      </w:r>
      <w:r w:rsidRPr="00A73D88">
        <w:rPr>
          <w:rFonts w:ascii="Times New Roman" w:hAnsi="Times New Roman" w:cs="Times New Roman"/>
        </w:rPr>
        <w:t xml:space="preserve">līdz 3000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/m</w:t>
      </w:r>
      <w:r w:rsidRPr="00A73D88">
        <w:rPr>
          <w:rFonts w:ascii="Times New Roman" w:hAnsi="Times New Roman" w:cs="Times New Roman"/>
          <w:vertAlign w:val="superscript"/>
        </w:rPr>
        <w:t>2</w:t>
      </w:r>
      <w:r w:rsidRPr="00A73D88">
        <w:rPr>
          <w:rFonts w:ascii="Times New Roman" w:hAnsi="Times New Roman" w:cs="Times New Roman"/>
        </w:rPr>
        <w:t xml:space="preserve"> (vidēji ~2400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/m</w:t>
      </w:r>
      <w:r w:rsidRPr="00A73D88">
        <w:rPr>
          <w:rFonts w:ascii="Times New Roman" w:hAnsi="Times New Roman" w:cs="Times New Roman"/>
          <w:vertAlign w:val="superscript"/>
        </w:rPr>
        <w:t>2</w:t>
      </w:r>
      <w:r w:rsidRPr="00A73D88">
        <w:rPr>
          <w:rFonts w:ascii="Times New Roman" w:hAnsi="Times New Roman" w:cs="Times New Roman"/>
        </w:rPr>
        <w:t xml:space="preserve">). </w:t>
      </w:r>
      <w:r w:rsidR="00BC7F69" w:rsidRPr="00A73D88">
        <w:rPr>
          <w:rFonts w:ascii="Times New Roman" w:hAnsi="Times New Roman" w:cs="Times New Roman"/>
        </w:rPr>
        <w:t xml:space="preserve">Vienlaikus jāņem vērā, ka būvniecības nozarē pēdējos gados saglabājas stabils būvniecības izmaksu pieaugums vidēji vismaz 3,5% gadā. Reāla būvdarbu cenu piedāvājumu saņemšana prognozējama aptuveni pēc diviem gadiem, prognozētajām būvniecības izmaksām pamatoti piemērojama būvniecības izmaksu indeksācija par attiecīgo periodu. Attiecīgi vidējās būvniecības izmaksas prognozējami var pieaugt aptuveni par 7%, kas sastādītu ~ 2562 </w:t>
      </w:r>
      <w:proofErr w:type="spellStart"/>
      <w:r w:rsidR="00BC7F69" w:rsidRPr="002C04B7">
        <w:rPr>
          <w:rFonts w:ascii="Times New Roman" w:hAnsi="Times New Roman" w:cs="Times New Roman"/>
          <w:i/>
          <w:iCs/>
        </w:rPr>
        <w:t>euro</w:t>
      </w:r>
      <w:proofErr w:type="spellEnd"/>
      <w:r w:rsidR="00BC7F69" w:rsidRPr="002C04B7">
        <w:rPr>
          <w:rFonts w:ascii="Times New Roman" w:hAnsi="Times New Roman" w:cs="Times New Roman"/>
          <w:i/>
          <w:iCs/>
        </w:rPr>
        <w:t>/m</w:t>
      </w:r>
      <w:r w:rsidR="00BC7F69" w:rsidRPr="002C04B7">
        <w:rPr>
          <w:rFonts w:ascii="Times New Roman" w:hAnsi="Times New Roman" w:cs="Times New Roman"/>
          <w:i/>
          <w:iCs/>
          <w:vertAlign w:val="superscript"/>
        </w:rPr>
        <w:t>2</w:t>
      </w:r>
      <w:r w:rsidR="00BC7F69" w:rsidRPr="00A73D88">
        <w:rPr>
          <w:rFonts w:ascii="Times New Roman" w:hAnsi="Times New Roman" w:cs="Times New Roman"/>
        </w:rPr>
        <w:t xml:space="preserve">. </w:t>
      </w:r>
      <w:r w:rsidRPr="00A73D88">
        <w:rPr>
          <w:rFonts w:ascii="Times New Roman" w:hAnsi="Times New Roman" w:cs="Times New Roman"/>
        </w:rPr>
        <w:t>Kopējās ĀVS piebūves pro</w:t>
      </w:r>
      <w:r w:rsidRPr="00A73D88">
        <w:rPr>
          <w:rFonts w:ascii="Times New Roman" w:hAnsi="Times New Roman" w:cs="Times New Roman"/>
        </w:rPr>
        <w:t xml:space="preserve">jektēšanas un būvniecības izmaksas varētu būt </w:t>
      </w:r>
      <w:r w:rsidR="00BC7F69" w:rsidRPr="00A73D88">
        <w:rPr>
          <w:rFonts w:ascii="Times New Roman" w:hAnsi="Times New Roman" w:cs="Times New Roman"/>
        </w:rPr>
        <w:t>  2 484</w:t>
      </w:r>
      <w:r w:rsidR="00A73D88" w:rsidRPr="00A73D88">
        <w:rPr>
          <w:rFonts w:ascii="Times New Roman" w:hAnsi="Times New Roman" w:cs="Times New Roman"/>
        </w:rPr>
        <w:t> </w:t>
      </w:r>
      <w:r w:rsidR="00BC7F69" w:rsidRPr="00A73D88">
        <w:rPr>
          <w:rFonts w:ascii="Times New Roman" w:hAnsi="Times New Roman" w:cs="Times New Roman"/>
        </w:rPr>
        <w:t>733</w:t>
      </w:r>
      <w:r w:rsidR="00A73D88" w:rsidRPr="002C04B7">
        <w:rPr>
          <w:rFonts w:ascii="Times New Roman" w:hAnsi="Times New Roman" w:cs="Times New Roman"/>
        </w:rPr>
        <w:t xml:space="preserve">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 xml:space="preserve">, t.sk., projektēšanai </w:t>
      </w:r>
      <w:r w:rsidR="00A73D88" w:rsidRPr="002C04B7">
        <w:rPr>
          <w:rFonts w:ascii="Times New Roman" w:hAnsi="Times New Roman" w:cs="Times New Roman"/>
        </w:rPr>
        <w:t xml:space="preserve"> 74</w:t>
      </w:r>
      <w:r w:rsidR="00A73D88" w:rsidRPr="00A73D88">
        <w:rPr>
          <w:rFonts w:ascii="Times New Roman" w:hAnsi="Times New Roman" w:cs="Times New Roman"/>
        </w:rPr>
        <w:t> </w:t>
      </w:r>
      <w:r w:rsidR="00A73D88" w:rsidRPr="002C04B7">
        <w:rPr>
          <w:rFonts w:ascii="Times New Roman" w:hAnsi="Times New Roman" w:cs="Times New Roman"/>
        </w:rPr>
        <w:t xml:space="preserve">542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 xml:space="preserve">, ekspertīzei </w:t>
      </w:r>
      <w:r w:rsidR="00A73D88" w:rsidRPr="002C04B7">
        <w:rPr>
          <w:rFonts w:ascii="Times New Roman" w:hAnsi="Times New Roman" w:cs="Times New Roman"/>
        </w:rPr>
        <w:t xml:space="preserve"> 7</w:t>
      </w:r>
      <w:r w:rsidR="00A73D88" w:rsidRPr="00A73D88">
        <w:rPr>
          <w:rFonts w:ascii="Times New Roman" w:hAnsi="Times New Roman" w:cs="Times New Roman"/>
        </w:rPr>
        <w:t> </w:t>
      </w:r>
      <w:r w:rsidR="00A73D88" w:rsidRPr="002C04B7">
        <w:rPr>
          <w:rFonts w:ascii="Times New Roman" w:hAnsi="Times New Roman" w:cs="Times New Roman"/>
        </w:rPr>
        <w:t xml:space="preserve">454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 xml:space="preserve">, autoruzraudzībai un būvuzraudzībai </w:t>
      </w:r>
      <w:r w:rsidR="00A73D88" w:rsidRPr="002C04B7">
        <w:rPr>
          <w:rFonts w:ascii="Times New Roman" w:hAnsi="Times New Roman" w:cs="Times New Roman"/>
        </w:rPr>
        <w:t xml:space="preserve"> 62</w:t>
      </w:r>
      <w:r w:rsidR="00A73D88" w:rsidRPr="00A73D88">
        <w:rPr>
          <w:rFonts w:ascii="Times New Roman" w:hAnsi="Times New Roman" w:cs="Times New Roman"/>
        </w:rPr>
        <w:t> </w:t>
      </w:r>
      <w:r w:rsidR="00A73D88" w:rsidRPr="002C04B7">
        <w:rPr>
          <w:rFonts w:ascii="Times New Roman" w:hAnsi="Times New Roman" w:cs="Times New Roman"/>
        </w:rPr>
        <w:t xml:space="preserve">118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 xml:space="preserve"> un būvniecībai </w:t>
      </w:r>
      <w:r w:rsidR="00A73D88" w:rsidRPr="002C04B7">
        <w:rPr>
          <w:rFonts w:ascii="Times New Roman" w:hAnsi="Times New Roman" w:cs="Times New Roman"/>
        </w:rPr>
        <w:t>2 2</w:t>
      </w:r>
      <w:r w:rsidR="00A73D88" w:rsidRPr="00A73D88">
        <w:rPr>
          <w:rFonts w:ascii="Times New Roman" w:hAnsi="Times New Roman" w:cs="Times New Roman"/>
        </w:rPr>
        <w:t> </w:t>
      </w:r>
      <w:r w:rsidR="00A73D88" w:rsidRPr="002C04B7">
        <w:rPr>
          <w:rFonts w:ascii="Times New Roman" w:hAnsi="Times New Roman" w:cs="Times New Roman"/>
        </w:rPr>
        <w:t>340</w:t>
      </w:r>
      <w:r w:rsidR="00A73D88" w:rsidRPr="00A73D88">
        <w:rPr>
          <w:rFonts w:ascii="Times New Roman" w:hAnsi="Times New Roman" w:cs="Times New Roman"/>
        </w:rPr>
        <w:t> </w:t>
      </w:r>
      <w:r w:rsidR="00A73D88" w:rsidRPr="002C04B7">
        <w:rPr>
          <w:rFonts w:ascii="Times New Roman" w:hAnsi="Times New Roman" w:cs="Times New Roman"/>
        </w:rPr>
        <w:t xml:space="preserve">618 </w:t>
      </w:r>
      <w:proofErr w:type="spellStart"/>
      <w:r w:rsidRPr="00A73D88">
        <w:rPr>
          <w:rFonts w:ascii="Times New Roman" w:hAnsi="Times New Roman" w:cs="Times New Roman"/>
          <w:i/>
          <w:iCs/>
        </w:rPr>
        <w:t>euro</w:t>
      </w:r>
      <w:proofErr w:type="spellEnd"/>
      <w:r w:rsidRPr="00A73D88">
        <w:rPr>
          <w:rFonts w:ascii="Times New Roman" w:hAnsi="Times New Roman" w:cs="Times New Roman"/>
        </w:rPr>
        <w:t>.</w:t>
      </w:r>
    </w:p>
    <w:p w14:paraId="639C4E39" w14:textId="142FC73D" w:rsidR="00564CA6" w:rsidRPr="00A73D88" w:rsidRDefault="00770C8C" w:rsidP="00E37199">
      <w:pPr>
        <w:spacing w:after="120"/>
        <w:jc w:val="both"/>
        <w:rPr>
          <w:rFonts w:ascii="Times New Roman" w:hAnsi="Times New Roman" w:cs="Times New Roman"/>
        </w:rPr>
      </w:pPr>
      <w:r w:rsidRPr="00A73D88">
        <w:rPr>
          <w:rFonts w:ascii="Times New Roman" w:hAnsi="Times New Roman" w:cs="Times New Roman"/>
        </w:rPr>
        <w:t xml:space="preserve">Pamatojoties uz Pašvaldību likuma 4. panta pirmās daļas 4. punktu, </w:t>
      </w:r>
      <w:r w:rsidR="00BF12F1">
        <w:rPr>
          <w:rFonts w:ascii="Times New Roman" w:hAnsi="Times New Roman" w:cs="Times New Roman"/>
        </w:rPr>
        <w:t xml:space="preserve">10. panta pirmās daļas 21. punktu, </w:t>
      </w:r>
      <w:r w:rsidRPr="00A73D88">
        <w:rPr>
          <w:rFonts w:ascii="Times New Roman" w:hAnsi="Times New Roman" w:cs="Times New Roman"/>
        </w:rPr>
        <w:t>Izglītības likuma 17. panta pirmo daļu</w:t>
      </w:r>
      <w:r w:rsidR="00BF12F1">
        <w:rPr>
          <w:rFonts w:ascii="Times New Roman" w:hAnsi="Times New Roman" w:cs="Times New Roman"/>
        </w:rPr>
        <w:t>,</w:t>
      </w:r>
      <w:r w:rsidRPr="00A73D88">
        <w:rPr>
          <w:rFonts w:ascii="Times New Roman" w:hAnsi="Times New Roman" w:cs="Times New Roman"/>
        </w:rPr>
        <w:t xml:space="preserve"> </w:t>
      </w:r>
      <w:r w:rsidR="00BF12F1">
        <w:rPr>
          <w:rFonts w:ascii="Times New Roman" w:hAnsi="Times New Roman" w:cs="Times New Roman"/>
        </w:rPr>
        <w:t xml:space="preserve">kā arī </w:t>
      </w:r>
      <w:r w:rsidRPr="00A73D88">
        <w:rPr>
          <w:rFonts w:ascii="Times New Roman" w:hAnsi="Times New Roman" w:cs="Times New Roman"/>
        </w:rPr>
        <w:t>Finanšu komitejas 20.05.2026. atzinumu, Ādažu novada pašvaldības dome</w:t>
      </w:r>
    </w:p>
    <w:p w14:paraId="7E71C6D5" w14:textId="77777777" w:rsidR="00564CA6" w:rsidRPr="00A73D88" w:rsidRDefault="00770C8C" w:rsidP="00BB16A4">
      <w:pPr>
        <w:spacing w:after="120"/>
        <w:jc w:val="center"/>
        <w:rPr>
          <w:rFonts w:ascii="Times New Roman" w:hAnsi="Times New Roman" w:cs="Times New Roman"/>
          <w:b/>
        </w:rPr>
      </w:pPr>
      <w:r w:rsidRPr="00A73D88">
        <w:rPr>
          <w:rFonts w:ascii="Times New Roman" w:hAnsi="Times New Roman" w:cs="Times New Roman"/>
          <w:b/>
        </w:rPr>
        <w:t>NOLEMJ:</w:t>
      </w:r>
    </w:p>
    <w:p w14:paraId="37F074DD" w14:textId="77777777" w:rsidR="00E37199" w:rsidRPr="00A73D88" w:rsidRDefault="00770C8C" w:rsidP="00E37199">
      <w:pPr>
        <w:pStyle w:val="xmsonormal"/>
        <w:numPr>
          <w:ilvl w:val="0"/>
          <w:numId w:val="5"/>
        </w:numPr>
        <w:shd w:val="clear" w:color="auto" w:fill="FFFFFF"/>
        <w:spacing w:before="0" w:beforeAutospacing="0" w:after="120" w:afterAutospacing="0"/>
        <w:jc w:val="both"/>
        <w:rPr>
          <w:bCs/>
        </w:rPr>
      </w:pPr>
      <w:r w:rsidRPr="00A73D88">
        <w:rPr>
          <w:bCs/>
        </w:rPr>
        <w:lastRenderedPageBreak/>
        <w:t>Atbalstīt patstāvīgas piebūves izveidi pie esošās Ādažu vidusskolas ēkas Gaujas ielā 30, Ādažos, lai nodrošinātu papildu mācību telpas 10 klašu komplektiem jeb līdz 300 skolēniem.</w:t>
      </w:r>
    </w:p>
    <w:p w14:paraId="1EC01C93" w14:textId="61D68F7A" w:rsidR="00E37199" w:rsidRDefault="00770C8C" w:rsidP="00E37199">
      <w:pPr>
        <w:pStyle w:val="xmsonormal"/>
        <w:numPr>
          <w:ilvl w:val="0"/>
          <w:numId w:val="5"/>
        </w:numPr>
        <w:shd w:val="clear" w:color="auto" w:fill="FFFFFF"/>
        <w:spacing w:before="0" w:beforeAutospacing="0" w:after="120" w:afterAutospacing="0"/>
        <w:jc w:val="both"/>
        <w:rPr>
          <w:bCs/>
        </w:rPr>
      </w:pPr>
      <w:r w:rsidRPr="00A73D88">
        <w:rPr>
          <w:bCs/>
        </w:rPr>
        <w:t xml:space="preserve">Noteikt, ka kopējās projekta izmaksas ir līdz </w:t>
      </w:r>
      <w:r w:rsidR="00A73D88" w:rsidRPr="002C04B7">
        <w:rPr>
          <w:bCs/>
        </w:rPr>
        <w:t xml:space="preserve"> 2 484</w:t>
      </w:r>
      <w:r w:rsidR="00A73D88" w:rsidRPr="00A73D88">
        <w:rPr>
          <w:bCs/>
        </w:rPr>
        <w:t> </w:t>
      </w:r>
      <w:r w:rsidR="00A73D88" w:rsidRPr="002C04B7">
        <w:rPr>
          <w:bCs/>
        </w:rPr>
        <w:t xml:space="preserve">733 </w:t>
      </w:r>
      <w:r w:rsidRPr="00A73D88">
        <w:rPr>
          <w:bCs/>
        </w:rPr>
        <w:t xml:space="preserve"> </w:t>
      </w:r>
      <w:proofErr w:type="spellStart"/>
      <w:r w:rsidRPr="00A73D88">
        <w:rPr>
          <w:bCs/>
          <w:i/>
          <w:iCs/>
        </w:rPr>
        <w:t>euro</w:t>
      </w:r>
      <w:proofErr w:type="spellEnd"/>
      <w:r w:rsidRPr="00A73D88">
        <w:rPr>
          <w:bCs/>
          <w:i/>
          <w:iCs/>
        </w:rPr>
        <w:t xml:space="preserve"> </w:t>
      </w:r>
      <w:r w:rsidRPr="00A73D88">
        <w:rPr>
          <w:bCs/>
        </w:rPr>
        <w:t>(divi miljoni</w:t>
      </w:r>
      <w:r w:rsidR="00A73D88" w:rsidRPr="002C04B7">
        <w:rPr>
          <w:bCs/>
        </w:rPr>
        <w:t xml:space="preserve"> </w:t>
      </w:r>
      <w:r w:rsidR="00A73D88">
        <w:rPr>
          <w:bCs/>
        </w:rPr>
        <w:t>č</w:t>
      </w:r>
      <w:r w:rsidR="00A73D88" w:rsidRPr="00A73D88">
        <w:rPr>
          <w:bCs/>
        </w:rPr>
        <w:t>etri</w:t>
      </w:r>
      <w:r w:rsidRPr="00A73D88">
        <w:rPr>
          <w:bCs/>
        </w:rPr>
        <w:t xml:space="preserve"> simti </w:t>
      </w:r>
      <w:r w:rsidR="00A73D88" w:rsidRPr="00A73D88">
        <w:rPr>
          <w:bCs/>
        </w:rPr>
        <w:t>asto</w:t>
      </w:r>
      <w:r w:rsidR="00A73D88">
        <w:rPr>
          <w:bCs/>
        </w:rPr>
        <w:t>ņ</w:t>
      </w:r>
      <w:r w:rsidR="00A73D88" w:rsidRPr="00A73D88">
        <w:rPr>
          <w:bCs/>
        </w:rPr>
        <w:t xml:space="preserve">desmit </w:t>
      </w:r>
      <w:r w:rsidR="00A73D88">
        <w:rPr>
          <w:bCs/>
        </w:rPr>
        <w:t>č</w:t>
      </w:r>
      <w:r w:rsidR="00A73D88" w:rsidRPr="00A73D88">
        <w:rPr>
          <w:bCs/>
        </w:rPr>
        <w:t xml:space="preserve">etri </w:t>
      </w:r>
      <w:r w:rsidRPr="00A73D88">
        <w:rPr>
          <w:bCs/>
        </w:rPr>
        <w:t xml:space="preserve"> tūkstoši </w:t>
      </w:r>
      <w:r w:rsidR="00A73D88" w:rsidRPr="00A73D88">
        <w:rPr>
          <w:bCs/>
        </w:rPr>
        <w:t>septi</w:t>
      </w:r>
      <w:r w:rsidR="00A73D88">
        <w:rPr>
          <w:bCs/>
        </w:rPr>
        <w:t>ņ</w:t>
      </w:r>
      <w:r w:rsidR="00A73D88" w:rsidRPr="00A73D88">
        <w:rPr>
          <w:bCs/>
        </w:rPr>
        <w:t>i</w:t>
      </w:r>
      <w:r w:rsidRPr="00A73D88">
        <w:rPr>
          <w:bCs/>
        </w:rPr>
        <w:t xml:space="preserve"> simt</w:t>
      </w:r>
      <w:r w:rsidR="00A73D88" w:rsidRPr="00A73D88">
        <w:rPr>
          <w:bCs/>
        </w:rPr>
        <w:t>i tr</w:t>
      </w:r>
      <w:r w:rsidR="00A73D88">
        <w:rPr>
          <w:bCs/>
        </w:rPr>
        <w:t>ī</w:t>
      </w:r>
      <w:r w:rsidR="00A73D88" w:rsidRPr="00A73D88">
        <w:rPr>
          <w:bCs/>
        </w:rPr>
        <w:t>sdesmi</w:t>
      </w:r>
      <w:r w:rsidR="00A73D88">
        <w:rPr>
          <w:bCs/>
        </w:rPr>
        <w:t>t</w:t>
      </w:r>
      <w:r w:rsidR="00A73D88" w:rsidRPr="00A73D88">
        <w:rPr>
          <w:bCs/>
        </w:rPr>
        <w:t xml:space="preserve"> tr</w:t>
      </w:r>
      <w:r w:rsidR="00A73D88">
        <w:rPr>
          <w:bCs/>
        </w:rPr>
        <w:t>ī</w:t>
      </w:r>
      <w:r w:rsidR="00A73D88" w:rsidRPr="00A73D88">
        <w:rPr>
          <w:bCs/>
        </w:rPr>
        <w:t>s</w:t>
      </w:r>
      <w:r w:rsidRPr="00A73D88">
        <w:rPr>
          <w:bCs/>
        </w:rPr>
        <w:t xml:space="preserve"> </w:t>
      </w:r>
      <w:proofErr w:type="spellStart"/>
      <w:r w:rsidRPr="00A73D88">
        <w:rPr>
          <w:bCs/>
          <w:i/>
          <w:iCs/>
        </w:rPr>
        <w:t>euro</w:t>
      </w:r>
      <w:proofErr w:type="spellEnd"/>
      <w:r w:rsidRPr="00A73D88">
        <w:rPr>
          <w:bCs/>
        </w:rPr>
        <w:t xml:space="preserve"> un 00 centi), veicot finansējumu daļēju nodrošināšanu gan ar pašvaldības budžeta līdzekļiem, gan ar ilgtermiņa aizņēmumu Valsts kasē.</w:t>
      </w:r>
    </w:p>
    <w:p w14:paraId="3DFA61FD" w14:textId="4D4D25B5" w:rsidR="00752D04" w:rsidRDefault="00770C8C" w:rsidP="00E37199">
      <w:pPr>
        <w:pStyle w:val="xmsonormal"/>
        <w:numPr>
          <w:ilvl w:val="0"/>
          <w:numId w:val="5"/>
        </w:numPr>
        <w:shd w:val="clear" w:color="auto" w:fill="FFFFFF"/>
        <w:spacing w:before="0" w:beforeAutospacing="0" w:after="120" w:afterAutospacing="0"/>
        <w:jc w:val="both"/>
        <w:rPr>
          <w:bCs/>
        </w:rPr>
      </w:pPr>
      <w:r w:rsidRPr="00374600">
        <w:rPr>
          <w:bCs/>
        </w:rPr>
        <w:t>Attīstības un projektu nodaļa</w:t>
      </w:r>
      <w:r>
        <w:rPr>
          <w:bCs/>
        </w:rPr>
        <w:t xml:space="preserve"> nodrošināt nepieciešamās dokumentācijas iesniegšanu </w:t>
      </w:r>
      <w:r w:rsidRPr="00752D04">
        <w:rPr>
          <w:bCs/>
        </w:rPr>
        <w:t>Izglītības un zinātnes ministrij</w:t>
      </w:r>
      <w:r>
        <w:rPr>
          <w:bCs/>
        </w:rPr>
        <w:t>ā</w:t>
      </w:r>
      <w:r w:rsidRPr="00752D04">
        <w:rPr>
          <w:bCs/>
        </w:rPr>
        <w:t xml:space="preserve"> atzinum</w:t>
      </w:r>
      <w:r>
        <w:rPr>
          <w:bCs/>
        </w:rPr>
        <w:t>a saņemšanai, lai varētu saņemt Valsts kases aizņēmumu.</w:t>
      </w:r>
    </w:p>
    <w:p w14:paraId="2AB8616A" w14:textId="76E1BE5B" w:rsidR="00752D04" w:rsidRPr="00A73D88" w:rsidRDefault="00770C8C" w:rsidP="00E37199">
      <w:pPr>
        <w:pStyle w:val="xmsonormal"/>
        <w:numPr>
          <w:ilvl w:val="0"/>
          <w:numId w:val="5"/>
        </w:numPr>
        <w:shd w:val="clear" w:color="auto" w:fill="FFFFFF"/>
        <w:spacing w:before="0" w:beforeAutospacing="0" w:after="120" w:afterAutospacing="0"/>
        <w:jc w:val="both"/>
        <w:rPr>
          <w:bCs/>
        </w:rPr>
      </w:pPr>
      <w:r>
        <w:rPr>
          <w:bCs/>
        </w:rPr>
        <w:t xml:space="preserve">2026.gadā nepieciešamo finansējumu </w:t>
      </w:r>
      <w:r w:rsidR="00A90761">
        <w:rPr>
          <w:bCs/>
        </w:rPr>
        <w:t xml:space="preserve">82 000 </w:t>
      </w:r>
      <w:proofErr w:type="spellStart"/>
      <w:r w:rsidRPr="00646501">
        <w:rPr>
          <w:bCs/>
          <w:i/>
          <w:iCs/>
        </w:rPr>
        <w:t>euro</w:t>
      </w:r>
      <w:proofErr w:type="spellEnd"/>
      <w:r>
        <w:rPr>
          <w:bCs/>
        </w:rPr>
        <w:t xml:space="preserve"> apmērā novirzīt no </w:t>
      </w:r>
      <w:r w:rsidR="00871907">
        <w:rPr>
          <w:bCs/>
        </w:rPr>
        <w:t xml:space="preserve">pašvaldības konta atlikuma </w:t>
      </w:r>
      <w:r>
        <w:rPr>
          <w:bCs/>
        </w:rPr>
        <w:t>(25</w:t>
      </w:r>
      <w:r w:rsidR="00A90761">
        <w:rPr>
          <w:bCs/>
        </w:rPr>
        <w:t xml:space="preserve"> </w:t>
      </w:r>
      <w:r>
        <w:rPr>
          <w:bCs/>
        </w:rPr>
        <w:t xml:space="preserve">000 </w:t>
      </w:r>
      <w:proofErr w:type="spellStart"/>
      <w:r w:rsidRPr="00646501">
        <w:rPr>
          <w:bCs/>
          <w:i/>
          <w:iCs/>
        </w:rPr>
        <w:t>euro</w:t>
      </w:r>
      <w:proofErr w:type="spellEnd"/>
      <w:r>
        <w:rPr>
          <w:bCs/>
        </w:rPr>
        <w:t>)</w:t>
      </w:r>
      <w:r w:rsidR="00A90761">
        <w:rPr>
          <w:bCs/>
        </w:rPr>
        <w:t>,</w:t>
      </w:r>
      <w:r>
        <w:rPr>
          <w:bCs/>
        </w:rPr>
        <w:t xml:space="preserve"> </w:t>
      </w:r>
      <w:proofErr w:type="spellStart"/>
      <w:r w:rsidRPr="00752D04">
        <w:rPr>
          <w:bCs/>
        </w:rPr>
        <w:t>O.Vācieša</w:t>
      </w:r>
      <w:proofErr w:type="spellEnd"/>
      <w:r w:rsidRPr="00752D04">
        <w:rPr>
          <w:bCs/>
        </w:rPr>
        <w:t xml:space="preserve"> skvēra projektēšana (papildu pilnveide)</w:t>
      </w:r>
      <w:r>
        <w:rPr>
          <w:bCs/>
        </w:rPr>
        <w:t xml:space="preserve"> (50</w:t>
      </w:r>
      <w:r w:rsidR="00A90761">
        <w:rPr>
          <w:bCs/>
        </w:rPr>
        <w:t xml:space="preserve"> </w:t>
      </w:r>
      <w:r>
        <w:rPr>
          <w:bCs/>
        </w:rPr>
        <w:t xml:space="preserve">000 </w:t>
      </w:r>
      <w:proofErr w:type="spellStart"/>
      <w:r w:rsidRPr="008D673A">
        <w:rPr>
          <w:bCs/>
          <w:i/>
          <w:iCs/>
        </w:rPr>
        <w:t>euro</w:t>
      </w:r>
      <w:proofErr w:type="spellEnd"/>
      <w:r>
        <w:rPr>
          <w:bCs/>
        </w:rPr>
        <w:t>)</w:t>
      </w:r>
      <w:r w:rsidR="00A90761">
        <w:rPr>
          <w:bCs/>
        </w:rPr>
        <w:t xml:space="preserve"> un Carnikavas vidusskolas paplašināšanas </w:t>
      </w:r>
      <w:r w:rsidR="00A90761" w:rsidRPr="00A90761">
        <w:rPr>
          <w:bCs/>
        </w:rPr>
        <w:t>sociāli tehniski ekonomiskā pamatojuma izstrāde</w:t>
      </w:r>
      <w:r w:rsidR="00A90761">
        <w:rPr>
          <w:bCs/>
        </w:rPr>
        <w:t xml:space="preserve">i paredzētā finansējuma (7 000 </w:t>
      </w:r>
      <w:proofErr w:type="spellStart"/>
      <w:r w:rsidR="00A90761" w:rsidRPr="00646501">
        <w:rPr>
          <w:bCs/>
          <w:i/>
          <w:iCs/>
        </w:rPr>
        <w:t>euro</w:t>
      </w:r>
      <w:proofErr w:type="spellEnd"/>
      <w:r w:rsidR="00A90761">
        <w:rPr>
          <w:bCs/>
        </w:rPr>
        <w:t>).</w:t>
      </w:r>
    </w:p>
    <w:p w14:paraId="44441483" w14:textId="1055BD74" w:rsidR="00E37199" w:rsidRPr="00A73D88" w:rsidRDefault="00770C8C" w:rsidP="00E37199">
      <w:pPr>
        <w:pStyle w:val="xmsonormal"/>
        <w:numPr>
          <w:ilvl w:val="0"/>
          <w:numId w:val="5"/>
        </w:numPr>
        <w:shd w:val="clear" w:color="auto" w:fill="FFFFFF"/>
        <w:spacing w:before="0" w:beforeAutospacing="0" w:after="120" w:afterAutospacing="0"/>
        <w:jc w:val="both"/>
        <w:rPr>
          <w:bCs/>
        </w:rPr>
      </w:pPr>
      <w:r w:rsidRPr="00A73D88">
        <w:rPr>
          <w:bCs/>
        </w:rPr>
        <w:t xml:space="preserve">Uzsākt patstāvīgas piebūves projektēšanu 2026. gadā, nosakot, ka iepirkuma procedūra projektēšanas darbiem jāizsludina ne vēlāk kā līdz 2026. gada </w:t>
      </w:r>
      <w:r w:rsidR="00BF12F1">
        <w:rPr>
          <w:bCs/>
        </w:rPr>
        <w:t xml:space="preserve">30. </w:t>
      </w:r>
      <w:r w:rsidRPr="00A73D88">
        <w:rPr>
          <w:bCs/>
        </w:rPr>
        <w:t>jūnijam.</w:t>
      </w:r>
    </w:p>
    <w:p w14:paraId="2BFD06BB" w14:textId="614585DC" w:rsidR="00374600" w:rsidRDefault="00770C8C" w:rsidP="00374600">
      <w:pPr>
        <w:pStyle w:val="xmsonormal"/>
        <w:widowControl w:val="0"/>
        <w:numPr>
          <w:ilvl w:val="0"/>
          <w:numId w:val="5"/>
        </w:numPr>
        <w:shd w:val="clear" w:color="auto" w:fill="FFFFFF"/>
        <w:tabs>
          <w:tab w:val="left" w:pos="1985"/>
        </w:tabs>
        <w:autoSpaceDE w:val="0"/>
        <w:autoSpaceDN w:val="0"/>
        <w:adjustRightInd w:val="0"/>
        <w:spacing w:before="0" w:beforeAutospacing="0" w:after="120" w:afterAutospacing="0"/>
        <w:jc w:val="both"/>
        <w:rPr>
          <w:bCs/>
        </w:rPr>
      </w:pPr>
      <w:r w:rsidRPr="00374600">
        <w:rPr>
          <w:bCs/>
        </w:rPr>
        <w:t>Noteikt, ka par ĀVS piebūves projektēšanas tehniskās specifikācijas izstrādi atbildīgais ir Centrālās pārvaldes Attīstības un projektu nodaļas tehniskā projektu vadītāja Iveta Grīviņa – Dilāne.</w:t>
      </w:r>
      <w:r>
        <w:rPr>
          <w:bCs/>
        </w:rPr>
        <w:t xml:space="preserve"> </w:t>
      </w:r>
      <w:r w:rsidR="00BF12F1">
        <w:rPr>
          <w:bCs/>
        </w:rPr>
        <w:t>Tehniskā specifikācija iesniedzama pašvaldības Iepirkumu komisijai līdz 2026. gada 10. jūnijam.</w:t>
      </w:r>
    </w:p>
    <w:p w14:paraId="18BCF335" w14:textId="174E2563" w:rsidR="00564CA6" w:rsidRPr="00374600" w:rsidRDefault="00770C8C" w:rsidP="00374600">
      <w:pPr>
        <w:pStyle w:val="xmsonormal"/>
        <w:widowControl w:val="0"/>
        <w:numPr>
          <w:ilvl w:val="0"/>
          <w:numId w:val="5"/>
        </w:numPr>
        <w:shd w:val="clear" w:color="auto" w:fill="FFFFFF"/>
        <w:tabs>
          <w:tab w:val="left" w:pos="1985"/>
        </w:tabs>
        <w:autoSpaceDE w:val="0"/>
        <w:autoSpaceDN w:val="0"/>
        <w:adjustRightInd w:val="0"/>
        <w:spacing w:before="0" w:beforeAutospacing="0" w:after="120" w:afterAutospacing="0"/>
        <w:jc w:val="both"/>
        <w:rPr>
          <w:bCs/>
        </w:rPr>
      </w:pPr>
      <w:r w:rsidRPr="00374600">
        <w:rPr>
          <w:bCs/>
        </w:rPr>
        <w:t>Pašvaldības izpilddirektora vietniecei veikt lēmuma izpildes kontroli.</w:t>
      </w:r>
      <w:r w:rsidR="00A73D88" w:rsidRPr="00374600">
        <w:rPr>
          <w:bCs/>
        </w:rPr>
        <w:t xml:space="preserve"> </w:t>
      </w:r>
    </w:p>
    <w:p w14:paraId="23CB074E" w14:textId="421B331C" w:rsidR="00564CA6" w:rsidRPr="00A73D88"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4D7FA9C3" w14:textId="77777777" w:rsidR="009E4F91" w:rsidRPr="00A73D88" w:rsidRDefault="009E4F91" w:rsidP="00BB16A4">
      <w:pPr>
        <w:jc w:val="both"/>
        <w:rPr>
          <w:rFonts w:ascii="Times New Roman" w:hAnsi="Times New Roman" w:cs="Times New Roman"/>
        </w:rPr>
      </w:pPr>
    </w:p>
    <w:p w14:paraId="4F862B88" w14:textId="77777777" w:rsidR="009E4F91" w:rsidRPr="00CD559C" w:rsidRDefault="009E4F91" w:rsidP="009E4F91">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6940E8C7" w14:textId="77777777" w:rsidR="009E4F91" w:rsidRPr="00CD559C" w:rsidRDefault="009E4F91" w:rsidP="009E4F91">
      <w:pPr>
        <w:jc w:val="center"/>
        <w:rPr>
          <w:rFonts w:ascii="Times New Roman" w:hAnsi="Times New Roman"/>
        </w:rPr>
      </w:pPr>
    </w:p>
    <w:p w14:paraId="6955A864" w14:textId="66B7AFEB" w:rsidR="00564CA6" w:rsidRPr="009E4F91" w:rsidRDefault="009E4F91" w:rsidP="009E4F91">
      <w:pPr>
        <w:jc w:val="center"/>
        <w:rPr>
          <w:rFonts w:ascii="Times New Roman" w:hAnsi="Times New Roman"/>
        </w:rPr>
      </w:pPr>
      <w:r w:rsidRPr="00CD559C">
        <w:rPr>
          <w:rFonts w:ascii="Times New Roman" w:hAnsi="Times New Roman"/>
        </w:rPr>
        <w:t>ŠIS DOKUMENTS IR ELEKTRONISKI PARAKSTĪTS AR DROŠU ELEKTRONISKO PARAKSTU UN SATUR LAIKA ZĪMOGU</w:t>
      </w:r>
    </w:p>
    <w:sectPr w:rsidR="00564CA6" w:rsidRPr="009E4F9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1F9E" w14:textId="77777777" w:rsidR="00770C8C" w:rsidRDefault="00770C8C">
      <w:r>
        <w:separator/>
      </w:r>
    </w:p>
  </w:endnote>
  <w:endnote w:type="continuationSeparator" w:id="0">
    <w:p w14:paraId="6413443B" w14:textId="77777777" w:rsidR="00770C8C" w:rsidRDefault="007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33284"/>
      <w:docPartObj>
        <w:docPartGallery w:val="Page Numbers (Bottom of Page)"/>
        <w:docPartUnique/>
      </w:docPartObj>
    </w:sdtPr>
    <w:sdtEndPr>
      <w:rPr>
        <w:rFonts w:ascii="Times New Roman" w:hAnsi="Times New Roman" w:cs="Times New Roman"/>
      </w:rPr>
    </w:sdtEndPr>
    <w:sdtContent>
      <w:p w14:paraId="377DD068" w14:textId="3DB32C71" w:rsidR="005C7FA1" w:rsidRPr="002C04B7" w:rsidRDefault="00770C8C">
        <w:pPr>
          <w:pStyle w:val="Kjene"/>
          <w:jc w:val="right"/>
          <w:rPr>
            <w:rFonts w:ascii="Times New Roman" w:hAnsi="Times New Roman" w:cs="Times New Roman"/>
          </w:rPr>
        </w:pPr>
        <w:r w:rsidRPr="002C04B7">
          <w:rPr>
            <w:rFonts w:ascii="Times New Roman" w:hAnsi="Times New Roman" w:cs="Times New Roman"/>
          </w:rPr>
          <w:fldChar w:fldCharType="begin"/>
        </w:r>
        <w:r w:rsidRPr="00A73D88">
          <w:rPr>
            <w:rFonts w:ascii="Times New Roman" w:hAnsi="Times New Roman" w:cs="Times New Roman"/>
          </w:rPr>
          <w:instrText xml:space="preserve"> PAGE   \* MERGEFORMAT </w:instrText>
        </w:r>
        <w:r w:rsidRPr="002C04B7">
          <w:rPr>
            <w:rFonts w:ascii="Times New Roman" w:hAnsi="Times New Roman" w:cs="Times New Roman"/>
          </w:rPr>
          <w:fldChar w:fldCharType="separate"/>
        </w:r>
        <w:r w:rsidRPr="002C04B7">
          <w:rPr>
            <w:rFonts w:ascii="Times New Roman" w:hAnsi="Times New Roman" w:cs="Times New Roman"/>
          </w:rPr>
          <w:t>3</w:t>
        </w:r>
        <w:r w:rsidRPr="002C04B7">
          <w:rPr>
            <w:rFonts w:ascii="Times New Roman" w:hAnsi="Times New Roman" w:cs="Times New Roman"/>
          </w:rPr>
          <w:fldChar w:fldCharType="end"/>
        </w:r>
      </w:p>
    </w:sdtContent>
  </w:sdt>
  <w:p w14:paraId="4C20AED2" w14:textId="77777777" w:rsidR="005C7FA1" w:rsidRPr="00A73D88"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A73D88" w:rsidRDefault="005C7FA1">
    <w:pPr>
      <w:pStyle w:val="Kjene"/>
      <w:jc w:val="right"/>
      <w:rPr>
        <w:rFonts w:ascii="Times New Roman" w:hAnsi="Times New Roman" w:cs="Times New Roman"/>
      </w:rPr>
    </w:pPr>
  </w:p>
  <w:p w14:paraId="46C0E84C" w14:textId="77777777" w:rsidR="005C7FA1" w:rsidRPr="00A73D88"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2FA7" w14:textId="77777777" w:rsidR="00770C8C" w:rsidRDefault="00770C8C">
      <w:r>
        <w:separator/>
      </w:r>
    </w:p>
  </w:footnote>
  <w:footnote w:type="continuationSeparator" w:id="0">
    <w:p w14:paraId="4153A5AD" w14:textId="77777777" w:rsidR="00770C8C" w:rsidRDefault="0077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Pr="00A73D88"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Pr="00A73D88"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236"/>
    <w:multiLevelType w:val="multilevel"/>
    <w:tmpl w:val="A78A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752F3"/>
    <w:multiLevelType w:val="hybridMultilevel"/>
    <w:tmpl w:val="63841CA0"/>
    <w:lvl w:ilvl="0" w:tplc="29ECBC54">
      <w:start w:val="1"/>
      <w:numFmt w:val="decimal"/>
      <w:lvlText w:val="%1."/>
      <w:lvlJc w:val="left"/>
      <w:pPr>
        <w:ind w:left="720" w:hanging="360"/>
      </w:pPr>
      <w:rPr>
        <w:rFonts w:hint="default"/>
      </w:rPr>
    </w:lvl>
    <w:lvl w:ilvl="1" w:tplc="8D4E4E90" w:tentative="1">
      <w:start w:val="1"/>
      <w:numFmt w:val="lowerLetter"/>
      <w:lvlText w:val="%2."/>
      <w:lvlJc w:val="left"/>
      <w:pPr>
        <w:ind w:left="1440" w:hanging="360"/>
      </w:pPr>
    </w:lvl>
    <w:lvl w:ilvl="2" w:tplc="7D5EE0D2" w:tentative="1">
      <w:start w:val="1"/>
      <w:numFmt w:val="lowerRoman"/>
      <w:lvlText w:val="%3."/>
      <w:lvlJc w:val="right"/>
      <w:pPr>
        <w:ind w:left="2160" w:hanging="180"/>
      </w:pPr>
    </w:lvl>
    <w:lvl w:ilvl="3" w:tplc="8A509DFC" w:tentative="1">
      <w:start w:val="1"/>
      <w:numFmt w:val="decimal"/>
      <w:lvlText w:val="%4."/>
      <w:lvlJc w:val="left"/>
      <w:pPr>
        <w:ind w:left="2880" w:hanging="360"/>
      </w:pPr>
    </w:lvl>
    <w:lvl w:ilvl="4" w:tplc="44D29218" w:tentative="1">
      <w:start w:val="1"/>
      <w:numFmt w:val="lowerLetter"/>
      <w:lvlText w:val="%5."/>
      <w:lvlJc w:val="left"/>
      <w:pPr>
        <w:ind w:left="3600" w:hanging="360"/>
      </w:pPr>
    </w:lvl>
    <w:lvl w:ilvl="5" w:tplc="4AB2E16E" w:tentative="1">
      <w:start w:val="1"/>
      <w:numFmt w:val="lowerRoman"/>
      <w:lvlText w:val="%6."/>
      <w:lvlJc w:val="right"/>
      <w:pPr>
        <w:ind w:left="4320" w:hanging="180"/>
      </w:pPr>
    </w:lvl>
    <w:lvl w:ilvl="6" w:tplc="F42C070A" w:tentative="1">
      <w:start w:val="1"/>
      <w:numFmt w:val="decimal"/>
      <w:lvlText w:val="%7."/>
      <w:lvlJc w:val="left"/>
      <w:pPr>
        <w:ind w:left="5040" w:hanging="360"/>
      </w:pPr>
    </w:lvl>
    <w:lvl w:ilvl="7" w:tplc="5DD88E04" w:tentative="1">
      <w:start w:val="1"/>
      <w:numFmt w:val="lowerLetter"/>
      <w:lvlText w:val="%8."/>
      <w:lvlJc w:val="left"/>
      <w:pPr>
        <w:ind w:left="5760" w:hanging="360"/>
      </w:pPr>
    </w:lvl>
    <w:lvl w:ilvl="8" w:tplc="D5E44D12" w:tentative="1">
      <w:start w:val="1"/>
      <w:numFmt w:val="lowerRoman"/>
      <w:lvlText w:val="%9."/>
      <w:lvlJc w:val="right"/>
      <w:pPr>
        <w:ind w:left="6480" w:hanging="180"/>
      </w:pPr>
    </w:lvl>
  </w:abstractNum>
  <w:abstractNum w:abstractNumId="2" w15:restartNumberingAfterBreak="0">
    <w:nsid w:val="352C08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C6472C"/>
    <w:multiLevelType w:val="hybridMultilevel"/>
    <w:tmpl w:val="735E721C"/>
    <w:lvl w:ilvl="0" w:tplc="83B2DF14">
      <w:start w:val="1"/>
      <w:numFmt w:val="decimal"/>
      <w:lvlText w:val="%1."/>
      <w:lvlJc w:val="left"/>
      <w:pPr>
        <w:ind w:left="720" w:hanging="360"/>
      </w:pPr>
    </w:lvl>
    <w:lvl w:ilvl="1" w:tplc="B21668E2" w:tentative="1">
      <w:start w:val="1"/>
      <w:numFmt w:val="lowerLetter"/>
      <w:lvlText w:val="%2."/>
      <w:lvlJc w:val="left"/>
      <w:pPr>
        <w:ind w:left="1440" w:hanging="360"/>
      </w:pPr>
    </w:lvl>
    <w:lvl w:ilvl="2" w:tplc="280C98D0" w:tentative="1">
      <w:start w:val="1"/>
      <w:numFmt w:val="lowerRoman"/>
      <w:lvlText w:val="%3."/>
      <w:lvlJc w:val="right"/>
      <w:pPr>
        <w:ind w:left="2160" w:hanging="180"/>
      </w:pPr>
    </w:lvl>
    <w:lvl w:ilvl="3" w:tplc="F5E63F3A" w:tentative="1">
      <w:start w:val="1"/>
      <w:numFmt w:val="decimal"/>
      <w:lvlText w:val="%4."/>
      <w:lvlJc w:val="left"/>
      <w:pPr>
        <w:ind w:left="2880" w:hanging="360"/>
      </w:pPr>
    </w:lvl>
    <w:lvl w:ilvl="4" w:tplc="0E10C85A" w:tentative="1">
      <w:start w:val="1"/>
      <w:numFmt w:val="lowerLetter"/>
      <w:lvlText w:val="%5."/>
      <w:lvlJc w:val="left"/>
      <w:pPr>
        <w:ind w:left="3600" w:hanging="360"/>
      </w:pPr>
    </w:lvl>
    <w:lvl w:ilvl="5" w:tplc="CAB4D772" w:tentative="1">
      <w:start w:val="1"/>
      <w:numFmt w:val="lowerRoman"/>
      <w:lvlText w:val="%6."/>
      <w:lvlJc w:val="right"/>
      <w:pPr>
        <w:ind w:left="4320" w:hanging="180"/>
      </w:pPr>
    </w:lvl>
    <w:lvl w:ilvl="6" w:tplc="AA32CEBC" w:tentative="1">
      <w:start w:val="1"/>
      <w:numFmt w:val="decimal"/>
      <w:lvlText w:val="%7."/>
      <w:lvlJc w:val="left"/>
      <w:pPr>
        <w:ind w:left="5040" w:hanging="360"/>
      </w:pPr>
    </w:lvl>
    <w:lvl w:ilvl="7" w:tplc="8AE85C80" w:tentative="1">
      <w:start w:val="1"/>
      <w:numFmt w:val="lowerLetter"/>
      <w:lvlText w:val="%8."/>
      <w:lvlJc w:val="left"/>
      <w:pPr>
        <w:ind w:left="5760" w:hanging="360"/>
      </w:pPr>
    </w:lvl>
    <w:lvl w:ilvl="8" w:tplc="0EA8C3CC"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60048732">
    <w:abstractNumId w:val="0"/>
  </w:num>
  <w:num w:numId="4" w16cid:durableId="1560051219">
    <w:abstractNumId w:val="4"/>
  </w:num>
  <w:num w:numId="5" w16cid:durableId="83849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095F"/>
    <w:rsid w:val="00070E3F"/>
    <w:rsid w:val="000A605E"/>
    <w:rsid w:val="000D7E0C"/>
    <w:rsid w:val="00147221"/>
    <w:rsid w:val="0018038A"/>
    <w:rsid w:val="001944C3"/>
    <w:rsid w:val="00195A73"/>
    <w:rsid w:val="001A297B"/>
    <w:rsid w:val="001C4FB6"/>
    <w:rsid w:val="0025391B"/>
    <w:rsid w:val="00297558"/>
    <w:rsid w:val="002B5E80"/>
    <w:rsid w:val="002C04B7"/>
    <w:rsid w:val="002D1D4F"/>
    <w:rsid w:val="002D53F6"/>
    <w:rsid w:val="00351D48"/>
    <w:rsid w:val="00374600"/>
    <w:rsid w:val="003B0C08"/>
    <w:rsid w:val="003C401E"/>
    <w:rsid w:val="004D516C"/>
    <w:rsid w:val="00521C00"/>
    <w:rsid w:val="0053073B"/>
    <w:rsid w:val="00543508"/>
    <w:rsid w:val="00564CA6"/>
    <w:rsid w:val="005C7FA1"/>
    <w:rsid w:val="00617AAC"/>
    <w:rsid w:val="00646501"/>
    <w:rsid w:val="00693F05"/>
    <w:rsid w:val="006D3451"/>
    <w:rsid w:val="006D513B"/>
    <w:rsid w:val="007370F7"/>
    <w:rsid w:val="0074092B"/>
    <w:rsid w:val="00752D04"/>
    <w:rsid w:val="00770C8C"/>
    <w:rsid w:val="00785812"/>
    <w:rsid w:val="0079484F"/>
    <w:rsid w:val="007B2B33"/>
    <w:rsid w:val="007B4DDB"/>
    <w:rsid w:val="007E7577"/>
    <w:rsid w:val="008257F8"/>
    <w:rsid w:val="00871907"/>
    <w:rsid w:val="008D673A"/>
    <w:rsid w:val="008E3846"/>
    <w:rsid w:val="009139A1"/>
    <w:rsid w:val="00931891"/>
    <w:rsid w:val="00996740"/>
    <w:rsid w:val="009A3989"/>
    <w:rsid w:val="009B7F8F"/>
    <w:rsid w:val="009E4F91"/>
    <w:rsid w:val="00A254B5"/>
    <w:rsid w:val="00A52B04"/>
    <w:rsid w:val="00A73D88"/>
    <w:rsid w:val="00A90761"/>
    <w:rsid w:val="00B07173"/>
    <w:rsid w:val="00B25EFA"/>
    <w:rsid w:val="00B36CD4"/>
    <w:rsid w:val="00B4014F"/>
    <w:rsid w:val="00B47C10"/>
    <w:rsid w:val="00BB16A4"/>
    <w:rsid w:val="00BC7F69"/>
    <w:rsid w:val="00BE1214"/>
    <w:rsid w:val="00BE75D1"/>
    <w:rsid w:val="00BF12F1"/>
    <w:rsid w:val="00C82360"/>
    <w:rsid w:val="00C9477C"/>
    <w:rsid w:val="00CC1B2F"/>
    <w:rsid w:val="00CD2306"/>
    <w:rsid w:val="00CE7248"/>
    <w:rsid w:val="00CF16C2"/>
    <w:rsid w:val="00D32CCA"/>
    <w:rsid w:val="00D86969"/>
    <w:rsid w:val="00DF356A"/>
    <w:rsid w:val="00E37199"/>
    <w:rsid w:val="00E52DA2"/>
    <w:rsid w:val="00E631E4"/>
    <w:rsid w:val="00E75D8D"/>
    <w:rsid w:val="00E92439"/>
    <w:rsid w:val="00ED278E"/>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E37199"/>
    <w:pPr>
      <w:ind w:left="720"/>
      <w:contextualSpacing/>
    </w:pPr>
  </w:style>
  <w:style w:type="paragraph" w:customStyle="1" w:styleId="xmsonormal">
    <w:name w:val="x_msonormal"/>
    <w:basedOn w:val="Parasts"/>
    <w:rsid w:val="00E37199"/>
    <w:pPr>
      <w:spacing w:before="100" w:beforeAutospacing="1" w:after="100" w:afterAutospacing="1"/>
    </w:pPr>
    <w:rPr>
      <w:rFonts w:ascii="Times New Roman" w:eastAsia="Times New Roman" w:hAnsi="Times New Roman" w:cs="Times New Roman"/>
      <w:lang w:eastAsia="lv-LV"/>
    </w:rPr>
  </w:style>
  <w:style w:type="paragraph" w:styleId="Prskatjums">
    <w:name w:val="Revision"/>
    <w:hidden/>
    <w:uiPriority w:val="99"/>
    <w:semiHidden/>
    <w:rsid w:val="00E92439"/>
  </w:style>
  <w:style w:type="character" w:styleId="Komentraatsauce">
    <w:name w:val="annotation reference"/>
    <w:basedOn w:val="Noklusjumarindkopasfonts"/>
    <w:uiPriority w:val="99"/>
    <w:semiHidden/>
    <w:unhideWhenUsed/>
    <w:rsid w:val="003B0C08"/>
    <w:rPr>
      <w:sz w:val="16"/>
      <w:szCs w:val="16"/>
    </w:rPr>
  </w:style>
  <w:style w:type="paragraph" w:styleId="Komentrateksts">
    <w:name w:val="annotation text"/>
    <w:basedOn w:val="Parasts"/>
    <w:link w:val="KomentratekstsRakstz"/>
    <w:uiPriority w:val="99"/>
    <w:unhideWhenUsed/>
    <w:rsid w:val="003B0C08"/>
    <w:rPr>
      <w:sz w:val="20"/>
      <w:szCs w:val="20"/>
    </w:rPr>
  </w:style>
  <w:style w:type="character" w:customStyle="1" w:styleId="KomentratekstsRakstz">
    <w:name w:val="Komentāra teksts Rakstz."/>
    <w:basedOn w:val="Noklusjumarindkopasfonts"/>
    <w:link w:val="Komentrateksts"/>
    <w:uiPriority w:val="99"/>
    <w:rsid w:val="003B0C08"/>
    <w:rPr>
      <w:sz w:val="20"/>
      <w:szCs w:val="20"/>
    </w:rPr>
  </w:style>
  <w:style w:type="paragraph" w:styleId="Komentratma">
    <w:name w:val="annotation subject"/>
    <w:basedOn w:val="Komentrateksts"/>
    <w:next w:val="Komentrateksts"/>
    <w:link w:val="KomentratmaRakstz"/>
    <w:uiPriority w:val="99"/>
    <w:semiHidden/>
    <w:unhideWhenUsed/>
    <w:rsid w:val="003B0C08"/>
    <w:rPr>
      <w:b/>
      <w:bCs/>
    </w:rPr>
  </w:style>
  <w:style w:type="character" w:customStyle="1" w:styleId="KomentratmaRakstz">
    <w:name w:val="Komentāra tēma Rakstz."/>
    <w:basedOn w:val="KomentratekstsRakstz"/>
    <w:link w:val="Komentratma"/>
    <w:uiPriority w:val="99"/>
    <w:semiHidden/>
    <w:rsid w:val="003B0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5635-A241-42F4-9E45-6244B7B5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5103</Words>
  <Characters>2909</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2026-05-12T19:53:00Z</dcterms:created>
  <dcterms:modified xsi:type="dcterms:W3CDTF">2026-05-29T07:58:00Z</dcterms:modified>
</cp:coreProperties>
</file>