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03FA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03FA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03FA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03FA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7CBE486" w:rsidR="00564CA6" w:rsidRPr="00564CA6" w:rsidRDefault="00403FAB" w:rsidP="00564CA6">
      <w:pPr>
        <w:rPr>
          <w:rFonts w:ascii="Times New Roman" w:hAnsi="Times New Roman" w:cs="Times New Roman"/>
        </w:rPr>
      </w:pPr>
      <w:bookmarkStart w:id="0" w:name="_Hlk146544675"/>
      <w:r w:rsidRPr="00041460">
        <w:rPr>
          <w:rFonts w:ascii="Times New Roman" w:hAnsi="Times New Roman" w:cs="Times New Roman"/>
          <w:color w:val="000000" w:themeColor="text1"/>
        </w:rPr>
        <w:t>202</w:t>
      </w:r>
      <w:r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>
        <w:rPr>
          <w:rFonts w:ascii="Times New Roman" w:hAnsi="Times New Roman" w:cs="Times New Roman"/>
          <w:color w:val="000000" w:themeColor="text1"/>
        </w:rPr>
        <w:t>3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aprīlī</w:t>
      </w:r>
      <w:r w:rsidRPr="00041460">
        <w:rPr>
          <w:rFonts w:ascii="Times New Roman" w:hAnsi="Times New Roman" w:cs="Times New Roman"/>
        </w:rPr>
        <w:tab/>
      </w:r>
      <w:bookmarkEnd w:id="0"/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r w:rsidR="008A54A9">
        <w:rPr>
          <w:rFonts w:ascii="Times New Roman" w:hAnsi="Times New Roman" w:cs="Times New Roman"/>
        </w:rPr>
        <w:tab/>
      </w:r>
      <w:r w:rsidR="008A54A9">
        <w:rPr>
          <w:rFonts w:ascii="Times New Roman" w:hAnsi="Times New Roman" w:cs="Times New Roman"/>
        </w:rPr>
        <w:tab/>
      </w:r>
      <w:r w:rsidR="008A54A9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</w:rPr>
        <w:tab/>
      </w:r>
      <w:r w:rsidR="009B66FE" w:rsidRPr="00564CA6">
        <w:rPr>
          <w:rFonts w:ascii="Times New Roman" w:hAnsi="Times New Roman" w:cs="Times New Roman"/>
          <w:b/>
        </w:rPr>
        <w:t>Nr.</w:t>
      </w:r>
      <w:r w:rsidR="008A54A9">
        <w:rPr>
          <w:rFonts w:ascii="Times New Roman" w:hAnsi="Times New Roman" w:cs="Times New Roman"/>
          <w:noProof/>
        </w:rPr>
        <w:t xml:space="preserve"> </w:t>
      </w:r>
      <w:r w:rsidR="009B66FE" w:rsidRPr="008A54A9">
        <w:rPr>
          <w:rFonts w:ascii="Times New Roman" w:hAnsi="Times New Roman" w:cs="Times New Roman"/>
          <w:b/>
          <w:bCs/>
          <w:noProof/>
        </w:rPr>
        <w:t>137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44C76DCC" w:rsidR="00564CA6" w:rsidRPr="00564CA6" w:rsidRDefault="00403FAB" w:rsidP="00016BE5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041460">
        <w:rPr>
          <w:rFonts w:ascii="Times New Roman" w:hAnsi="Times New Roman" w:cs="Times New Roman"/>
          <w:b/>
        </w:rPr>
        <w:t xml:space="preserve">Par </w:t>
      </w:r>
      <w:r w:rsidR="00016BE5">
        <w:rPr>
          <w:rFonts w:ascii="Times New Roman" w:hAnsi="Times New Roman"/>
          <w:b/>
        </w:rPr>
        <w:t xml:space="preserve">biedrības </w:t>
      </w:r>
      <w:r w:rsidR="00016BE5" w:rsidRPr="00AB25DE">
        <w:rPr>
          <w:rFonts w:ascii="Times New Roman" w:hAnsi="Times New Roman"/>
          <w:b/>
        </w:rPr>
        <w:t>”</w:t>
      </w:r>
      <w:proofErr w:type="spellStart"/>
      <w:r w:rsidR="00016BE5" w:rsidRPr="00AB25DE">
        <w:rPr>
          <w:rFonts w:ascii="Times New Roman" w:hAnsi="Times New Roman"/>
          <w:b/>
        </w:rPr>
        <w:t>Kalngalieš</w:t>
      </w:r>
      <w:r w:rsidR="00016BE5">
        <w:rPr>
          <w:rFonts w:ascii="Times New Roman" w:hAnsi="Times New Roman"/>
          <w:b/>
        </w:rPr>
        <w:t>i</w:t>
      </w:r>
      <w:proofErr w:type="spellEnd"/>
      <w:r w:rsidR="00016BE5" w:rsidRPr="00AB25DE">
        <w:rPr>
          <w:rFonts w:ascii="Times New Roman" w:hAnsi="Times New Roman"/>
          <w:b/>
        </w:rPr>
        <w:t xml:space="preserve">” </w:t>
      </w:r>
      <w:r w:rsidR="00016BE5">
        <w:rPr>
          <w:rFonts w:ascii="Times New Roman" w:hAnsi="Times New Roman"/>
          <w:b/>
        </w:rPr>
        <w:t>iniciatīvu projektu</w:t>
      </w:r>
    </w:p>
    <w:p w14:paraId="6D4A9BA8" w14:textId="189BFCAD" w:rsidR="004A3DEF" w:rsidRPr="00021DD6" w:rsidRDefault="00403FAB" w:rsidP="00016BE5">
      <w:pPr>
        <w:spacing w:before="120"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1" w:name="_Hlk155866926"/>
      <w:r w:rsidRPr="00041460">
        <w:rPr>
          <w:rFonts w:ascii="Times New Roman" w:hAnsi="Times New Roman" w:cs="Times New Roman"/>
        </w:rPr>
        <w:t xml:space="preserve"> </w:t>
      </w:r>
      <w:bookmarkEnd w:id="1"/>
      <w:r w:rsidRPr="00041460"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41460">
        <w:rPr>
          <w:rFonts w:ascii="Times New Roman" w:hAnsi="Times New Roman" w:cs="Times New Roman"/>
        </w:rPr>
        <w:t xml:space="preserve">” </w:t>
      </w:r>
      <w:r w:rsidRPr="000D25FB">
        <w:rPr>
          <w:rFonts w:ascii="Times New Roman" w:hAnsi="Times New Roman" w:cs="Times New Roman"/>
        </w:rPr>
        <w:t>(</w:t>
      </w:r>
      <w:proofErr w:type="spellStart"/>
      <w:r w:rsidRPr="000D25FB">
        <w:rPr>
          <w:rFonts w:ascii="Times New Roman" w:hAnsi="Times New Roman" w:cs="Times New Roman"/>
        </w:rPr>
        <w:t>reģ</w:t>
      </w:r>
      <w:proofErr w:type="spellEnd"/>
      <w:r w:rsidRPr="000D25FB">
        <w:rPr>
          <w:rFonts w:ascii="Times New Roman" w:hAnsi="Times New Roman" w:cs="Times New Roman"/>
        </w:rPr>
        <w:t xml:space="preserve">. Nr. </w:t>
      </w:r>
      <w:r>
        <w:rPr>
          <w:rFonts w:ascii="Times New Roman" w:hAnsi="Times New Roman"/>
          <w:lang w:eastAsia="lv-LV"/>
        </w:rPr>
        <w:t>40008204799</w:t>
      </w:r>
      <w:r w:rsidRPr="000D25FB">
        <w:rPr>
          <w:rFonts w:ascii="Times New Roman" w:hAnsi="Times New Roman" w:cs="Times New Roman"/>
        </w:rPr>
        <w:t>, juridiskā adrese:</w:t>
      </w:r>
      <w:r>
        <w:rPr>
          <w:rFonts w:ascii="Times New Roman" w:hAnsi="Times New Roman" w:cs="Times New Roman"/>
        </w:rPr>
        <w:t xml:space="preserve"> Ērgļu iela 18, </w:t>
      </w:r>
      <w:proofErr w:type="spellStart"/>
      <w:r>
        <w:rPr>
          <w:rFonts w:ascii="Times New Roman" w:hAnsi="Times New Roman" w:cs="Times New Roman"/>
        </w:rPr>
        <w:t>Kalngale</w:t>
      </w:r>
      <w:proofErr w:type="spellEnd"/>
      <w:r>
        <w:rPr>
          <w:rFonts w:ascii="Times New Roman" w:hAnsi="Times New Roman" w:cs="Times New Roman"/>
        </w:rPr>
        <w:t>, Carnikavas pagasts, Ādažu novads</w:t>
      </w:r>
      <w:r w:rsidRPr="000D25FB">
        <w:rPr>
          <w:rFonts w:ascii="Times New Roman" w:hAnsi="Times New Roman" w:cs="Times New Roman"/>
        </w:rPr>
        <w:t xml:space="preserve">, LV-2163 (turpmāk - Iesniedzējs)) </w:t>
      </w:r>
      <w:r w:rsidRPr="00041460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 xml:space="preserve">. gada </w:t>
      </w:r>
      <w:bookmarkStart w:id="2" w:name="_Hlk191306305"/>
      <w:r>
        <w:rPr>
          <w:rFonts w:ascii="Times New Roman" w:hAnsi="Times New Roman" w:cs="Times New Roman"/>
        </w:rPr>
        <w:t>9.</w:t>
      </w:r>
      <w:r w:rsidRPr="000414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marta</w:t>
      </w:r>
      <w:r w:rsidRPr="00041460">
        <w:rPr>
          <w:rFonts w:ascii="Times New Roman" w:hAnsi="Times New Roman" w:cs="Times New Roman"/>
        </w:rPr>
        <w:t xml:space="preserve"> pieteikumu</w:t>
      </w:r>
      <w:bookmarkEnd w:id="2"/>
      <w:r>
        <w:rPr>
          <w:rFonts w:ascii="Times New Roman" w:hAnsi="Times New Roman" w:cs="Times New Roman"/>
        </w:rPr>
        <w:t xml:space="preserve"> ar </w:t>
      </w:r>
      <w:bookmarkStart w:id="3" w:name="_Hlk191306342"/>
      <w:r>
        <w:rPr>
          <w:rFonts w:ascii="Times New Roman" w:hAnsi="Times New Roman" w:cs="Times New Roman"/>
        </w:rPr>
        <w:t>25. marta precizējumiem (</w:t>
      </w:r>
      <w:bookmarkEnd w:id="3"/>
      <w:r w:rsidR="00016BE5">
        <w:rPr>
          <w:rFonts w:ascii="Times New Roman" w:hAnsi="Times New Roman" w:cs="Times New Roman"/>
        </w:rPr>
        <w:t xml:space="preserve">pašvaldības </w:t>
      </w:r>
      <w:proofErr w:type="spellStart"/>
      <w:r w:rsidR="00016BE5">
        <w:rPr>
          <w:rFonts w:ascii="Times New Roman" w:hAnsi="Times New Roman" w:cs="Times New Roman"/>
        </w:rPr>
        <w:t>reģ</w:t>
      </w:r>
      <w:proofErr w:type="spellEnd"/>
      <w:r w:rsidR="00016BE5">
        <w:rPr>
          <w:rFonts w:ascii="Times New Roman" w:hAnsi="Times New Roman" w:cs="Times New Roman"/>
        </w:rPr>
        <w:t xml:space="preserve">. Nr. </w:t>
      </w:r>
      <w:r w:rsidRPr="0056173E">
        <w:rPr>
          <w:rFonts w:ascii="Times New Roman" w:hAnsi="Times New Roman" w:cs="Times New Roman"/>
          <w:color w:val="212529"/>
          <w:shd w:val="clear" w:color="auto" w:fill="FFFFFF"/>
        </w:rPr>
        <w:t>ĀNP/1-11-1/26/1436</w:t>
      </w:r>
      <w:r w:rsidRPr="0056173E">
        <w:rPr>
          <w:rFonts w:ascii="Times New Roman" w:hAnsi="Times New Roman" w:cs="Times New Roman"/>
        </w:rPr>
        <w:t xml:space="preserve">) iniciatīvu projektam </w:t>
      </w:r>
      <w:r w:rsidRPr="0056173E">
        <w:rPr>
          <w:rFonts w:ascii="Times New Roman" w:hAnsi="Times New Roman"/>
        </w:rPr>
        <w:t>“Biedrības ”</w:t>
      </w:r>
      <w:proofErr w:type="spellStart"/>
      <w:r w:rsidRPr="0056173E">
        <w:rPr>
          <w:rFonts w:ascii="Times New Roman" w:hAnsi="Times New Roman"/>
        </w:rPr>
        <w:t>Kalngalieši</w:t>
      </w:r>
      <w:proofErr w:type="spellEnd"/>
      <w:r w:rsidRPr="0056173E">
        <w:rPr>
          <w:rFonts w:ascii="Times New Roman" w:hAnsi="Times New Roman"/>
        </w:rPr>
        <w:t xml:space="preserve">” un </w:t>
      </w:r>
      <w:proofErr w:type="spellStart"/>
      <w:r w:rsidRPr="0056173E">
        <w:rPr>
          <w:rFonts w:ascii="Times New Roman" w:hAnsi="Times New Roman"/>
        </w:rPr>
        <w:t>Kalngales</w:t>
      </w:r>
      <w:proofErr w:type="spellEnd"/>
      <w:r w:rsidRPr="0056173E">
        <w:rPr>
          <w:rFonts w:ascii="Times New Roman" w:hAnsi="Times New Roman"/>
        </w:rPr>
        <w:t xml:space="preserve"> iedzīvotāju kopienas ikgadējās aktivitātes Kaimiņu dienas 15. jubilejas pasākuma īstenošana (18.07.2026.)”</w:t>
      </w:r>
      <w:r w:rsidRPr="00041460">
        <w:rPr>
          <w:rFonts w:ascii="Times New Roman" w:hAnsi="Times New Roman" w:cs="Times New Roman"/>
        </w:rPr>
        <w:t xml:space="preserve"> (turpmāk – Projekts)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2A320C4E" w14:textId="2BC91BEE" w:rsidR="004A3DEF" w:rsidRPr="00016BE5" w:rsidRDefault="00403FAB" w:rsidP="00016BE5">
      <w:pPr>
        <w:spacing w:before="75" w:after="75"/>
        <w:jc w:val="both"/>
        <w:rPr>
          <w:rFonts w:ascii="Times New Roman" w:hAnsi="Times New Roman"/>
          <w:lang w:eastAsia="lv-LV"/>
        </w:rPr>
      </w:pPr>
      <w:r w:rsidRPr="0056173E">
        <w:rPr>
          <w:rStyle w:val="None"/>
          <w:rFonts w:ascii="Times New Roman" w:hAnsi="Times New Roman"/>
        </w:rPr>
        <w:t xml:space="preserve">Projekta mērķis ir </w:t>
      </w:r>
      <w:r w:rsidRPr="0056173E">
        <w:rPr>
          <w:rFonts w:ascii="Times New Roman" w:eastAsia="Times New Roman" w:hAnsi="Times New Roman"/>
        </w:rPr>
        <w:t xml:space="preserve">2026. gadā </w:t>
      </w:r>
      <w:proofErr w:type="spellStart"/>
      <w:r w:rsidRPr="0056173E">
        <w:rPr>
          <w:rFonts w:ascii="Times New Roman" w:eastAsia="Times New Roman" w:hAnsi="Times New Roman"/>
        </w:rPr>
        <w:t>Kalngalē</w:t>
      </w:r>
      <w:proofErr w:type="spellEnd"/>
      <w:r w:rsidRPr="0056173E">
        <w:rPr>
          <w:rFonts w:ascii="Times New Roman" w:eastAsia="Times New Roman" w:hAnsi="Times New Roman"/>
        </w:rPr>
        <w:t xml:space="preserve"> sarīkot ciema iedzīvotāju gada notikumu – tradicionālās</w:t>
      </w:r>
      <w:r w:rsidR="00016BE5">
        <w:rPr>
          <w:rFonts w:ascii="Times New Roman" w:eastAsia="Times New Roman" w:hAnsi="Times New Roman"/>
        </w:rPr>
        <w:t xml:space="preserve"> </w:t>
      </w:r>
      <w:r w:rsidRPr="0056173E">
        <w:rPr>
          <w:rFonts w:ascii="Times New Roman" w:hAnsi="Times New Roman"/>
          <w:lang w:eastAsia="lv-LV"/>
        </w:rPr>
        <w:t>Kaimiņu dienas, kas notiks jau 15. reizi</w:t>
      </w:r>
      <w:r>
        <w:rPr>
          <w:rFonts w:ascii="Times New Roman" w:hAnsi="Times New Roman"/>
          <w:lang w:eastAsia="lv-LV"/>
        </w:rPr>
        <w:t>.</w:t>
      </w:r>
      <w:r w:rsidR="00016BE5">
        <w:rPr>
          <w:rFonts w:ascii="Times New Roman" w:hAnsi="Times New Roman"/>
          <w:lang w:eastAsia="lv-LV"/>
        </w:rPr>
        <w:t xml:space="preserve"> </w:t>
      </w:r>
      <w:r w:rsidR="00016BE5">
        <w:rPr>
          <w:rFonts w:ascii="Times New Roman" w:hAnsi="Times New Roman"/>
          <w:bCs/>
          <w:lang w:eastAsia="lv-LV"/>
        </w:rPr>
        <w:t>P</w:t>
      </w:r>
      <w:r w:rsidRPr="0018057D">
        <w:rPr>
          <w:rFonts w:ascii="Times New Roman" w:hAnsi="Times New Roman"/>
          <w:bCs/>
          <w:lang w:eastAsia="lv-LV"/>
        </w:rPr>
        <w:t xml:space="preserve">asākums papildināts ar īpašu </w:t>
      </w:r>
      <w:r w:rsidR="00016BE5">
        <w:rPr>
          <w:rFonts w:ascii="Times New Roman" w:hAnsi="Times New Roman"/>
          <w:bCs/>
          <w:lang w:eastAsia="lv-LV"/>
        </w:rPr>
        <w:t>-</w:t>
      </w:r>
      <w:r w:rsidRPr="0018057D">
        <w:rPr>
          <w:rFonts w:ascii="Times New Roman" w:hAnsi="Times New Roman"/>
          <w:bCs/>
          <w:lang w:eastAsia="lv-LV"/>
        </w:rPr>
        <w:t xml:space="preserve"> kopienu stiprinošu, izglītojošu un informatīvu sadaļu</w:t>
      </w:r>
      <w:r w:rsidR="00016BE5">
        <w:rPr>
          <w:rFonts w:ascii="Times New Roman" w:hAnsi="Times New Roman"/>
          <w:bCs/>
          <w:lang w:eastAsia="lv-LV"/>
        </w:rPr>
        <w:t>, t.i.,</w:t>
      </w:r>
      <w:r w:rsidRPr="0018057D">
        <w:rPr>
          <w:rFonts w:ascii="Times New Roman" w:hAnsi="Times New Roman"/>
          <w:bCs/>
          <w:lang w:eastAsia="lv-LV"/>
        </w:rPr>
        <w:t xml:space="preserve"> vēsturisk</w:t>
      </w:r>
      <w:r w:rsidR="00016BE5">
        <w:rPr>
          <w:rFonts w:ascii="Times New Roman" w:hAnsi="Times New Roman"/>
          <w:bCs/>
          <w:lang w:eastAsia="lv-LV"/>
        </w:rPr>
        <w:t>u</w:t>
      </w:r>
      <w:r w:rsidRPr="0018057D">
        <w:rPr>
          <w:rFonts w:ascii="Times New Roman" w:hAnsi="Times New Roman"/>
          <w:bCs/>
          <w:lang w:eastAsia="lv-LV"/>
        </w:rPr>
        <w:t xml:space="preserve"> un atraktīv</w:t>
      </w:r>
      <w:r w:rsidR="00016BE5">
        <w:rPr>
          <w:rFonts w:ascii="Times New Roman" w:hAnsi="Times New Roman"/>
          <w:bCs/>
          <w:lang w:eastAsia="lv-LV"/>
        </w:rPr>
        <w:t>u</w:t>
      </w:r>
      <w:r w:rsidRPr="0018057D">
        <w:rPr>
          <w:rFonts w:ascii="Times New Roman" w:hAnsi="Times New Roman"/>
          <w:bCs/>
          <w:lang w:eastAsia="lv-LV"/>
        </w:rPr>
        <w:t xml:space="preserve"> stāst</w:t>
      </w:r>
      <w:r w:rsidR="00016BE5">
        <w:rPr>
          <w:rFonts w:ascii="Times New Roman" w:hAnsi="Times New Roman"/>
          <w:bCs/>
          <w:lang w:eastAsia="lv-LV"/>
        </w:rPr>
        <w:t>u</w:t>
      </w:r>
      <w:r w:rsidRPr="0018057D">
        <w:rPr>
          <w:rFonts w:ascii="Times New Roman" w:hAnsi="Times New Roman"/>
          <w:bCs/>
          <w:lang w:eastAsia="lv-LV"/>
        </w:rPr>
        <w:t xml:space="preserve"> par </w:t>
      </w:r>
      <w:proofErr w:type="spellStart"/>
      <w:r w:rsidRPr="0018057D">
        <w:rPr>
          <w:rFonts w:ascii="Times New Roman" w:hAnsi="Times New Roman"/>
          <w:bCs/>
          <w:lang w:eastAsia="lv-LV"/>
        </w:rPr>
        <w:t>Kalngales</w:t>
      </w:r>
      <w:proofErr w:type="spellEnd"/>
      <w:r w:rsidRPr="0018057D">
        <w:rPr>
          <w:rFonts w:ascii="Times New Roman" w:hAnsi="Times New Roman"/>
          <w:bCs/>
          <w:lang w:eastAsia="lv-LV"/>
        </w:rPr>
        <w:t xml:space="preserve"> iedzīvotāju kopienas veidošanos pirms 20 gadiem, biedrības “</w:t>
      </w:r>
      <w:proofErr w:type="spellStart"/>
      <w:r w:rsidRPr="0018057D">
        <w:rPr>
          <w:rFonts w:ascii="Times New Roman" w:hAnsi="Times New Roman"/>
          <w:bCs/>
          <w:lang w:eastAsia="lv-LV"/>
        </w:rPr>
        <w:t>Kalngalieši</w:t>
      </w:r>
      <w:proofErr w:type="spellEnd"/>
      <w:r w:rsidRPr="0018057D">
        <w:rPr>
          <w:rFonts w:ascii="Times New Roman" w:hAnsi="Times New Roman"/>
          <w:bCs/>
          <w:lang w:eastAsia="lv-LV"/>
        </w:rPr>
        <w:t xml:space="preserve">” pirmsākumiem un attīstību, par nozīmīgākajiem notikumiem ciemā, </w:t>
      </w:r>
      <w:r>
        <w:rPr>
          <w:rFonts w:ascii="Times New Roman" w:hAnsi="Times New Roman"/>
          <w:bCs/>
          <w:lang w:eastAsia="lv-LV"/>
        </w:rPr>
        <w:t>kā arī paredzēta</w:t>
      </w:r>
      <w:r w:rsidRPr="0018057D">
        <w:rPr>
          <w:rFonts w:ascii="Times New Roman" w:hAnsi="Times New Roman"/>
          <w:bCs/>
          <w:lang w:eastAsia="lv-LV"/>
        </w:rPr>
        <w:t xml:space="preserve"> aktīvāko </w:t>
      </w:r>
      <w:r w:rsidR="00016BE5">
        <w:rPr>
          <w:rFonts w:ascii="Times New Roman" w:hAnsi="Times New Roman"/>
          <w:bCs/>
          <w:lang w:eastAsia="lv-LV"/>
        </w:rPr>
        <w:t>iedzīvotāju</w:t>
      </w:r>
      <w:r w:rsidRPr="0018057D">
        <w:rPr>
          <w:rFonts w:ascii="Times New Roman" w:hAnsi="Times New Roman"/>
          <w:bCs/>
          <w:lang w:eastAsia="lv-LV"/>
        </w:rPr>
        <w:t xml:space="preserve"> </w:t>
      </w:r>
      <w:r>
        <w:rPr>
          <w:rFonts w:ascii="Times New Roman" w:hAnsi="Times New Roman"/>
          <w:bCs/>
          <w:lang w:eastAsia="lv-LV"/>
        </w:rPr>
        <w:t>godināšana</w:t>
      </w:r>
      <w:r w:rsidRPr="0018057D">
        <w:rPr>
          <w:rFonts w:ascii="Times New Roman" w:hAnsi="Times New Roman"/>
          <w:bCs/>
          <w:lang w:eastAsia="lv-LV"/>
        </w:rPr>
        <w:t xml:space="preserve">. </w:t>
      </w:r>
    </w:p>
    <w:p w14:paraId="58CB9049" w14:textId="77777777" w:rsidR="00016BE5" w:rsidRPr="0018057D" w:rsidRDefault="00403FAB" w:rsidP="00016BE5">
      <w:pPr>
        <w:pStyle w:val="Style6"/>
        <w:widowControl/>
        <w:spacing w:after="120" w:line="240" w:lineRule="auto"/>
        <w:jc w:val="both"/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Pasākums</w:t>
      </w:r>
      <w:r w:rsidRPr="000D25FB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norisināsies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2026. gada 18. jūlijā. Projekta īstenošanas laiks, ņemot vērā sagatavošanos pasākumam un atskaišu iesniegšanu, ir no 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202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6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.gada 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18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.maija līdz 2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1</w:t>
      </w:r>
      <w:r w:rsidRPr="009D376A"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>.augustam.</w:t>
      </w:r>
      <w:r>
        <w:rPr>
          <w:rFonts w:ascii="Times New Roman" w:eastAsiaTheme="minorHAnsi" w:hAnsi="Times New Roman" w:cs="Times New Roman"/>
          <w:color w:val="auto"/>
          <w:bdr w:val="none" w:sz="0" w:space="0" w:color="auto"/>
          <w:lang w:eastAsia="en-US"/>
        </w:rPr>
        <w:t xml:space="preserve"> </w:t>
      </w:r>
    </w:p>
    <w:p w14:paraId="5D0EC7D4" w14:textId="4F5FCA52" w:rsidR="004A3DEF" w:rsidRPr="0018057D" w:rsidRDefault="00403FAB" w:rsidP="004A3DEF">
      <w:pPr>
        <w:pStyle w:val="Style6"/>
        <w:widowControl/>
        <w:spacing w:after="120" w:line="240" w:lineRule="auto"/>
        <w:jc w:val="both"/>
        <w:rPr>
          <w:rFonts w:ascii="Times New Roman" w:hAnsi="Times New Roman"/>
        </w:rPr>
      </w:pPr>
      <w:r w:rsidRPr="0018057D">
        <w:rPr>
          <w:rFonts w:ascii="Times New Roman" w:hAnsi="Times New Roman"/>
        </w:rPr>
        <w:t xml:space="preserve">Kopējais svētku dalībnieku un apmeklētāju skaits vidēji </w:t>
      </w:r>
      <w:r w:rsidR="00016BE5">
        <w:rPr>
          <w:rFonts w:ascii="Times New Roman" w:hAnsi="Times New Roman"/>
        </w:rPr>
        <w:t>paredzams līdz</w:t>
      </w:r>
      <w:r w:rsidRPr="0018057D">
        <w:rPr>
          <w:rFonts w:ascii="Times New Roman" w:hAnsi="Times New Roman"/>
        </w:rPr>
        <w:t xml:space="preserve"> 200</w:t>
      </w:r>
      <w:r>
        <w:rPr>
          <w:rFonts w:ascii="Times New Roman" w:hAnsi="Times New Roman"/>
        </w:rPr>
        <w:t xml:space="preserve"> (no </w:t>
      </w:r>
      <w:r w:rsidR="00016BE5">
        <w:rPr>
          <w:rFonts w:ascii="Times New Roman" w:hAnsi="Times New Roman"/>
        </w:rPr>
        <w:t>t</w:t>
      </w:r>
      <w:r>
        <w:rPr>
          <w:rFonts w:ascii="Times New Roman" w:hAnsi="Times New Roman"/>
        </w:rPr>
        <w:t>iem apm. 40 seniori un 40 bērni)</w:t>
      </w:r>
      <w:r w:rsidRPr="0018057D">
        <w:rPr>
          <w:rFonts w:ascii="Times New Roman" w:hAnsi="Times New Roman"/>
        </w:rPr>
        <w:t>.</w:t>
      </w:r>
    </w:p>
    <w:p w14:paraId="0DA3F97E" w14:textId="6737750E" w:rsidR="004A3DEF" w:rsidRDefault="00403FAB" w:rsidP="004A3DEF">
      <w:pPr>
        <w:pStyle w:val="Style6"/>
        <w:widowControl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3714F0">
        <w:rPr>
          <w:rFonts w:ascii="Times New Roman" w:eastAsia="Times New Roman" w:hAnsi="Times New Roman" w:cs="Times New Roman"/>
        </w:rPr>
        <w:t>1780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</w:t>
      </w:r>
      <w:r w:rsidR="00016BE5">
        <w:rPr>
          <w:rFonts w:ascii="Times New Roman" w:eastAsia="Times New Roman" w:hAnsi="Times New Roman" w:cs="Times New Roman"/>
        </w:rPr>
        <w:t>,</w:t>
      </w:r>
      <w:r w:rsidRPr="00041460">
        <w:rPr>
          <w:rFonts w:ascii="Times New Roman" w:eastAsia="Times New Roman" w:hAnsi="Times New Roman" w:cs="Times New Roman"/>
        </w:rPr>
        <w:t xml:space="preserve"> pašvaldības finansējums </w:t>
      </w:r>
      <w:r w:rsidR="003714F0">
        <w:rPr>
          <w:rFonts w:ascii="Times New Roman" w:eastAsia="Times New Roman" w:hAnsi="Times New Roman" w:cs="Times New Roman"/>
        </w:rPr>
        <w:t>15</w:t>
      </w:r>
      <w:r w:rsidRPr="00041460">
        <w:rPr>
          <w:rFonts w:ascii="Times New Roman" w:eastAsia="Times New Roman" w:hAnsi="Times New Roman" w:cs="Times New Roman"/>
        </w:rPr>
        <w:t xml:space="preserve">00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>
        <w:rPr>
          <w:rFonts w:ascii="Times New Roman" w:eastAsia="Times New Roman" w:hAnsi="Times New Roman" w:cs="Times New Roman"/>
        </w:rPr>
        <w:t>2</w:t>
      </w:r>
      <w:r w:rsidR="003714F0">
        <w:rPr>
          <w:rFonts w:ascii="Times New Roman" w:eastAsia="Times New Roman" w:hAnsi="Times New Roman" w:cs="Times New Roman"/>
        </w:rPr>
        <w:t>8</w:t>
      </w:r>
      <w:r w:rsidRPr="00041460">
        <w:rPr>
          <w:rFonts w:ascii="Times New Roman" w:eastAsia="Times New Roman" w:hAnsi="Times New Roman" w:cs="Times New Roman"/>
        </w:rPr>
        <w:t xml:space="preserve">0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709"/>
        <w:gridCol w:w="1134"/>
        <w:gridCol w:w="992"/>
        <w:gridCol w:w="1418"/>
        <w:gridCol w:w="1417"/>
      </w:tblGrid>
      <w:tr w:rsidR="00FB0BB8" w14:paraId="1624412A" w14:textId="77777777" w:rsidTr="00D35197">
        <w:trPr>
          <w:trHeight w:val="1015"/>
        </w:trPr>
        <w:tc>
          <w:tcPr>
            <w:tcW w:w="704" w:type="dxa"/>
            <w:vAlign w:val="center"/>
          </w:tcPr>
          <w:p w14:paraId="3902418E" w14:textId="77777777" w:rsidR="004A3DEF" w:rsidRPr="00016BE5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2693" w:type="dxa"/>
            <w:vAlign w:val="center"/>
          </w:tcPr>
          <w:p w14:paraId="2699A746" w14:textId="77777777" w:rsidR="004A3DEF" w:rsidRPr="00016BE5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709" w:type="dxa"/>
            <w:vAlign w:val="center"/>
          </w:tcPr>
          <w:p w14:paraId="6FB2F53B" w14:textId="5DBA5E5D" w:rsidR="004A3DEF" w:rsidRPr="00016BE5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k</w:t>
            </w:r>
            <w:r w:rsidR="00D35197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3F76B93E" w14:textId="1223FEAD" w:rsidR="004A3DEF" w:rsidRPr="00016BE5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992" w:type="dxa"/>
            <w:vAlign w:val="center"/>
          </w:tcPr>
          <w:p w14:paraId="659BC755" w14:textId="77777777" w:rsidR="00D35197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KOP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Ā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48AD4D13" w14:textId="2FD6FC5A" w:rsidR="004A3DEF" w:rsidRPr="00016BE5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(EUR)</w:t>
            </w:r>
          </w:p>
        </w:tc>
        <w:tc>
          <w:tcPr>
            <w:tcW w:w="1418" w:type="dxa"/>
            <w:vAlign w:val="center"/>
          </w:tcPr>
          <w:p w14:paraId="3B72ABAB" w14:textId="5225E182" w:rsidR="004A3DEF" w:rsidRPr="00016BE5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Pašu un cits finansē</w:t>
            </w:r>
            <w:r w:rsidR="00D35197">
              <w:rPr>
                <w:rFonts w:ascii="Times New Roman" w:hAnsi="Times New Roman"/>
                <w:b/>
                <w:sz w:val="22"/>
                <w:szCs w:val="22"/>
              </w:rPr>
              <w:t>j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ums</w:t>
            </w:r>
            <w:r w:rsidR="00D3519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(EUR)</w:t>
            </w:r>
          </w:p>
        </w:tc>
        <w:tc>
          <w:tcPr>
            <w:tcW w:w="1417" w:type="dxa"/>
            <w:vAlign w:val="center"/>
          </w:tcPr>
          <w:p w14:paraId="393089D3" w14:textId="77777777" w:rsidR="004A3DEF" w:rsidRPr="00016BE5" w:rsidRDefault="00403FAB" w:rsidP="00D3519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Domes līdzfinansē-jums (EUR)</w:t>
            </w:r>
          </w:p>
        </w:tc>
      </w:tr>
      <w:tr w:rsidR="00FB0BB8" w14:paraId="41EE9421" w14:textId="77777777" w:rsidTr="00D35197">
        <w:tc>
          <w:tcPr>
            <w:tcW w:w="704" w:type="dxa"/>
          </w:tcPr>
          <w:p w14:paraId="07E4B61D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6C2B1F72" w14:textId="2A88F226" w:rsidR="004A3DEF" w:rsidRPr="00016BE5" w:rsidRDefault="00403FAB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016BE5">
              <w:rPr>
                <w:rFonts w:ascii="Times New Roman" w:hAnsi="Times New Roman"/>
                <w:sz w:val="22"/>
                <w:szCs w:val="22"/>
              </w:rPr>
              <w:t>paratūras noma</w:t>
            </w:r>
          </w:p>
        </w:tc>
        <w:tc>
          <w:tcPr>
            <w:tcW w:w="709" w:type="dxa"/>
            <w:vAlign w:val="center"/>
          </w:tcPr>
          <w:p w14:paraId="4D6238FF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316DB8" w14:textId="7D0D3A3C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1F4B18F1" w14:textId="17C88AA1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1F089B03" w14:textId="2134BFA5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82F842E" w14:textId="0E030E36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FB0BB8" w14:paraId="16E6D82A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78B59166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897E6F8" w14:textId="62BE5CBA" w:rsidR="004A3DEF" w:rsidRPr="00016BE5" w:rsidRDefault="00403FAB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Pr="00016BE5">
              <w:rPr>
                <w:rFonts w:ascii="Times New Roman" w:hAnsi="Times New Roman"/>
                <w:sz w:val="22"/>
                <w:szCs w:val="22"/>
              </w:rPr>
              <w:t>ūzikas izpildījums un noformējums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684AE1C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181EDF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14:paraId="77651B6A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1418" w:type="dxa"/>
            <w:vAlign w:val="center"/>
          </w:tcPr>
          <w:p w14:paraId="7CD99981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2E2EE90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</w:tr>
      <w:tr w:rsidR="00FB0BB8" w14:paraId="798CD980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30FF9288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A54BFD" w14:textId="6B01622A" w:rsidR="004A3DEF" w:rsidRPr="00016BE5" w:rsidRDefault="00403FAB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016BE5">
              <w:rPr>
                <w:rFonts w:ascii="Times New Roman" w:hAnsi="Times New Roman"/>
                <w:sz w:val="22"/>
                <w:szCs w:val="22"/>
              </w:rPr>
              <w:t>iepūšam</w:t>
            </w:r>
            <w:r w:rsidR="00D35197">
              <w:rPr>
                <w:rFonts w:ascii="Times New Roman" w:hAnsi="Times New Roman"/>
                <w:sz w:val="22"/>
                <w:szCs w:val="22"/>
              </w:rPr>
              <w:t>o</w:t>
            </w:r>
            <w:r w:rsidRPr="00016BE5">
              <w:rPr>
                <w:rFonts w:ascii="Times New Roman" w:hAnsi="Times New Roman"/>
                <w:sz w:val="22"/>
                <w:szCs w:val="22"/>
              </w:rPr>
              <w:t xml:space="preserve"> atrakcij</w:t>
            </w:r>
            <w:r w:rsidR="00D35197">
              <w:rPr>
                <w:rFonts w:ascii="Times New Roman" w:hAnsi="Times New Roman"/>
                <w:sz w:val="22"/>
                <w:szCs w:val="22"/>
              </w:rPr>
              <w:t>u</w:t>
            </w:r>
            <w:r w:rsidRPr="00016BE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5197" w:rsidRPr="00016BE5">
              <w:rPr>
                <w:rFonts w:ascii="Times New Roman" w:hAnsi="Times New Roman"/>
                <w:sz w:val="22"/>
                <w:szCs w:val="22"/>
              </w:rPr>
              <w:t xml:space="preserve">noma </w:t>
            </w:r>
            <w:r w:rsidRPr="00016BE5">
              <w:rPr>
                <w:rFonts w:ascii="Times New Roman" w:hAnsi="Times New Roman"/>
                <w:sz w:val="22"/>
                <w:szCs w:val="22"/>
              </w:rPr>
              <w:t xml:space="preserve">bērniem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B6107EA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479A87F" w14:textId="7A3D3096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992" w:type="dxa"/>
            <w:vAlign w:val="center"/>
          </w:tcPr>
          <w:p w14:paraId="5A420027" w14:textId="0C08C30D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418" w:type="dxa"/>
            <w:vAlign w:val="center"/>
          </w:tcPr>
          <w:p w14:paraId="310CC737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24343CC" w14:textId="03CB0678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</w:tr>
      <w:tr w:rsidR="00FB0BB8" w14:paraId="77D8588C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2B80EF06" w14:textId="3A347622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5E85D6" w14:textId="4AF79651" w:rsidR="004A3DEF" w:rsidRPr="00016BE5" w:rsidRDefault="00403FAB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Materiāli bērnu radošajām aktivitātēm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410F40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7F2E00B" w14:textId="1F1F7C9F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  <w:vAlign w:val="center"/>
          </w:tcPr>
          <w:p w14:paraId="1B89DF03" w14:textId="7BF6EEB8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 w14:paraId="133D47D7" w14:textId="77777777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0F9BD1A" w14:textId="1ECEF516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90</w:t>
            </w:r>
          </w:p>
        </w:tc>
      </w:tr>
      <w:tr w:rsidR="00FB0BB8" w14:paraId="5A918C1E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4FC2207B" w14:textId="07880F94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64F75B" w14:textId="174E848F" w:rsidR="004A3DEF" w:rsidRPr="00016BE5" w:rsidRDefault="00403FAB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 xml:space="preserve">Norises vietas noformējuma materiāli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7254BE" w14:textId="719423B0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29F26F" w14:textId="785676CA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22467E71" w14:textId="421F978C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 w14:paraId="056D8108" w14:textId="51059F70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54FBCA6D" w14:textId="41DFE525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  <w:tr w:rsidR="00FB0BB8" w14:paraId="731F5854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0A80D1ED" w14:textId="6853E868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022361" w14:textId="172A7373" w:rsidR="004A3DEF" w:rsidRPr="00016BE5" w:rsidRDefault="00403FAB" w:rsidP="00016BE5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Piemiņas dāvanas kopienas aktīvistiem un sporta disciplīnu uzvarētājiem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C13EF24" w14:textId="52E96452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A2D0A" w14:textId="7E172865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6.50</w:t>
            </w:r>
          </w:p>
        </w:tc>
        <w:tc>
          <w:tcPr>
            <w:tcW w:w="992" w:type="dxa"/>
            <w:vAlign w:val="center"/>
          </w:tcPr>
          <w:p w14:paraId="0E2EC74E" w14:textId="6FEC76B1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  <w:tc>
          <w:tcPr>
            <w:tcW w:w="1418" w:type="dxa"/>
            <w:vAlign w:val="center"/>
          </w:tcPr>
          <w:p w14:paraId="33A0B9AD" w14:textId="5D9265DA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3800007C" w14:textId="148507AA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130</w:t>
            </w:r>
          </w:p>
        </w:tc>
      </w:tr>
      <w:tr w:rsidR="00FB0BB8" w14:paraId="16B44BD9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148C9311" w14:textId="2E31481E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F2B316" w14:textId="495FC53F" w:rsidR="004A3DEF" w:rsidRPr="00016BE5" w:rsidRDefault="00403FAB" w:rsidP="00D3519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Aukstā zupa, maize, limonāde, ūdens kopgaldam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CD50DF" w14:textId="71DD6FDF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A45AD7" w14:textId="721B7CEA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992" w:type="dxa"/>
            <w:vAlign w:val="center"/>
          </w:tcPr>
          <w:p w14:paraId="6B3DF685" w14:textId="48A4411D" w:rsidR="004A3DEF" w:rsidRPr="00D35197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197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418" w:type="dxa"/>
            <w:vAlign w:val="center"/>
          </w:tcPr>
          <w:p w14:paraId="43273571" w14:textId="2CA38510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1417" w:type="dxa"/>
            <w:vAlign w:val="center"/>
          </w:tcPr>
          <w:p w14:paraId="523A03E5" w14:textId="18348C89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B0BB8" w14:paraId="3170A2FA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1DCE8DA4" w14:textId="5FA523C2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1C7CD6" w14:textId="38764BB6" w:rsidR="004A3DEF" w:rsidRPr="00016BE5" w:rsidRDefault="00403FAB" w:rsidP="00D3519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Vienreiz lietojamie trauki, salvetes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EDD052" w14:textId="57951D19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95DA492" w14:textId="647931D1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0.50</w:t>
            </w:r>
          </w:p>
        </w:tc>
        <w:tc>
          <w:tcPr>
            <w:tcW w:w="992" w:type="dxa"/>
            <w:vAlign w:val="center"/>
          </w:tcPr>
          <w:p w14:paraId="387F3328" w14:textId="76702BE7" w:rsidR="004A3DEF" w:rsidRPr="00D35197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197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 w14:paraId="02DA4F44" w14:textId="6F3564EC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  <w:tc>
          <w:tcPr>
            <w:tcW w:w="1417" w:type="dxa"/>
            <w:vAlign w:val="center"/>
          </w:tcPr>
          <w:p w14:paraId="0C1F8CFE" w14:textId="6E6D953D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B0BB8" w14:paraId="002A9526" w14:textId="77777777" w:rsidTr="00D35197">
        <w:tc>
          <w:tcPr>
            <w:tcW w:w="704" w:type="dxa"/>
            <w:tcBorders>
              <w:bottom w:val="single" w:sz="4" w:space="0" w:color="auto"/>
            </w:tcBorders>
          </w:tcPr>
          <w:p w14:paraId="49290BDB" w14:textId="53624605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B8A03F" w14:textId="3ABCEC83" w:rsidR="004A3DEF" w:rsidRPr="00016BE5" w:rsidRDefault="00403FAB" w:rsidP="00D35197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Saldumi bērnu apbalvošanai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E85E37" w14:textId="67D5B6EB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7328D6" w14:textId="36C21636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00F2972D" w14:textId="3FC8112F" w:rsidR="004A3DEF" w:rsidRPr="00D35197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5197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 w14:paraId="759E4F85" w14:textId="5EB89A99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417" w:type="dxa"/>
            <w:vAlign w:val="center"/>
          </w:tcPr>
          <w:p w14:paraId="555D87AB" w14:textId="6B0FCBDA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16BE5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B0BB8" w14:paraId="440AF9FA" w14:textId="77777777" w:rsidTr="00D35197">
        <w:tc>
          <w:tcPr>
            <w:tcW w:w="5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1C9E55A" w14:textId="77777777" w:rsidR="004A3DEF" w:rsidRPr="00016BE5" w:rsidRDefault="00403FAB" w:rsidP="00D35197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KOPĀ (t.sk., nodokļi):</w:t>
            </w:r>
          </w:p>
        </w:tc>
        <w:tc>
          <w:tcPr>
            <w:tcW w:w="992" w:type="dxa"/>
          </w:tcPr>
          <w:p w14:paraId="79707626" w14:textId="0CC7F8B8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1780</w:t>
            </w:r>
          </w:p>
        </w:tc>
        <w:tc>
          <w:tcPr>
            <w:tcW w:w="1418" w:type="dxa"/>
          </w:tcPr>
          <w:p w14:paraId="6A718271" w14:textId="658B012C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280</w:t>
            </w:r>
          </w:p>
        </w:tc>
        <w:tc>
          <w:tcPr>
            <w:tcW w:w="1417" w:type="dxa"/>
          </w:tcPr>
          <w:p w14:paraId="1FA625F5" w14:textId="0B7C2BE4" w:rsidR="004A3DEF" w:rsidRPr="00016BE5" w:rsidRDefault="00403FAB" w:rsidP="00E007E6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16BE5">
              <w:rPr>
                <w:rFonts w:ascii="Times New Roman" w:hAnsi="Times New Roman"/>
                <w:b/>
                <w:sz w:val="22"/>
                <w:szCs w:val="22"/>
              </w:rPr>
              <w:t>1500</w:t>
            </w:r>
          </w:p>
        </w:tc>
      </w:tr>
    </w:tbl>
    <w:p w14:paraId="27F390E3" w14:textId="5245CD89" w:rsidR="00DE097B" w:rsidRPr="00041460" w:rsidRDefault="00403FAB" w:rsidP="00DE097B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ieguv</w:t>
      </w:r>
      <w:r w:rsidR="00D35197">
        <w:rPr>
          <w:rFonts w:ascii="Times New Roman" w:eastAsia="Calibri" w:hAnsi="Times New Roman" w:cs="Times New Roman"/>
        </w:rPr>
        <w:t>a</w:t>
      </w:r>
      <w:r w:rsidRPr="00041460">
        <w:rPr>
          <w:rFonts w:ascii="Times New Roman" w:eastAsia="Calibri" w:hAnsi="Times New Roman" w:cs="Times New Roman"/>
        </w:rPr>
        <w:t xml:space="preserve"> 2</w:t>
      </w:r>
      <w:r>
        <w:rPr>
          <w:rFonts w:ascii="Times New Roman" w:eastAsia="Calibri" w:hAnsi="Times New Roman" w:cs="Times New Roman"/>
        </w:rPr>
        <w:t>4</w:t>
      </w:r>
      <w:r w:rsidRPr="00041460">
        <w:rPr>
          <w:rFonts w:ascii="Times New Roman" w:eastAsia="Calibri" w:hAnsi="Times New Roman" w:cs="Times New Roman"/>
        </w:rPr>
        <w:t xml:space="preserve"> punktus (no 26), </w:t>
      </w:r>
      <w:r>
        <w:rPr>
          <w:rFonts w:ascii="Times New Roman" w:eastAsia="Calibri" w:hAnsi="Times New Roman" w:cs="Times New Roman"/>
        </w:rPr>
        <w:t>un</w:t>
      </w:r>
      <w:r w:rsidRPr="00041460">
        <w:rPr>
          <w:rFonts w:ascii="Times New Roman" w:eastAsia="Calibri" w:hAnsi="Times New Roman" w:cs="Times New Roman"/>
        </w:rPr>
        <w:t xml:space="preserve"> tā norises un izdevumi atbilst Projekta mērķim.</w:t>
      </w:r>
    </w:p>
    <w:p w14:paraId="460A1BF2" w14:textId="70F2B396" w:rsidR="00DE097B" w:rsidRPr="00041460" w:rsidRDefault="00403FAB" w:rsidP="00DE097B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>
        <w:rPr>
          <w:rFonts w:ascii="Times New Roman" w:eastAsia="Calibri" w:hAnsi="Times New Roman" w:cs="Times New Roman"/>
        </w:rPr>
        <w:t xml:space="preserve">60., </w:t>
      </w:r>
      <w:r w:rsidRPr="00041460">
        <w:rPr>
          <w:rFonts w:ascii="Times New Roman" w:eastAsia="Calibri" w:hAnsi="Times New Roman" w:cs="Times New Roman"/>
        </w:rPr>
        <w:t>67.</w:t>
      </w:r>
      <w:r>
        <w:rPr>
          <w:rFonts w:ascii="Times New Roman" w:eastAsia="Calibri" w:hAnsi="Times New Roman" w:cs="Times New Roman"/>
        </w:rPr>
        <w:t xml:space="preserve"> un 72.</w:t>
      </w:r>
      <w:r w:rsidRPr="00041460">
        <w:rPr>
          <w:rFonts w:ascii="Times New Roman" w:eastAsia="Calibri" w:hAnsi="Times New Roman" w:cs="Times New Roman"/>
        </w:rPr>
        <w:t xml:space="preserve"> punktu, </w:t>
      </w:r>
      <w:r w:rsidRPr="00041460">
        <w:rPr>
          <w:rFonts w:ascii="Times New Roman" w:hAnsi="Times New Roman" w:cs="Times New Roman"/>
        </w:rPr>
        <w:t xml:space="preserve">kā arī </w:t>
      </w:r>
      <w:r>
        <w:rPr>
          <w:rFonts w:ascii="Times New Roman" w:hAnsi="Times New Roman" w:cs="Times New Roman"/>
        </w:rPr>
        <w:t xml:space="preserve">domes </w:t>
      </w:r>
      <w:r w:rsidRPr="00041460">
        <w:rPr>
          <w:rFonts w:ascii="Times New Roman" w:hAnsi="Times New Roman" w:cs="Times New Roman"/>
        </w:rPr>
        <w:t>Izglītības, kultūras, sporta un sociālās komitejas 0</w:t>
      </w:r>
      <w:r>
        <w:rPr>
          <w:rFonts w:ascii="Times New Roman" w:hAnsi="Times New Roman" w:cs="Times New Roman"/>
        </w:rPr>
        <w:t>1</w:t>
      </w:r>
      <w:r w:rsidRPr="00041460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041460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041460">
        <w:rPr>
          <w:rFonts w:ascii="Times New Roman" w:hAnsi="Times New Roman" w:cs="Times New Roman"/>
        </w:rPr>
        <w:t>. atzinumu, Ādažu novada pašvaldības dome</w:t>
      </w:r>
    </w:p>
    <w:p w14:paraId="0CDEF7B2" w14:textId="77777777" w:rsidR="00DE097B" w:rsidRPr="00041460" w:rsidRDefault="00403FAB" w:rsidP="00DE097B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60D126E7" w14:textId="77777777" w:rsidR="00DE097B" w:rsidRPr="00041460" w:rsidRDefault="00403FAB" w:rsidP="00DE09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proofErr w:type="spellStart"/>
      <w:r>
        <w:rPr>
          <w:rFonts w:ascii="Times New Roman" w:hAnsi="Times New Roman" w:cs="Times New Roman"/>
        </w:rPr>
        <w:t>Kalngalieši</w:t>
      </w:r>
      <w:proofErr w:type="spellEnd"/>
      <w:r w:rsidRPr="00041460">
        <w:rPr>
          <w:rFonts w:ascii="Times New Roman" w:hAnsi="Times New Roman" w:cs="Times New Roman"/>
        </w:rPr>
        <w:t xml:space="preserve">” projektu </w:t>
      </w:r>
      <w:r w:rsidRPr="0056173E">
        <w:rPr>
          <w:rFonts w:ascii="Times New Roman" w:hAnsi="Times New Roman"/>
        </w:rPr>
        <w:t>“Biedrības ”</w:t>
      </w:r>
      <w:proofErr w:type="spellStart"/>
      <w:r w:rsidRPr="0056173E">
        <w:rPr>
          <w:rFonts w:ascii="Times New Roman" w:hAnsi="Times New Roman"/>
        </w:rPr>
        <w:t>Kalngalieši</w:t>
      </w:r>
      <w:proofErr w:type="spellEnd"/>
      <w:r w:rsidRPr="0056173E">
        <w:rPr>
          <w:rFonts w:ascii="Times New Roman" w:hAnsi="Times New Roman"/>
        </w:rPr>
        <w:t xml:space="preserve">” un </w:t>
      </w:r>
      <w:proofErr w:type="spellStart"/>
      <w:r w:rsidRPr="0056173E">
        <w:rPr>
          <w:rFonts w:ascii="Times New Roman" w:hAnsi="Times New Roman"/>
        </w:rPr>
        <w:t>Kalngales</w:t>
      </w:r>
      <w:proofErr w:type="spellEnd"/>
      <w:r w:rsidRPr="0056173E">
        <w:rPr>
          <w:rFonts w:ascii="Times New Roman" w:hAnsi="Times New Roman"/>
        </w:rPr>
        <w:t xml:space="preserve"> iedzīvotāju kopienas ikgadējās aktivitātes Kaimiņu dienas 15. jubilejas pasākuma īstenošana (18.07.2026.)”</w:t>
      </w:r>
      <w:r w:rsidRPr="00041460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tai pašvaldības līdzfinansējumu </w:t>
      </w:r>
      <w:r>
        <w:rPr>
          <w:rFonts w:ascii="Times New Roman" w:eastAsia="Calibri" w:hAnsi="Times New Roman" w:cs="Times New Roman"/>
          <w:color w:val="000000"/>
        </w:rPr>
        <w:t>15</w:t>
      </w:r>
      <w:r w:rsidRPr="00041460">
        <w:rPr>
          <w:rFonts w:ascii="Times New Roman" w:eastAsia="Calibri" w:hAnsi="Times New Roman" w:cs="Times New Roman"/>
          <w:color w:val="000000"/>
        </w:rPr>
        <w:t xml:space="preserve">00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>
        <w:rPr>
          <w:rFonts w:ascii="Times New Roman" w:eastAsia="Calibri" w:hAnsi="Times New Roman" w:cs="Times New Roman"/>
          <w:color w:val="000000"/>
        </w:rPr>
        <w:t>viens</w:t>
      </w:r>
      <w:r w:rsidRPr="00041460">
        <w:rPr>
          <w:rFonts w:ascii="Times New Roman" w:eastAsia="Calibri" w:hAnsi="Times New Roman" w:cs="Times New Roman"/>
          <w:color w:val="000000"/>
        </w:rPr>
        <w:t xml:space="preserve"> tūksto</w:t>
      </w:r>
      <w:r>
        <w:rPr>
          <w:rFonts w:ascii="Times New Roman" w:eastAsia="Calibri" w:hAnsi="Times New Roman" w:cs="Times New Roman"/>
          <w:color w:val="000000"/>
        </w:rPr>
        <w:t>tis pieci simti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52CE5172" w14:textId="77777777" w:rsidR="00DE097B" w:rsidRPr="00041460" w:rsidRDefault="00403FAB" w:rsidP="00DE097B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501760F9" w14:textId="77777777" w:rsidR="00DE097B" w:rsidRDefault="00403FAB" w:rsidP="00DE09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2BF01324" w14:textId="77777777" w:rsidR="00DE097B" w:rsidRPr="00041460" w:rsidRDefault="00403FAB" w:rsidP="00DE097B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341B0806" w14:textId="77777777" w:rsidR="00DE097B" w:rsidRPr="00F261DE" w:rsidRDefault="00403FAB" w:rsidP="00DE097B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Šajā lēmumā noteikto pašvaldības līdzfinansējumu izmaksāt no </w:t>
      </w:r>
      <w:r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budžeta tāmes līdzekļiem</w:t>
      </w:r>
      <w:r w:rsidRPr="00F261DE">
        <w:rPr>
          <w:rFonts w:ascii="Times New Roman" w:eastAsia="Calibri" w:hAnsi="Times New Roman" w:cs="Times New Roman"/>
          <w:color w:val="000000"/>
        </w:rPr>
        <w:t xml:space="preserve">. </w:t>
      </w:r>
    </w:p>
    <w:p w14:paraId="0C0F8DA6" w14:textId="77777777" w:rsidR="00DE097B" w:rsidRPr="008360C2" w:rsidRDefault="00403FAB" w:rsidP="00DE097B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 vietniecei veikt lēmuma izpildes kontroli.</w:t>
      </w:r>
    </w:p>
    <w:p w14:paraId="4BB9C703" w14:textId="77777777" w:rsidR="00DE097B" w:rsidRPr="00041460" w:rsidRDefault="00DE097B" w:rsidP="00DE097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114904A" w14:textId="77777777" w:rsidR="00DE097B" w:rsidRPr="00041460" w:rsidRDefault="00DE097B" w:rsidP="00DE097B">
      <w:pPr>
        <w:jc w:val="both"/>
        <w:rPr>
          <w:rFonts w:ascii="Times New Roman" w:hAnsi="Times New Roman" w:cs="Times New Roman"/>
        </w:rPr>
      </w:pPr>
    </w:p>
    <w:p w14:paraId="7CF02452" w14:textId="77777777" w:rsidR="00DE097B" w:rsidRPr="00041460" w:rsidRDefault="00DE097B" w:rsidP="00DE097B">
      <w:pPr>
        <w:jc w:val="both"/>
        <w:rPr>
          <w:rFonts w:ascii="Times New Roman" w:hAnsi="Times New Roman" w:cs="Times New Roman"/>
        </w:rPr>
      </w:pPr>
    </w:p>
    <w:p w14:paraId="29DD1178" w14:textId="77777777" w:rsidR="00221FC0" w:rsidRPr="00221FC0" w:rsidRDefault="00403FAB" w:rsidP="00221FC0">
      <w:pPr>
        <w:jc w:val="both"/>
        <w:rPr>
          <w:rFonts w:ascii="Times New Roman" w:hAnsi="Times New Roman" w:cs="Times New Roman"/>
          <w:noProof/>
        </w:rPr>
      </w:pPr>
      <w:r w:rsidRPr="00221FC0">
        <w:rPr>
          <w:rFonts w:ascii="Times New Roman" w:hAnsi="Times New Roman" w:cs="Times New Roman"/>
          <w:noProof/>
        </w:rPr>
        <w:t>Pašvaldības domes priekšsēdētāja vietnieks</w:t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</w:r>
      <w:r w:rsidRPr="00221FC0">
        <w:rPr>
          <w:rFonts w:ascii="Times New Roman" w:hAnsi="Times New Roman" w:cs="Times New Roman"/>
          <w:noProof/>
        </w:rPr>
        <w:tab/>
        <w:t>J. Vaivads</w:t>
      </w:r>
    </w:p>
    <w:p w14:paraId="20F3F7DF" w14:textId="77777777" w:rsidR="00221FC0" w:rsidRPr="00221FC0" w:rsidRDefault="00403FAB" w:rsidP="00221FC0">
      <w:pPr>
        <w:jc w:val="both"/>
        <w:rPr>
          <w:rFonts w:ascii="Times New Roman" w:hAnsi="Times New Roman" w:cs="Times New Roman"/>
          <w:noProof/>
        </w:rPr>
      </w:pPr>
      <w:r w:rsidRPr="00221FC0">
        <w:rPr>
          <w:rFonts w:ascii="Times New Roman" w:hAnsi="Times New Roman" w:cs="Times New Roman"/>
          <w:noProof/>
        </w:rPr>
        <w:t>pašvaldības funkciju jautājumos</w:t>
      </w:r>
    </w:p>
    <w:p w14:paraId="4A78E03B" w14:textId="77777777" w:rsidR="00221FC0" w:rsidRPr="00221FC0" w:rsidRDefault="00221FC0" w:rsidP="00221FC0">
      <w:pPr>
        <w:jc w:val="both"/>
        <w:rPr>
          <w:rFonts w:ascii="Times New Roman" w:hAnsi="Times New Roman" w:cs="Times New Roman"/>
          <w:noProof/>
        </w:rPr>
      </w:pPr>
    </w:p>
    <w:p w14:paraId="1A3F1672" w14:textId="77777777" w:rsidR="00221FC0" w:rsidRPr="00221FC0" w:rsidRDefault="00403FAB" w:rsidP="00221FC0">
      <w:pPr>
        <w:jc w:val="center"/>
        <w:rPr>
          <w:rFonts w:ascii="Times New Roman" w:hAnsi="Times New Roman" w:cs="Times New Roman"/>
          <w:noProof/>
        </w:rPr>
      </w:pPr>
      <w:r w:rsidRPr="00221FC0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sectPr w:rsidR="00221FC0" w:rsidRPr="00221FC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7700" w14:textId="77777777" w:rsidR="00403FAB" w:rsidRDefault="00403FAB">
      <w:r>
        <w:separator/>
      </w:r>
    </w:p>
  </w:endnote>
  <w:endnote w:type="continuationSeparator" w:id="0">
    <w:p w14:paraId="66649A81" w14:textId="77777777" w:rsidR="00403FAB" w:rsidRDefault="0040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0671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03FA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3DB4" w14:textId="77777777" w:rsidR="00403FAB" w:rsidRDefault="00403FAB">
      <w:r>
        <w:separator/>
      </w:r>
    </w:p>
  </w:footnote>
  <w:footnote w:type="continuationSeparator" w:id="0">
    <w:p w14:paraId="5BE12587" w14:textId="77777777" w:rsidR="00403FAB" w:rsidRDefault="0040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8184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099D6" w:tentative="1">
      <w:start w:val="1"/>
      <w:numFmt w:val="lowerLetter"/>
      <w:lvlText w:val="%2."/>
      <w:lvlJc w:val="left"/>
      <w:pPr>
        <w:ind w:left="1440" w:hanging="360"/>
      </w:pPr>
    </w:lvl>
    <w:lvl w:ilvl="2" w:tplc="13E802A6" w:tentative="1">
      <w:start w:val="1"/>
      <w:numFmt w:val="lowerRoman"/>
      <w:lvlText w:val="%3."/>
      <w:lvlJc w:val="right"/>
      <w:pPr>
        <w:ind w:left="2160" w:hanging="180"/>
      </w:pPr>
    </w:lvl>
    <w:lvl w:ilvl="3" w:tplc="E7600518" w:tentative="1">
      <w:start w:val="1"/>
      <w:numFmt w:val="decimal"/>
      <w:lvlText w:val="%4."/>
      <w:lvlJc w:val="left"/>
      <w:pPr>
        <w:ind w:left="2880" w:hanging="360"/>
      </w:pPr>
    </w:lvl>
    <w:lvl w:ilvl="4" w:tplc="B574BACA" w:tentative="1">
      <w:start w:val="1"/>
      <w:numFmt w:val="lowerLetter"/>
      <w:lvlText w:val="%5."/>
      <w:lvlJc w:val="left"/>
      <w:pPr>
        <w:ind w:left="3600" w:hanging="360"/>
      </w:pPr>
    </w:lvl>
    <w:lvl w:ilvl="5" w:tplc="8B18ABC2" w:tentative="1">
      <w:start w:val="1"/>
      <w:numFmt w:val="lowerRoman"/>
      <w:lvlText w:val="%6."/>
      <w:lvlJc w:val="right"/>
      <w:pPr>
        <w:ind w:left="4320" w:hanging="180"/>
      </w:pPr>
    </w:lvl>
    <w:lvl w:ilvl="6" w:tplc="A6A20A60" w:tentative="1">
      <w:start w:val="1"/>
      <w:numFmt w:val="decimal"/>
      <w:lvlText w:val="%7."/>
      <w:lvlJc w:val="left"/>
      <w:pPr>
        <w:ind w:left="5040" w:hanging="360"/>
      </w:pPr>
    </w:lvl>
    <w:lvl w:ilvl="7" w:tplc="5236748E" w:tentative="1">
      <w:start w:val="1"/>
      <w:numFmt w:val="lowerLetter"/>
      <w:lvlText w:val="%8."/>
      <w:lvlJc w:val="left"/>
      <w:pPr>
        <w:ind w:left="5760" w:hanging="360"/>
      </w:pPr>
    </w:lvl>
    <w:lvl w:ilvl="8" w:tplc="DE3C6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6BE5"/>
    <w:rsid w:val="00021DD6"/>
    <w:rsid w:val="00030457"/>
    <w:rsid w:val="00041460"/>
    <w:rsid w:val="00070E3F"/>
    <w:rsid w:val="000D25FB"/>
    <w:rsid w:val="00147221"/>
    <w:rsid w:val="0018057D"/>
    <w:rsid w:val="00195A73"/>
    <w:rsid w:val="001A297B"/>
    <w:rsid w:val="00221FC0"/>
    <w:rsid w:val="0025391B"/>
    <w:rsid w:val="00297558"/>
    <w:rsid w:val="002D53F6"/>
    <w:rsid w:val="003230D6"/>
    <w:rsid w:val="00351D48"/>
    <w:rsid w:val="003714F0"/>
    <w:rsid w:val="003832DD"/>
    <w:rsid w:val="003C401E"/>
    <w:rsid w:val="00403FAB"/>
    <w:rsid w:val="004A3DEF"/>
    <w:rsid w:val="004D516C"/>
    <w:rsid w:val="00521C00"/>
    <w:rsid w:val="0053073B"/>
    <w:rsid w:val="00543508"/>
    <w:rsid w:val="0056173E"/>
    <w:rsid w:val="00564CA6"/>
    <w:rsid w:val="005C7FA1"/>
    <w:rsid w:val="005F1D9C"/>
    <w:rsid w:val="00617AAC"/>
    <w:rsid w:val="006329A6"/>
    <w:rsid w:val="00693F05"/>
    <w:rsid w:val="006D3451"/>
    <w:rsid w:val="006D513B"/>
    <w:rsid w:val="0073021B"/>
    <w:rsid w:val="0074092B"/>
    <w:rsid w:val="0079484F"/>
    <w:rsid w:val="007B4DDB"/>
    <w:rsid w:val="007B4E4B"/>
    <w:rsid w:val="008257F8"/>
    <w:rsid w:val="008360C2"/>
    <w:rsid w:val="008A54A9"/>
    <w:rsid w:val="008E3846"/>
    <w:rsid w:val="009139A1"/>
    <w:rsid w:val="00931891"/>
    <w:rsid w:val="0099501F"/>
    <w:rsid w:val="00996740"/>
    <w:rsid w:val="009A3989"/>
    <w:rsid w:val="009B66FE"/>
    <w:rsid w:val="009B7F8F"/>
    <w:rsid w:val="009D376A"/>
    <w:rsid w:val="00A254B5"/>
    <w:rsid w:val="00A52B04"/>
    <w:rsid w:val="00AB25DE"/>
    <w:rsid w:val="00B23A15"/>
    <w:rsid w:val="00B36CD4"/>
    <w:rsid w:val="00B4014F"/>
    <w:rsid w:val="00B47C10"/>
    <w:rsid w:val="00BB16A4"/>
    <w:rsid w:val="00BE6FC3"/>
    <w:rsid w:val="00BE75D1"/>
    <w:rsid w:val="00C82360"/>
    <w:rsid w:val="00C9477C"/>
    <w:rsid w:val="00CB3815"/>
    <w:rsid w:val="00CC1B2F"/>
    <w:rsid w:val="00CF0A2C"/>
    <w:rsid w:val="00CF16C2"/>
    <w:rsid w:val="00D35197"/>
    <w:rsid w:val="00D86969"/>
    <w:rsid w:val="00DE097B"/>
    <w:rsid w:val="00E007E6"/>
    <w:rsid w:val="00E52DA2"/>
    <w:rsid w:val="00E75D8D"/>
    <w:rsid w:val="00E80284"/>
    <w:rsid w:val="00EF06E1"/>
    <w:rsid w:val="00F261DE"/>
    <w:rsid w:val="00FA29A3"/>
    <w:rsid w:val="00FB0BB8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A3DEF"/>
  </w:style>
  <w:style w:type="paragraph" w:customStyle="1" w:styleId="Style6">
    <w:name w:val="Style6"/>
    <w:rsid w:val="004A3DE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4A3DEF"/>
    <w:pPr>
      <w:ind w:left="7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A3DEF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uiPriority w:val="99"/>
    <w:semiHidden/>
    <w:unhideWhenUsed/>
    <w:rsid w:val="004A3DEF"/>
    <w:rPr>
      <w:vertAlign w:val="superscript"/>
    </w:rPr>
  </w:style>
  <w:style w:type="paragraph" w:styleId="Sarakstarindkopa">
    <w:name w:val="List Paragraph"/>
    <w:basedOn w:val="Parasts"/>
    <w:link w:val="SarakstarindkopaRakstz"/>
    <w:uiPriority w:val="34"/>
    <w:qFormat/>
    <w:rsid w:val="00DE097B"/>
    <w:pPr>
      <w:ind w:left="720"/>
      <w:contextualSpacing/>
    </w:pPr>
  </w:style>
  <w:style w:type="character" w:customStyle="1" w:styleId="SarakstarindkopaRakstz">
    <w:name w:val="Saraksta rindkopa Rakstz."/>
    <w:basedOn w:val="Noklusjumarindkopasfonts"/>
    <w:link w:val="Sarakstarindkopa"/>
    <w:uiPriority w:val="34"/>
    <w:locked/>
    <w:rsid w:val="00DE097B"/>
  </w:style>
  <w:style w:type="character" w:styleId="Komentraatsauce">
    <w:name w:val="annotation reference"/>
    <w:basedOn w:val="Noklusjumarindkopasfonts"/>
    <w:uiPriority w:val="99"/>
    <w:semiHidden/>
    <w:unhideWhenUsed/>
    <w:rsid w:val="00FF0D4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F0D4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F0D4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0D4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0D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2401</Words>
  <Characters>1369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2026-04-24T05:08:00Z</dcterms:modified>
</cp:coreProperties>
</file>