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5147" w14:textId="66ABC1A8" w:rsidR="007D2F6F" w:rsidRPr="006C1D97" w:rsidRDefault="006B4B83" w:rsidP="006C1D97">
      <w:pPr>
        <w:jc w:val="right"/>
        <w:rPr>
          <w:rFonts w:asciiTheme="majorBidi" w:hAnsiTheme="majorBidi" w:cstheme="majorBidi"/>
        </w:rPr>
      </w:pPr>
      <w:r w:rsidRPr="006C1D97">
        <w:rPr>
          <w:rFonts w:asciiTheme="majorBidi" w:hAnsiTheme="majorBidi" w:cstheme="majorBidi"/>
        </w:rPr>
        <w:t xml:space="preserve">Projekts uz </w:t>
      </w:r>
      <w:r w:rsidR="00852BAD">
        <w:rPr>
          <w:rFonts w:asciiTheme="majorBidi" w:hAnsiTheme="majorBidi" w:cstheme="majorBidi"/>
        </w:rPr>
        <w:t>04</w:t>
      </w:r>
      <w:r w:rsidRPr="006C1D97">
        <w:rPr>
          <w:rFonts w:asciiTheme="majorBidi" w:hAnsiTheme="majorBidi" w:cstheme="majorBidi"/>
        </w:rPr>
        <w:t>.0</w:t>
      </w:r>
      <w:r w:rsidR="00852BAD">
        <w:rPr>
          <w:rFonts w:asciiTheme="majorBidi" w:hAnsiTheme="majorBidi" w:cstheme="majorBidi"/>
        </w:rPr>
        <w:t>2</w:t>
      </w:r>
      <w:r w:rsidRPr="006C1D97">
        <w:rPr>
          <w:rFonts w:asciiTheme="majorBidi" w:hAnsiTheme="majorBidi" w:cstheme="majorBidi"/>
        </w:rPr>
        <w:t>.2026.</w:t>
      </w:r>
    </w:p>
    <w:p w14:paraId="4C9CB1BD" w14:textId="77777777" w:rsidR="006B4B83" w:rsidRDefault="006B4B83" w:rsidP="006B4B83">
      <w:pPr>
        <w:jc w:val="center"/>
        <w:rPr>
          <w:rFonts w:asciiTheme="majorBidi" w:hAnsiTheme="majorBidi" w:cstheme="majorBidi"/>
          <w:b/>
          <w:bCs/>
          <w:sz w:val="28"/>
          <w:szCs w:val="28"/>
        </w:rPr>
      </w:pPr>
    </w:p>
    <w:p w14:paraId="2EDDB662" w14:textId="75A34444" w:rsidR="009F6048" w:rsidRPr="006C1D97" w:rsidRDefault="006B4B83" w:rsidP="006B4B83">
      <w:pPr>
        <w:jc w:val="center"/>
        <w:rPr>
          <w:rFonts w:asciiTheme="majorBidi" w:hAnsiTheme="majorBidi" w:cstheme="majorBidi"/>
          <w:b/>
          <w:bCs/>
          <w:sz w:val="32"/>
          <w:szCs w:val="32"/>
        </w:rPr>
      </w:pPr>
      <w:r w:rsidRPr="006C1D97">
        <w:rPr>
          <w:rFonts w:asciiTheme="majorBidi" w:hAnsiTheme="majorBidi" w:cstheme="majorBidi"/>
          <w:b/>
          <w:bCs/>
          <w:sz w:val="32"/>
          <w:szCs w:val="32"/>
        </w:rPr>
        <w:t>IEKŠĒJĀ AUDITA IETEIKUMU IEVIEŠANAS PLĀNS ĀDAŽU NOVADA BŪVVALDĒ</w:t>
      </w:r>
    </w:p>
    <w:p w14:paraId="640DDC4C" w14:textId="1542574B" w:rsidR="008946E6" w:rsidRPr="008946E6" w:rsidRDefault="008946E6" w:rsidP="008946E6">
      <w:pPr>
        <w:jc w:val="both"/>
        <w:rPr>
          <w:rFonts w:asciiTheme="majorBidi" w:hAnsiTheme="majorBidi" w:cstheme="majorBidi"/>
          <w:b/>
        </w:rPr>
      </w:pPr>
    </w:p>
    <w:tbl>
      <w:tblPr>
        <w:tblStyle w:val="Reatabula"/>
        <w:tblW w:w="15730" w:type="dxa"/>
        <w:tblLook w:val="04A0" w:firstRow="1" w:lastRow="0" w:firstColumn="1" w:lastColumn="0" w:noHBand="0" w:noVBand="1"/>
      </w:tblPr>
      <w:tblGrid>
        <w:gridCol w:w="4248"/>
        <w:gridCol w:w="5245"/>
        <w:gridCol w:w="1417"/>
        <w:gridCol w:w="1985"/>
        <w:gridCol w:w="2835"/>
      </w:tblGrid>
      <w:tr w:rsidR="00C277F2" w:rsidRPr="00357208" w14:paraId="03F4B529" w14:textId="77777777" w:rsidTr="00C277F2">
        <w:tc>
          <w:tcPr>
            <w:tcW w:w="4248" w:type="dxa"/>
            <w:vAlign w:val="center"/>
          </w:tcPr>
          <w:p w14:paraId="7AFDD624" w14:textId="40FA5E25" w:rsidR="0017344B" w:rsidRPr="006C1D97" w:rsidRDefault="006B4B83" w:rsidP="006C1D97">
            <w:pPr>
              <w:spacing w:before="60" w:after="60"/>
              <w:jc w:val="center"/>
              <w:rPr>
                <w:b/>
              </w:rPr>
            </w:pPr>
            <w:r w:rsidRPr="006C1D97">
              <w:rPr>
                <w:b/>
              </w:rPr>
              <w:t>Ieteikumi</w:t>
            </w:r>
          </w:p>
        </w:tc>
        <w:tc>
          <w:tcPr>
            <w:tcW w:w="5245" w:type="dxa"/>
            <w:vAlign w:val="center"/>
          </w:tcPr>
          <w:p w14:paraId="770D0F7F" w14:textId="3E745648" w:rsidR="0017344B" w:rsidRPr="006C1D97" w:rsidRDefault="0017344B" w:rsidP="006C1D97">
            <w:pPr>
              <w:spacing w:before="60" w:after="60"/>
              <w:jc w:val="center"/>
              <w:rPr>
                <w:b/>
              </w:rPr>
            </w:pPr>
            <w:r w:rsidRPr="006C1D97">
              <w:rPr>
                <w:b/>
              </w:rPr>
              <w:t>Uzdevums</w:t>
            </w:r>
          </w:p>
        </w:tc>
        <w:tc>
          <w:tcPr>
            <w:tcW w:w="1417" w:type="dxa"/>
            <w:vAlign w:val="center"/>
          </w:tcPr>
          <w:p w14:paraId="4B18750B" w14:textId="5AEAFADB" w:rsidR="0017344B" w:rsidRPr="006C1D97" w:rsidRDefault="0017344B" w:rsidP="006C1D97">
            <w:pPr>
              <w:spacing w:before="60" w:after="60"/>
              <w:jc w:val="center"/>
              <w:rPr>
                <w:b/>
              </w:rPr>
            </w:pPr>
            <w:r w:rsidRPr="006C1D97">
              <w:rPr>
                <w:b/>
              </w:rPr>
              <w:t>Termiņš</w:t>
            </w:r>
          </w:p>
        </w:tc>
        <w:tc>
          <w:tcPr>
            <w:tcW w:w="1985" w:type="dxa"/>
            <w:vAlign w:val="center"/>
          </w:tcPr>
          <w:p w14:paraId="044F1538" w14:textId="0A95FFD1" w:rsidR="0017344B" w:rsidRPr="006C1D97" w:rsidRDefault="0017344B" w:rsidP="006C1D97">
            <w:pPr>
              <w:spacing w:before="60" w:after="60"/>
              <w:jc w:val="center"/>
              <w:rPr>
                <w:b/>
              </w:rPr>
            </w:pPr>
            <w:r w:rsidRPr="006C1D97">
              <w:rPr>
                <w:b/>
              </w:rPr>
              <w:t>Atbildīgais</w:t>
            </w:r>
          </w:p>
        </w:tc>
        <w:tc>
          <w:tcPr>
            <w:tcW w:w="2835" w:type="dxa"/>
            <w:vAlign w:val="center"/>
          </w:tcPr>
          <w:p w14:paraId="68EDC03C" w14:textId="74A0E070" w:rsidR="0017344B" w:rsidRPr="006C1D97" w:rsidRDefault="0017344B" w:rsidP="006C1D97">
            <w:pPr>
              <w:spacing w:before="60" w:after="60"/>
              <w:jc w:val="center"/>
              <w:rPr>
                <w:b/>
              </w:rPr>
            </w:pPr>
            <w:r w:rsidRPr="006C1D97">
              <w:rPr>
                <w:b/>
              </w:rPr>
              <w:t>Piezīmes</w:t>
            </w:r>
          </w:p>
        </w:tc>
      </w:tr>
      <w:tr w:rsidR="006B4B83" w:rsidRPr="00357208" w14:paraId="386233A9" w14:textId="77777777" w:rsidTr="006C1D97">
        <w:tc>
          <w:tcPr>
            <w:tcW w:w="4248" w:type="dxa"/>
            <w:vMerge w:val="restart"/>
          </w:tcPr>
          <w:p w14:paraId="0A8BF8AD" w14:textId="2D1BA43A" w:rsidR="006B4B83" w:rsidRPr="006C1D97" w:rsidRDefault="006B4B83" w:rsidP="006C1D97">
            <w:pPr>
              <w:pStyle w:val="Sarakstarindkopa"/>
              <w:spacing w:before="60" w:after="60"/>
              <w:ind w:left="0"/>
              <w:contextualSpacing w:val="0"/>
              <w:jc w:val="both"/>
              <w:rPr>
                <w:bCs/>
              </w:rPr>
            </w:pPr>
            <w:r w:rsidRPr="006C1D97">
              <w:rPr>
                <w:bCs/>
              </w:rPr>
              <w:t xml:space="preserve">1. </w:t>
            </w:r>
            <w:r w:rsidRPr="00C277F2">
              <w:t>Rast risinājumu arhitekta piesaistei, ja galvenais arhitekts ilgstoši nevarēs veikt darba pienākumus, kā arī nodrošināt līdzvērtīgu darbu sadalījumu starp arhitektu un galveno arhitektu.</w:t>
            </w:r>
          </w:p>
          <w:p w14:paraId="0F69B79D" w14:textId="1877FF98" w:rsidR="006B4B83" w:rsidRPr="006C1D97" w:rsidRDefault="006B4B83" w:rsidP="006C1D97">
            <w:pPr>
              <w:spacing w:before="60" w:after="60"/>
              <w:jc w:val="both"/>
              <w:rPr>
                <w:bCs/>
              </w:rPr>
            </w:pPr>
          </w:p>
          <w:p w14:paraId="0F885C3C" w14:textId="4E951860" w:rsidR="006B4B83" w:rsidRPr="00C277F2" w:rsidRDefault="006B4B83" w:rsidP="006C1D97">
            <w:pPr>
              <w:spacing w:before="60" w:after="60"/>
              <w:jc w:val="both"/>
              <w:rPr>
                <w:bCs/>
              </w:rPr>
            </w:pPr>
          </w:p>
        </w:tc>
        <w:tc>
          <w:tcPr>
            <w:tcW w:w="5245" w:type="dxa"/>
          </w:tcPr>
          <w:p w14:paraId="7D47359F" w14:textId="6BD69C6F" w:rsidR="006B4B83" w:rsidRPr="006C1D97" w:rsidRDefault="006B4B83" w:rsidP="006C1D97">
            <w:pPr>
              <w:spacing w:before="60" w:after="60"/>
              <w:jc w:val="both"/>
              <w:rPr>
                <w:bCs/>
              </w:rPr>
            </w:pPr>
            <w:r w:rsidRPr="006C1D97">
              <w:rPr>
                <w:bCs/>
              </w:rPr>
              <w:t>1.1. Izsludināt atklātu konkursu uz būvvaldes arhitekta amata vietu.</w:t>
            </w:r>
          </w:p>
        </w:tc>
        <w:tc>
          <w:tcPr>
            <w:tcW w:w="1417" w:type="dxa"/>
          </w:tcPr>
          <w:p w14:paraId="2FE10E12" w14:textId="233C43AA" w:rsidR="006B4B83" w:rsidRPr="006C1D97" w:rsidRDefault="006B4B83" w:rsidP="006C1D97">
            <w:pPr>
              <w:spacing w:before="60" w:after="60"/>
              <w:jc w:val="center"/>
              <w:rPr>
                <w:bCs/>
              </w:rPr>
            </w:pPr>
            <w:r w:rsidRPr="006C1D97">
              <w:rPr>
                <w:bCs/>
              </w:rPr>
              <w:t xml:space="preserve">Februāris </w:t>
            </w:r>
          </w:p>
        </w:tc>
        <w:tc>
          <w:tcPr>
            <w:tcW w:w="1985" w:type="dxa"/>
          </w:tcPr>
          <w:p w14:paraId="67E5A560" w14:textId="3DB1CD54" w:rsidR="006B4B83" w:rsidRPr="006C1D97" w:rsidRDefault="006B4B83" w:rsidP="006C1D97">
            <w:pPr>
              <w:spacing w:before="60" w:after="60"/>
              <w:jc w:val="both"/>
              <w:rPr>
                <w:bCs/>
              </w:rPr>
            </w:pPr>
            <w:r w:rsidRPr="006C1D97">
              <w:rPr>
                <w:bCs/>
              </w:rPr>
              <w:t>A.Grikmanis</w:t>
            </w:r>
          </w:p>
        </w:tc>
        <w:tc>
          <w:tcPr>
            <w:tcW w:w="2835" w:type="dxa"/>
          </w:tcPr>
          <w:p w14:paraId="70062FBC" w14:textId="77777777" w:rsidR="006B4B83" w:rsidRPr="006C1D97" w:rsidRDefault="006B4B83" w:rsidP="006C1D97">
            <w:pPr>
              <w:spacing w:before="60" w:after="60"/>
              <w:jc w:val="both"/>
              <w:rPr>
                <w:bCs/>
              </w:rPr>
            </w:pPr>
          </w:p>
        </w:tc>
      </w:tr>
      <w:tr w:rsidR="006B4B83" w:rsidRPr="00357208" w14:paraId="0D1E6D6D" w14:textId="77777777" w:rsidTr="006C1D97">
        <w:tc>
          <w:tcPr>
            <w:tcW w:w="4248" w:type="dxa"/>
            <w:vMerge/>
          </w:tcPr>
          <w:p w14:paraId="191F5FBF" w14:textId="1613C498" w:rsidR="006B4B83" w:rsidRPr="006C1D97" w:rsidRDefault="006B4B83" w:rsidP="006C1D97">
            <w:pPr>
              <w:spacing w:before="60" w:after="60"/>
              <w:jc w:val="both"/>
              <w:rPr>
                <w:bCs/>
              </w:rPr>
            </w:pPr>
          </w:p>
        </w:tc>
        <w:tc>
          <w:tcPr>
            <w:tcW w:w="5245" w:type="dxa"/>
          </w:tcPr>
          <w:p w14:paraId="63A8D3B0" w14:textId="59FC959E" w:rsidR="006B4B83" w:rsidRPr="006C1D97" w:rsidRDefault="006B4B83" w:rsidP="006C1D97">
            <w:pPr>
              <w:spacing w:before="60" w:after="60"/>
              <w:jc w:val="both"/>
              <w:rPr>
                <w:bCs/>
              </w:rPr>
            </w:pPr>
            <w:r w:rsidRPr="006C1D97">
              <w:rPr>
                <w:bCs/>
              </w:rPr>
              <w:t>1.2. Ieviest līdzvērtīgu izskatāmo lietu (ar līdzvērtīgu sarežģītību) skaitu starp arhitektiem.</w:t>
            </w:r>
          </w:p>
        </w:tc>
        <w:tc>
          <w:tcPr>
            <w:tcW w:w="1417" w:type="dxa"/>
          </w:tcPr>
          <w:p w14:paraId="2F3884FE" w14:textId="77777777" w:rsidR="006B4B83" w:rsidRPr="006C1D97" w:rsidRDefault="006B4B83" w:rsidP="006C1D97">
            <w:pPr>
              <w:spacing w:before="60" w:after="60"/>
              <w:jc w:val="center"/>
              <w:rPr>
                <w:bCs/>
              </w:rPr>
            </w:pPr>
            <w:r w:rsidRPr="006C1D97">
              <w:rPr>
                <w:bCs/>
              </w:rPr>
              <w:t>Aprīlis</w:t>
            </w:r>
          </w:p>
          <w:p w14:paraId="5ECDF4B5" w14:textId="4A04A577" w:rsidR="006B4B83" w:rsidRPr="006C1D97" w:rsidRDefault="006B4B83" w:rsidP="006C1D97">
            <w:pPr>
              <w:spacing w:before="60" w:after="60"/>
              <w:jc w:val="center"/>
              <w:rPr>
                <w:bCs/>
              </w:rPr>
            </w:pPr>
          </w:p>
        </w:tc>
        <w:tc>
          <w:tcPr>
            <w:tcW w:w="1985" w:type="dxa"/>
          </w:tcPr>
          <w:p w14:paraId="50794188" w14:textId="77777777" w:rsidR="006B4B83" w:rsidRPr="006C1D97" w:rsidRDefault="006B4B83" w:rsidP="006C1D97">
            <w:pPr>
              <w:spacing w:before="60" w:after="60"/>
              <w:jc w:val="both"/>
              <w:rPr>
                <w:bCs/>
              </w:rPr>
            </w:pPr>
            <w:r w:rsidRPr="006C1D97">
              <w:rPr>
                <w:bCs/>
              </w:rPr>
              <w:t>A.Grikmanis</w:t>
            </w:r>
          </w:p>
          <w:p w14:paraId="1E31A191" w14:textId="4909A706" w:rsidR="006B4B83" w:rsidRPr="006C1D97" w:rsidRDefault="006B4B83" w:rsidP="006C1D97">
            <w:pPr>
              <w:spacing w:before="60" w:after="60"/>
              <w:jc w:val="both"/>
              <w:rPr>
                <w:bCs/>
              </w:rPr>
            </w:pPr>
            <w:r w:rsidRPr="006C1D97">
              <w:rPr>
                <w:bCs/>
              </w:rPr>
              <w:t>BIS koordinators</w:t>
            </w:r>
          </w:p>
        </w:tc>
        <w:tc>
          <w:tcPr>
            <w:tcW w:w="2835" w:type="dxa"/>
          </w:tcPr>
          <w:p w14:paraId="710FFB09" w14:textId="0F7DECBD" w:rsidR="006B4B83" w:rsidRPr="006C1D97" w:rsidRDefault="006B4B83" w:rsidP="006C1D97">
            <w:pPr>
              <w:spacing w:before="60" w:after="60"/>
              <w:jc w:val="both"/>
              <w:rPr>
                <w:bCs/>
              </w:rPr>
            </w:pPr>
            <w:r w:rsidRPr="006C1D97">
              <w:rPr>
                <w:bCs/>
              </w:rPr>
              <w:t>BIS vide</w:t>
            </w:r>
          </w:p>
        </w:tc>
      </w:tr>
      <w:tr w:rsidR="006B4B83" w:rsidRPr="00357208" w14:paraId="3E643002" w14:textId="77777777" w:rsidTr="006C1D97">
        <w:tc>
          <w:tcPr>
            <w:tcW w:w="4248" w:type="dxa"/>
            <w:vMerge/>
          </w:tcPr>
          <w:p w14:paraId="2A64B7AF" w14:textId="3C38ACD9" w:rsidR="006B4B83" w:rsidRPr="006C1D97" w:rsidRDefault="006B4B83" w:rsidP="006C1D97">
            <w:pPr>
              <w:spacing w:before="60" w:after="60"/>
              <w:jc w:val="both"/>
              <w:rPr>
                <w:bCs/>
              </w:rPr>
            </w:pPr>
          </w:p>
        </w:tc>
        <w:tc>
          <w:tcPr>
            <w:tcW w:w="5245" w:type="dxa"/>
          </w:tcPr>
          <w:p w14:paraId="74E76D84" w14:textId="2112CC0E" w:rsidR="006B4B83" w:rsidRPr="006C1D97" w:rsidRDefault="006B4B83" w:rsidP="006C1D97">
            <w:pPr>
              <w:spacing w:before="60" w:after="60"/>
              <w:jc w:val="both"/>
              <w:rPr>
                <w:bCs/>
              </w:rPr>
            </w:pPr>
            <w:r w:rsidRPr="006C1D97">
              <w:rPr>
                <w:bCs/>
              </w:rPr>
              <w:t>1.3. Noteikt galvenā arhitekta atbildību un līdzdalību priekšlikumu un lēmumu gatavošanā par novada (t.sk., Ādažu pilsētas un ciemu) vides attīstību un arhitektūras elementu koptēla vīziju.</w:t>
            </w:r>
          </w:p>
        </w:tc>
        <w:tc>
          <w:tcPr>
            <w:tcW w:w="1417" w:type="dxa"/>
          </w:tcPr>
          <w:p w14:paraId="230F6ADE" w14:textId="77777777" w:rsidR="006B4B83" w:rsidRPr="006C1D97" w:rsidRDefault="006B4B83" w:rsidP="006C1D97">
            <w:pPr>
              <w:spacing w:before="60" w:after="60"/>
              <w:jc w:val="center"/>
              <w:rPr>
                <w:bCs/>
              </w:rPr>
            </w:pPr>
            <w:r w:rsidRPr="006C1D97">
              <w:rPr>
                <w:bCs/>
              </w:rPr>
              <w:t>Maijs</w:t>
            </w:r>
          </w:p>
          <w:p w14:paraId="6D6162F4" w14:textId="2F4CA29E" w:rsidR="006B4B83" w:rsidRPr="006C1D97" w:rsidRDefault="006B4B83" w:rsidP="006C1D97">
            <w:pPr>
              <w:spacing w:before="60" w:after="60"/>
              <w:jc w:val="center"/>
              <w:rPr>
                <w:bCs/>
              </w:rPr>
            </w:pPr>
          </w:p>
        </w:tc>
        <w:tc>
          <w:tcPr>
            <w:tcW w:w="1985" w:type="dxa"/>
          </w:tcPr>
          <w:p w14:paraId="6CC158B9" w14:textId="77777777" w:rsidR="006B4B83" w:rsidRPr="006C1D97" w:rsidRDefault="006B4B83" w:rsidP="006C1D97">
            <w:pPr>
              <w:spacing w:before="60" w:after="60"/>
              <w:jc w:val="both"/>
              <w:rPr>
                <w:bCs/>
              </w:rPr>
            </w:pPr>
            <w:r w:rsidRPr="006C1D97">
              <w:rPr>
                <w:bCs/>
              </w:rPr>
              <w:t>A.Grikmanis</w:t>
            </w:r>
          </w:p>
          <w:p w14:paraId="4C1E0A2C" w14:textId="3272BEE9" w:rsidR="006B4B83" w:rsidRPr="006C1D97" w:rsidRDefault="006B4B83" w:rsidP="006C1D97">
            <w:pPr>
              <w:spacing w:before="60" w:after="60"/>
              <w:jc w:val="both"/>
              <w:rPr>
                <w:bCs/>
              </w:rPr>
            </w:pPr>
            <w:r w:rsidRPr="006C1D97">
              <w:rPr>
                <w:bCs/>
              </w:rPr>
              <w:t>L.Krūze</w:t>
            </w:r>
          </w:p>
        </w:tc>
        <w:tc>
          <w:tcPr>
            <w:tcW w:w="2835" w:type="dxa"/>
          </w:tcPr>
          <w:p w14:paraId="37792A9A" w14:textId="168F8251" w:rsidR="006B4B83" w:rsidRPr="006C1D97" w:rsidRDefault="006B4B83" w:rsidP="006C1D97">
            <w:pPr>
              <w:spacing w:before="60" w:after="60"/>
              <w:jc w:val="both"/>
              <w:rPr>
                <w:bCs/>
              </w:rPr>
            </w:pPr>
            <w:r w:rsidRPr="006C1D97">
              <w:rPr>
                <w:bCs/>
              </w:rPr>
              <w:t>Precizējumi amata aprakstā</w:t>
            </w:r>
          </w:p>
        </w:tc>
      </w:tr>
      <w:tr w:rsidR="006B4B83" w:rsidRPr="00357208" w14:paraId="6F7C7268" w14:textId="77777777" w:rsidTr="006C1D97">
        <w:tc>
          <w:tcPr>
            <w:tcW w:w="4248" w:type="dxa"/>
            <w:vMerge w:val="restart"/>
          </w:tcPr>
          <w:p w14:paraId="51F6B7EC" w14:textId="10CF9BE5" w:rsidR="006B4B83" w:rsidRPr="006C1D97" w:rsidRDefault="006B4B83" w:rsidP="006C1D97">
            <w:pPr>
              <w:spacing w:before="60" w:after="60"/>
              <w:jc w:val="both"/>
              <w:rPr>
                <w:bCs/>
              </w:rPr>
            </w:pPr>
            <w:r w:rsidRPr="006C1D97">
              <w:rPr>
                <w:bCs/>
              </w:rPr>
              <w:t>2.  Uz izvēlētu laika periodu uzdot darbiniekiem aizpildīt darba laika uzskaites lapas, lai precīzāk izvērtētu nepieciešamo laiku uzdevumu veikšanai, faktiski veiktos uzdevumus un izvērtētu darbinieku efektivitāti.</w:t>
            </w:r>
          </w:p>
        </w:tc>
        <w:tc>
          <w:tcPr>
            <w:tcW w:w="5245" w:type="dxa"/>
          </w:tcPr>
          <w:p w14:paraId="00FABEDE" w14:textId="1250B3F3" w:rsidR="006B4B83" w:rsidRPr="006C1D97" w:rsidRDefault="006B4B83" w:rsidP="006C1D97">
            <w:pPr>
              <w:spacing w:before="60" w:after="60"/>
              <w:jc w:val="both"/>
              <w:rPr>
                <w:bCs/>
              </w:rPr>
            </w:pPr>
            <w:r w:rsidRPr="006C1D97">
              <w:rPr>
                <w:bCs/>
              </w:rPr>
              <w:t>2.1. Ieviest darba laika un izpildīto darbu rezultatīvo rādītāju uzskaites lapu (par pamatu pieņemot BIS koordinatoru 2025. gada novembrī sniegto pārskatu par darbu izpildi (pielikumā)).</w:t>
            </w:r>
          </w:p>
        </w:tc>
        <w:tc>
          <w:tcPr>
            <w:tcW w:w="1417" w:type="dxa"/>
          </w:tcPr>
          <w:p w14:paraId="2E78EDDE" w14:textId="3AD5AFD7" w:rsidR="006B4B83" w:rsidRPr="006C1D97" w:rsidRDefault="006B4B83" w:rsidP="006C1D97">
            <w:pPr>
              <w:spacing w:before="60" w:after="60"/>
              <w:jc w:val="center"/>
              <w:rPr>
                <w:bCs/>
              </w:rPr>
            </w:pPr>
            <w:r w:rsidRPr="006C1D97">
              <w:rPr>
                <w:bCs/>
              </w:rPr>
              <w:t>Marts</w:t>
            </w:r>
          </w:p>
        </w:tc>
        <w:tc>
          <w:tcPr>
            <w:tcW w:w="1985" w:type="dxa"/>
          </w:tcPr>
          <w:p w14:paraId="704A1F5C" w14:textId="0B4FDB00" w:rsidR="006B4B83" w:rsidRPr="006C1D97" w:rsidRDefault="006B4B83" w:rsidP="006C1D97">
            <w:pPr>
              <w:spacing w:before="60" w:after="60"/>
              <w:jc w:val="both"/>
              <w:rPr>
                <w:bCs/>
              </w:rPr>
            </w:pPr>
            <w:r w:rsidRPr="006C1D97">
              <w:rPr>
                <w:bCs/>
              </w:rPr>
              <w:t>A.Grikmanis</w:t>
            </w:r>
          </w:p>
        </w:tc>
        <w:tc>
          <w:tcPr>
            <w:tcW w:w="2835" w:type="dxa"/>
          </w:tcPr>
          <w:p w14:paraId="66A1FD39" w14:textId="77777777" w:rsidR="006B4B83" w:rsidRPr="006C1D97" w:rsidRDefault="006B4B83" w:rsidP="006C1D97">
            <w:pPr>
              <w:spacing w:before="60" w:after="60"/>
              <w:jc w:val="both"/>
              <w:rPr>
                <w:bCs/>
              </w:rPr>
            </w:pPr>
          </w:p>
        </w:tc>
      </w:tr>
      <w:tr w:rsidR="006B4B83" w:rsidRPr="00357208" w14:paraId="26616B41" w14:textId="77777777" w:rsidTr="006C1D97">
        <w:tc>
          <w:tcPr>
            <w:tcW w:w="4248" w:type="dxa"/>
            <w:vMerge/>
          </w:tcPr>
          <w:p w14:paraId="3A000A24" w14:textId="77777777" w:rsidR="006B4B83" w:rsidRPr="006C1D97" w:rsidRDefault="006B4B83" w:rsidP="006C1D97">
            <w:pPr>
              <w:spacing w:before="60" w:after="60"/>
              <w:jc w:val="both"/>
              <w:rPr>
                <w:bCs/>
              </w:rPr>
            </w:pPr>
          </w:p>
        </w:tc>
        <w:tc>
          <w:tcPr>
            <w:tcW w:w="5245" w:type="dxa"/>
          </w:tcPr>
          <w:p w14:paraId="2E91DD2C" w14:textId="323E1349" w:rsidR="006B4B83" w:rsidRPr="006C1D97" w:rsidRDefault="006B4B83" w:rsidP="006C1D97">
            <w:pPr>
              <w:spacing w:before="60" w:after="60"/>
              <w:jc w:val="both"/>
              <w:rPr>
                <w:bCs/>
              </w:rPr>
            </w:pPr>
            <w:r w:rsidRPr="006C1D97">
              <w:rPr>
                <w:bCs/>
              </w:rPr>
              <w:t>2.2. Ieviest klātienes apmeklētāju un ar tālruni vai e-pastu sniegto atbilžu un konsultāciju reģistru.</w:t>
            </w:r>
          </w:p>
        </w:tc>
        <w:tc>
          <w:tcPr>
            <w:tcW w:w="1417" w:type="dxa"/>
          </w:tcPr>
          <w:p w14:paraId="2CDEAF83" w14:textId="6DA614CD" w:rsidR="006B4B83" w:rsidRPr="006C1D97" w:rsidRDefault="006B4B83" w:rsidP="006C1D97">
            <w:pPr>
              <w:spacing w:before="60" w:after="60"/>
              <w:jc w:val="center"/>
              <w:rPr>
                <w:bCs/>
              </w:rPr>
            </w:pPr>
            <w:r w:rsidRPr="006C1D97">
              <w:rPr>
                <w:bCs/>
              </w:rPr>
              <w:t>Aprīlis</w:t>
            </w:r>
          </w:p>
        </w:tc>
        <w:tc>
          <w:tcPr>
            <w:tcW w:w="1985" w:type="dxa"/>
          </w:tcPr>
          <w:p w14:paraId="119143C1" w14:textId="77777777" w:rsidR="006B4B83" w:rsidRPr="006C1D97" w:rsidRDefault="006B4B83" w:rsidP="006C1D97">
            <w:pPr>
              <w:spacing w:before="60" w:after="60"/>
              <w:jc w:val="both"/>
              <w:rPr>
                <w:bCs/>
              </w:rPr>
            </w:pPr>
            <w:r w:rsidRPr="006C1D97">
              <w:rPr>
                <w:bCs/>
              </w:rPr>
              <w:t>A.Grikmanis</w:t>
            </w:r>
          </w:p>
          <w:p w14:paraId="75FFF5D9" w14:textId="0CE0F1CC" w:rsidR="006B4B83" w:rsidRPr="006C1D97" w:rsidRDefault="006B4B83" w:rsidP="006C1D97">
            <w:pPr>
              <w:spacing w:before="60" w:after="60"/>
              <w:jc w:val="both"/>
              <w:rPr>
                <w:bCs/>
              </w:rPr>
            </w:pPr>
            <w:r w:rsidRPr="006C1D97">
              <w:rPr>
                <w:bCs/>
              </w:rPr>
              <w:t>BIS koordinators</w:t>
            </w:r>
          </w:p>
        </w:tc>
        <w:tc>
          <w:tcPr>
            <w:tcW w:w="2835" w:type="dxa"/>
          </w:tcPr>
          <w:p w14:paraId="77878E0C" w14:textId="682C493B" w:rsidR="006B4B83" w:rsidRPr="006C1D97" w:rsidRDefault="006B4B83" w:rsidP="006C1D97">
            <w:pPr>
              <w:spacing w:before="60" w:after="60"/>
              <w:jc w:val="both"/>
              <w:rPr>
                <w:bCs/>
              </w:rPr>
            </w:pPr>
            <w:r w:rsidRPr="006C1D97">
              <w:rPr>
                <w:bCs/>
              </w:rPr>
              <w:t>BIS, Namejs vide</w:t>
            </w:r>
          </w:p>
        </w:tc>
      </w:tr>
      <w:tr w:rsidR="006B4B83" w:rsidRPr="00357208" w14:paraId="30D08FD5" w14:textId="77777777" w:rsidTr="006C1D97">
        <w:tc>
          <w:tcPr>
            <w:tcW w:w="4248" w:type="dxa"/>
            <w:vMerge/>
          </w:tcPr>
          <w:p w14:paraId="7595F886" w14:textId="77777777" w:rsidR="006B4B83" w:rsidRPr="006C1D97" w:rsidRDefault="006B4B83" w:rsidP="006C1D97">
            <w:pPr>
              <w:spacing w:before="60" w:after="60"/>
              <w:jc w:val="both"/>
              <w:rPr>
                <w:bCs/>
              </w:rPr>
            </w:pPr>
          </w:p>
        </w:tc>
        <w:tc>
          <w:tcPr>
            <w:tcW w:w="5245" w:type="dxa"/>
          </w:tcPr>
          <w:p w14:paraId="156C1AFA" w14:textId="6C59C9A3" w:rsidR="006B4B83" w:rsidRPr="006C1D97" w:rsidRDefault="006B4B83" w:rsidP="006C1D97">
            <w:pPr>
              <w:spacing w:before="60" w:after="60"/>
              <w:jc w:val="both"/>
              <w:rPr>
                <w:bCs/>
              </w:rPr>
            </w:pPr>
            <w:r w:rsidRPr="006C1D97">
              <w:rPr>
                <w:bCs/>
              </w:rPr>
              <w:t>2.3. Atkārtoti izvērtēt un sniegt pārskatu par 2.1. un 2.2. uzdevumu izpildi.</w:t>
            </w:r>
          </w:p>
        </w:tc>
        <w:tc>
          <w:tcPr>
            <w:tcW w:w="1417" w:type="dxa"/>
          </w:tcPr>
          <w:p w14:paraId="6F53AAAE" w14:textId="26A2CF90" w:rsidR="006B4B83" w:rsidRPr="006C1D97" w:rsidRDefault="006B4B83" w:rsidP="006C1D97">
            <w:pPr>
              <w:spacing w:before="60" w:after="60"/>
              <w:jc w:val="center"/>
              <w:rPr>
                <w:bCs/>
              </w:rPr>
            </w:pPr>
            <w:r w:rsidRPr="006C1D97">
              <w:rPr>
                <w:bCs/>
              </w:rPr>
              <w:t>Oktobris</w:t>
            </w:r>
          </w:p>
        </w:tc>
        <w:tc>
          <w:tcPr>
            <w:tcW w:w="1985" w:type="dxa"/>
          </w:tcPr>
          <w:p w14:paraId="2CA8D8CE" w14:textId="77777777" w:rsidR="006B4B83" w:rsidRPr="006C1D97" w:rsidRDefault="006B4B83" w:rsidP="006C1D97">
            <w:pPr>
              <w:spacing w:before="60" w:after="60"/>
              <w:jc w:val="both"/>
              <w:rPr>
                <w:bCs/>
              </w:rPr>
            </w:pPr>
            <w:r w:rsidRPr="006C1D97">
              <w:rPr>
                <w:bCs/>
              </w:rPr>
              <w:t>A.Grikmanis</w:t>
            </w:r>
          </w:p>
          <w:p w14:paraId="77C7C873" w14:textId="64922B6E" w:rsidR="006B4B83" w:rsidRPr="006C1D97" w:rsidRDefault="006B4B83" w:rsidP="006C1D97">
            <w:pPr>
              <w:spacing w:before="60" w:after="60"/>
              <w:jc w:val="both"/>
              <w:rPr>
                <w:bCs/>
              </w:rPr>
            </w:pPr>
            <w:r w:rsidRPr="006C1D97">
              <w:rPr>
                <w:bCs/>
              </w:rPr>
              <w:t>L.Krūze</w:t>
            </w:r>
          </w:p>
        </w:tc>
        <w:tc>
          <w:tcPr>
            <w:tcW w:w="2835" w:type="dxa"/>
          </w:tcPr>
          <w:p w14:paraId="4661CBB4" w14:textId="060238F9" w:rsidR="006B4B83" w:rsidRPr="006C1D97" w:rsidRDefault="006B4B83" w:rsidP="006C1D97">
            <w:pPr>
              <w:spacing w:before="60" w:after="60"/>
              <w:jc w:val="both"/>
              <w:rPr>
                <w:bCs/>
              </w:rPr>
            </w:pPr>
            <w:r w:rsidRPr="006C1D97">
              <w:rPr>
                <w:bCs/>
              </w:rPr>
              <w:t>Precizējumi amata aprakstā</w:t>
            </w:r>
          </w:p>
        </w:tc>
      </w:tr>
      <w:tr w:rsidR="00377744" w:rsidRPr="00357208" w14:paraId="3F337B07" w14:textId="77777777" w:rsidTr="006C1D97">
        <w:tc>
          <w:tcPr>
            <w:tcW w:w="4248" w:type="dxa"/>
          </w:tcPr>
          <w:p w14:paraId="6BA6EF2D" w14:textId="1D59C9E3" w:rsidR="00377744" w:rsidRPr="006C1D97" w:rsidRDefault="00377744" w:rsidP="006C1D97">
            <w:pPr>
              <w:spacing w:before="60" w:after="60"/>
              <w:jc w:val="both"/>
              <w:rPr>
                <w:bCs/>
              </w:rPr>
            </w:pPr>
            <w:r w:rsidRPr="006C1D97">
              <w:rPr>
                <w:bCs/>
              </w:rPr>
              <w:t xml:space="preserve">3. </w:t>
            </w:r>
            <w:r w:rsidRPr="006C1D97">
              <w:t>Ieplānot komunikācijas pasākumus ar iedzīvotājiem, izskaidrojot jauno kārtību, t.sk. vai izmaiņas un darbības nepieciešamas saistībā ar jau izsniegtām būvatļaujām.</w:t>
            </w:r>
          </w:p>
        </w:tc>
        <w:tc>
          <w:tcPr>
            <w:tcW w:w="5245" w:type="dxa"/>
          </w:tcPr>
          <w:p w14:paraId="7E3281F6" w14:textId="44C80BB7" w:rsidR="00377744" w:rsidRPr="006C1D97" w:rsidRDefault="00377744" w:rsidP="006C1D97">
            <w:pPr>
              <w:spacing w:before="60" w:after="60"/>
              <w:jc w:val="both"/>
              <w:rPr>
                <w:bCs/>
              </w:rPr>
            </w:pPr>
            <w:r w:rsidRPr="006C1D97">
              <w:rPr>
                <w:bCs/>
              </w:rPr>
              <w:t xml:space="preserve">3.1. Pastāvīgi sabiedrības informēšana izmantojot pašvaldības saziņas rīkus, vismaz 4 publikācijas par esošo kārtību un pieņemtajiem grozījumiem.    </w:t>
            </w:r>
          </w:p>
        </w:tc>
        <w:tc>
          <w:tcPr>
            <w:tcW w:w="1417" w:type="dxa"/>
          </w:tcPr>
          <w:p w14:paraId="72B0BADE" w14:textId="3E2B3900" w:rsidR="00377744" w:rsidRPr="006C1D97" w:rsidRDefault="00377744" w:rsidP="006C1D97">
            <w:pPr>
              <w:spacing w:before="60" w:after="60"/>
              <w:jc w:val="center"/>
              <w:rPr>
                <w:bCs/>
              </w:rPr>
            </w:pPr>
            <w:r w:rsidRPr="006C1D97">
              <w:rPr>
                <w:bCs/>
              </w:rPr>
              <w:t>Februāris - decembris</w:t>
            </w:r>
          </w:p>
        </w:tc>
        <w:tc>
          <w:tcPr>
            <w:tcW w:w="1985" w:type="dxa"/>
          </w:tcPr>
          <w:p w14:paraId="688DE713" w14:textId="77777777" w:rsidR="00377744" w:rsidRPr="006C1D97" w:rsidRDefault="00377744" w:rsidP="006C1D97">
            <w:pPr>
              <w:spacing w:before="60" w:after="60"/>
              <w:jc w:val="both"/>
              <w:rPr>
                <w:bCs/>
              </w:rPr>
            </w:pPr>
            <w:r w:rsidRPr="006C1D97">
              <w:rPr>
                <w:bCs/>
              </w:rPr>
              <w:t>A.Grikmanis</w:t>
            </w:r>
          </w:p>
          <w:p w14:paraId="26E6B6D8" w14:textId="77777777" w:rsidR="00377744" w:rsidRPr="006C1D97" w:rsidRDefault="00377744" w:rsidP="006C1D97">
            <w:pPr>
              <w:spacing w:before="60" w:after="60"/>
              <w:jc w:val="both"/>
              <w:rPr>
                <w:bCs/>
              </w:rPr>
            </w:pPr>
            <w:r w:rsidRPr="006C1D97">
              <w:rPr>
                <w:bCs/>
              </w:rPr>
              <w:t>L.Krūze</w:t>
            </w:r>
          </w:p>
          <w:p w14:paraId="7C01485E" w14:textId="77777777" w:rsidR="00377744" w:rsidRPr="006C1D97" w:rsidRDefault="00377744" w:rsidP="006C1D97">
            <w:pPr>
              <w:spacing w:before="60" w:after="60"/>
              <w:jc w:val="both"/>
              <w:rPr>
                <w:bCs/>
              </w:rPr>
            </w:pPr>
            <w:r w:rsidRPr="006C1D97">
              <w:rPr>
                <w:bCs/>
              </w:rPr>
              <w:t>S.Romanceviča</w:t>
            </w:r>
          </w:p>
          <w:p w14:paraId="00FDC446" w14:textId="58423E6D" w:rsidR="00377744" w:rsidRPr="006C1D97" w:rsidRDefault="00377744" w:rsidP="006C1D97">
            <w:pPr>
              <w:spacing w:before="60" w:after="60"/>
              <w:jc w:val="both"/>
              <w:rPr>
                <w:bCs/>
              </w:rPr>
            </w:pPr>
            <w:r w:rsidRPr="006C1D97">
              <w:rPr>
                <w:bCs/>
              </w:rPr>
              <w:t>L.Pavlovska</w:t>
            </w:r>
          </w:p>
        </w:tc>
        <w:tc>
          <w:tcPr>
            <w:tcW w:w="2835" w:type="dxa"/>
          </w:tcPr>
          <w:p w14:paraId="0061B43E" w14:textId="77777777" w:rsidR="00377744" w:rsidRPr="006C1D97" w:rsidRDefault="00377744" w:rsidP="006C1D97">
            <w:pPr>
              <w:spacing w:before="60" w:after="60"/>
              <w:jc w:val="both"/>
              <w:rPr>
                <w:bCs/>
              </w:rPr>
            </w:pPr>
            <w:r w:rsidRPr="006C1D97">
              <w:rPr>
                <w:bCs/>
              </w:rPr>
              <w:t>Būvvaldes ieskatā ietekme ir vidēja vai augsta</w:t>
            </w:r>
          </w:p>
          <w:p w14:paraId="225F5B04" w14:textId="77777777" w:rsidR="00377744" w:rsidRPr="006C1D97" w:rsidRDefault="00377744" w:rsidP="006C1D97">
            <w:pPr>
              <w:spacing w:before="60" w:after="60"/>
              <w:jc w:val="both"/>
              <w:rPr>
                <w:bCs/>
              </w:rPr>
            </w:pPr>
          </w:p>
        </w:tc>
      </w:tr>
      <w:tr w:rsidR="00C277F2" w:rsidRPr="00357208" w14:paraId="494676C7" w14:textId="77777777" w:rsidTr="006C1D97">
        <w:tc>
          <w:tcPr>
            <w:tcW w:w="4248" w:type="dxa"/>
            <w:vMerge w:val="restart"/>
          </w:tcPr>
          <w:p w14:paraId="3142035D" w14:textId="24D599B7" w:rsidR="00C277F2" w:rsidRPr="00C277F2" w:rsidRDefault="00C277F2" w:rsidP="006C1D97">
            <w:pPr>
              <w:spacing w:before="60" w:after="60"/>
              <w:jc w:val="both"/>
            </w:pPr>
            <w:r w:rsidRPr="006C1D97">
              <w:rPr>
                <w:bCs/>
              </w:rPr>
              <w:t xml:space="preserve">4. </w:t>
            </w:r>
            <w:r w:rsidRPr="006C1D97">
              <w:rPr>
                <w:lang w:eastAsia="en-GB"/>
              </w:rPr>
              <w:t>Noteikt pašvaldības iekšējā normatīvā regulējumā, kad gadījumos, ja būves īpašnieks nepil</w:t>
            </w:r>
            <w:r>
              <w:rPr>
                <w:lang w:eastAsia="en-GB"/>
              </w:rPr>
              <w:t>d</w:t>
            </w:r>
            <w:r w:rsidRPr="006C1D97">
              <w:rPr>
                <w:lang w:eastAsia="en-GB"/>
              </w:rPr>
              <w:t xml:space="preserve">a Būvvaldes noteiktās </w:t>
            </w:r>
            <w:r w:rsidRPr="006C1D97">
              <w:rPr>
                <w:lang w:eastAsia="en-GB"/>
              </w:rPr>
              <w:lastRenderedPageBreak/>
              <w:t>darbības un neievēro termiņus, tālāko komunikāciju ar būves īpašnieku pārņem Juridiskā un iepirkumu nodaļa.</w:t>
            </w:r>
          </w:p>
        </w:tc>
        <w:tc>
          <w:tcPr>
            <w:tcW w:w="5245" w:type="dxa"/>
          </w:tcPr>
          <w:p w14:paraId="4C87DE14" w14:textId="4EFB4965" w:rsidR="00C277F2" w:rsidRPr="006C1D97" w:rsidRDefault="00791A1E" w:rsidP="006C1D97">
            <w:pPr>
              <w:spacing w:before="60" w:after="60"/>
              <w:jc w:val="both"/>
              <w:rPr>
                <w:bCs/>
              </w:rPr>
            </w:pPr>
            <w:r>
              <w:rPr>
                <w:bCs/>
              </w:rPr>
              <w:lastRenderedPageBreak/>
              <w:t xml:space="preserve">4.1. </w:t>
            </w:r>
            <w:r w:rsidRPr="00791A1E">
              <w:rPr>
                <w:bCs/>
              </w:rPr>
              <w:t>Paredzēt sabiedrības informēšanas pasākumus par darbībām, kas vērstas uz graustu likvidēšanu vai samazināšanu.</w:t>
            </w:r>
          </w:p>
        </w:tc>
        <w:tc>
          <w:tcPr>
            <w:tcW w:w="1417" w:type="dxa"/>
          </w:tcPr>
          <w:p w14:paraId="5EBDD26F" w14:textId="77777777" w:rsidR="0064000D" w:rsidRPr="006C1D97" w:rsidRDefault="0064000D">
            <w:pPr>
              <w:spacing w:before="60" w:after="60"/>
              <w:jc w:val="center"/>
              <w:rPr>
                <w:bCs/>
              </w:rPr>
            </w:pPr>
            <w:r w:rsidRPr="006C1D97">
              <w:rPr>
                <w:bCs/>
              </w:rPr>
              <w:t>Februāris</w:t>
            </w:r>
          </w:p>
          <w:p w14:paraId="135F7032" w14:textId="2A075FD1" w:rsidR="00C277F2" w:rsidRPr="006C1D97" w:rsidRDefault="0064000D" w:rsidP="006C1D97">
            <w:pPr>
              <w:spacing w:before="60" w:after="60"/>
              <w:jc w:val="center"/>
              <w:rPr>
                <w:bCs/>
                <w:highlight w:val="yellow"/>
              </w:rPr>
            </w:pPr>
            <w:r w:rsidRPr="006C1D97">
              <w:rPr>
                <w:bCs/>
              </w:rPr>
              <w:t>D</w:t>
            </w:r>
            <w:r w:rsidR="00937259" w:rsidRPr="006C1D97">
              <w:rPr>
                <w:bCs/>
              </w:rPr>
              <w:t>e</w:t>
            </w:r>
            <w:r w:rsidRPr="006C1D97">
              <w:rPr>
                <w:bCs/>
              </w:rPr>
              <w:t>cembris</w:t>
            </w:r>
          </w:p>
        </w:tc>
        <w:tc>
          <w:tcPr>
            <w:tcW w:w="1985" w:type="dxa"/>
          </w:tcPr>
          <w:p w14:paraId="4F5FFA37" w14:textId="77F39549" w:rsidR="00C277F2" w:rsidRPr="006C1D97" w:rsidRDefault="00937259" w:rsidP="006C1D97">
            <w:pPr>
              <w:spacing w:before="60" w:after="60"/>
              <w:jc w:val="both"/>
              <w:rPr>
                <w:bCs/>
                <w:highlight w:val="yellow"/>
              </w:rPr>
            </w:pPr>
            <w:r w:rsidRPr="000D0C26">
              <w:rPr>
                <w:bCs/>
              </w:rPr>
              <w:t>A.Grikmanis</w:t>
            </w:r>
          </w:p>
        </w:tc>
        <w:tc>
          <w:tcPr>
            <w:tcW w:w="2835" w:type="dxa"/>
          </w:tcPr>
          <w:p w14:paraId="300EF7D5" w14:textId="56B312D8" w:rsidR="00C277F2" w:rsidRPr="006C1D97" w:rsidRDefault="00C277F2" w:rsidP="006C1D97">
            <w:pPr>
              <w:spacing w:before="60" w:after="60"/>
              <w:jc w:val="both"/>
              <w:rPr>
                <w:bCs/>
                <w:highlight w:val="yellow"/>
              </w:rPr>
            </w:pPr>
          </w:p>
        </w:tc>
      </w:tr>
      <w:tr w:rsidR="00C277F2" w:rsidRPr="00357208" w14:paraId="6C08C07A" w14:textId="77777777" w:rsidTr="006C1D97">
        <w:tc>
          <w:tcPr>
            <w:tcW w:w="4248" w:type="dxa"/>
            <w:vMerge/>
          </w:tcPr>
          <w:p w14:paraId="73ABAA53" w14:textId="77777777" w:rsidR="00C277F2" w:rsidRPr="006C1D97" w:rsidRDefault="00C277F2" w:rsidP="006C1D97">
            <w:pPr>
              <w:spacing w:before="60" w:after="60"/>
              <w:jc w:val="both"/>
              <w:rPr>
                <w:bCs/>
              </w:rPr>
            </w:pPr>
          </w:p>
        </w:tc>
        <w:tc>
          <w:tcPr>
            <w:tcW w:w="5245" w:type="dxa"/>
          </w:tcPr>
          <w:p w14:paraId="3647286F" w14:textId="4FC07D29" w:rsidR="00791A1E" w:rsidRDefault="00791A1E" w:rsidP="00791A1E">
            <w:pPr>
              <w:spacing w:before="60" w:after="60"/>
            </w:pPr>
            <w:r>
              <w:t xml:space="preserve">4.2. Būvniecības likuma 7. panta pirmās daļas 2. punkta izpratnē, likuma izpildei vietējā pašvaldība un tās izveidotā būvvalde pieņem lēmumus par turpmāko rīcību ar tās teritorijā esošām būvēm, kuras ir pilnīgi vai daļēji sagruvušas vai nonākušas tādā stāvoklī, ka to lietošana ir bīstama vai tās bojā ainavu. </w:t>
            </w:r>
          </w:p>
          <w:p w14:paraId="1BB216C9" w14:textId="2A2C9AC6" w:rsidR="00FF6D81" w:rsidRPr="006C1D97" w:rsidRDefault="00791A1E" w:rsidP="00791A1E">
            <w:pPr>
              <w:spacing w:before="60" w:after="60"/>
              <w:jc w:val="both"/>
              <w:rPr>
                <w:bCs/>
              </w:rPr>
            </w:pPr>
            <w:r>
              <w:t xml:space="preserve">Atbilstoši šī likuma 21. panta devītajai un desmitajai daļai būvvalde ir tā iestāde, kura var veikt Būvniecības likumā un Administratīvā procesa likumā noteiktās izpildiestādes darbības būvvaldes lēmuma piespiedu izpildei. Tādējādi šādas darbības nevar nodeleģēt Juridiskajai un iepirkumu nodaļai. Gadījumos, kad ir nepieciešama domes iesaiste kāda lēmuma pieņemšanā (piem. aizvietotājizpildei nepieciešami finanšu līdzekļi), domes lēmumprojekta gatavošanā iesaistās arī Nekustamā īpašuma nodaļa, Juridiskā un iepirkumu nodaļa un pašvaldības aģentūra “Carnikavas komunālserviss”. Atsevišķa regulējuma noteikšana ar iekšēju normatīvo aktu nav nepieciešama, jo domes lēmumprojektu gatavošanas pienākums ir šo institūciju darba reglamentos/nolikumos atbilstoši kompetencei. Savukārt sarežģītās piespiedu izpildes situācijās (kopīpašums, maksātnespēja, bezīpašnieka manta) Juridiskā un iepirkumu nodaļa sniedz juridisku atbalstu citai iestādei (Būvvaldei), kas noteikts darba reglamentā un atsevišķs iekšējais normatīvais akts nav jāizdod. </w:t>
            </w:r>
          </w:p>
        </w:tc>
        <w:tc>
          <w:tcPr>
            <w:tcW w:w="1417" w:type="dxa"/>
          </w:tcPr>
          <w:p w14:paraId="1A20CE66" w14:textId="5E8156E1" w:rsidR="00C277F2" w:rsidRPr="006C1D97" w:rsidRDefault="00C277F2" w:rsidP="006C1D97">
            <w:pPr>
              <w:spacing w:before="60" w:after="60"/>
              <w:jc w:val="center"/>
            </w:pPr>
            <w:r w:rsidRPr="006C1D97">
              <w:t>Maijs</w:t>
            </w:r>
          </w:p>
        </w:tc>
        <w:tc>
          <w:tcPr>
            <w:tcW w:w="1985" w:type="dxa"/>
          </w:tcPr>
          <w:p w14:paraId="33DB39C4" w14:textId="77777777" w:rsidR="00AC1831" w:rsidRPr="000D0C26" w:rsidRDefault="00AC1831">
            <w:pPr>
              <w:spacing w:before="60" w:after="60"/>
              <w:jc w:val="both"/>
              <w:rPr>
                <w:bCs/>
              </w:rPr>
            </w:pPr>
            <w:r w:rsidRPr="000D0C26">
              <w:rPr>
                <w:bCs/>
              </w:rPr>
              <w:t>A.Grikmanis</w:t>
            </w:r>
          </w:p>
          <w:p w14:paraId="29439BA1" w14:textId="77777777" w:rsidR="00AC1831" w:rsidRPr="000D0C26" w:rsidRDefault="00AC1831">
            <w:pPr>
              <w:spacing w:before="60" w:after="60"/>
              <w:jc w:val="both"/>
              <w:rPr>
                <w:bCs/>
              </w:rPr>
            </w:pPr>
            <w:r w:rsidRPr="000D0C26">
              <w:rPr>
                <w:bCs/>
              </w:rPr>
              <w:t>L.Krūze</w:t>
            </w:r>
          </w:p>
          <w:p w14:paraId="779AED6D" w14:textId="2EE6D617" w:rsidR="00C277F2" w:rsidRPr="006C1D97" w:rsidRDefault="00C277F2" w:rsidP="006C1D97">
            <w:pPr>
              <w:spacing w:before="60" w:after="60"/>
              <w:jc w:val="both"/>
              <w:rPr>
                <w:bCs/>
                <w:highlight w:val="yellow"/>
              </w:rPr>
            </w:pPr>
          </w:p>
        </w:tc>
        <w:tc>
          <w:tcPr>
            <w:tcW w:w="2835" w:type="dxa"/>
          </w:tcPr>
          <w:p w14:paraId="0D936EA7" w14:textId="68B0003A" w:rsidR="00C277F2" w:rsidRPr="006C1D97" w:rsidRDefault="00C277F2" w:rsidP="006C1D97">
            <w:pPr>
              <w:spacing w:before="60" w:after="60"/>
              <w:jc w:val="both"/>
              <w:rPr>
                <w:bCs/>
                <w:highlight w:val="yellow"/>
              </w:rPr>
            </w:pPr>
          </w:p>
        </w:tc>
      </w:tr>
      <w:tr w:rsidR="00377744" w:rsidRPr="00357208" w14:paraId="4FEE038B" w14:textId="77777777" w:rsidTr="006C1D97">
        <w:tc>
          <w:tcPr>
            <w:tcW w:w="4248" w:type="dxa"/>
            <w:vMerge w:val="restart"/>
          </w:tcPr>
          <w:p w14:paraId="508DF385" w14:textId="4783A6AF" w:rsidR="00377744" w:rsidRPr="006C1D97" w:rsidRDefault="00377744" w:rsidP="006C1D97">
            <w:pPr>
              <w:spacing w:before="60" w:after="60"/>
              <w:jc w:val="both"/>
              <w:rPr>
                <w:bCs/>
              </w:rPr>
            </w:pPr>
            <w:r w:rsidRPr="006C1D97">
              <w:t xml:space="preserve">5. Izmantot BIS funkcionalitāti katra būvobjekta riska novērtēšanai. Ja nav iespējams izmantot automatizācijas </w:t>
            </w:r>
            <w:r w:rsidRPr="006C1D97">
              <w:lastRenderedPageBreak/>
              <w:t>iespējas, piemērot vienkāršoto risku novērtējumu atsevišķām būvobjektu grupām manuāli.</w:t>
            </w:r>
            <w:r w:rsidRPr="00C277F2">
              <w:t xml:space="preserve"> </w:t>
            </w:r>
            <w:r w:rsidRPr="006C1D97">
              <w:t>Izmantot Būvvaldes rīcībā uzkrāto informāciju par biežākajiem pārkāpumiem būvniecības procesā un iedzīvotāju sūdzībām, veidot pašvaldības iedzīvotāju informatīvos pasākumus, kā arī publicēt informāciju interneta vietnē. Plānot un veikt tematiskās būvniecības procesa pārbaudes riskantākajās jomās.</w:t>
            </w:r>
          </w:p>
        </w:tc>
        <w:tc>
          <w:tcPr>
            <w:tcW w:w="5245" w:type="dxa"/>
          </w:tcPr>
          <w:p w14:paraId="70C4185F" w14:textId="4EDCC090" w:rsidR="00377744" w:rsidRPr="006C1D97" w:rsidRDefault="00377744" w:rsidP="006C1D97">
            <w:pPr>
              <w:spacing w:before="60" w:after="60"/>
              <w:jc w:val="both"/>
            </w:pPr>
            <w:r w:rsidRPr="006C1D97">
              <w:rPr>
                <w:bCs/>
              </w:rPr>
              <w:lastRenderedPageBreak/>
              <w:t>5.1. Izmantot BIS piedāvāto funkcionalitāti.</w:t>
            </w:r>
          </w:p>
        </w:tc>
        <w:tc>
          <w:tcPr>
            <w:tcW w:w="1417" w:type="dxa"/>
          </w:tcPr>
          <w:p w14:paraId="2DE7DEC3" w14:textId="3607FC62" w:rsidR="00377744" w:rsidRPr="006C1D97" w:rsidRDefault="00377744" w:rsidP="006C1D97">
            <w:pPr>
              <w:spacing w:before="60" w:after="60"/>
              <w:jc w:val="center"/>
            </w:pPr>
            <w:r w:rsidRPr="006C1D97">
              <w:rPr>
                <w:bCs/>
              </w:rPr>
              <w:t>Februāris</w:t>
            </w:r>
          </w:p>
        </w:tc>
        <w:tc>
          <w:tcPr>
            <w:tcW w:w="1985" w:type="dxa"/>
          </w:tcPr>
          <w:p w14:paraId="02870851" w14:textId="77777777" w:rsidR="00377744" w:rsidRPr="006C1D97" w:rsidRDefault="00377744" w:rsidP="006C1D97">
            <w:pPr>
              <w:spacing w:before="60" w:after="60"/>
              <w:jc w:val="both"/>
              <w:rPr>
                <w:bCs/>
              </w:rPr>
            </w:pPr>
            <w:r w:rsidRPr="006C1D97">
              <w:rPr>
                <w:bCs/>
              </w:rPr>
              <w:t>A.Grikmanis</w:t>
            </w:r>
          </w:p>
          <w:p w14:paraId="1156B4CB" w14:textId="77777777" w:rsidR="00377744" w:rsidRPr="006C1D97" w:rsidRDefault="00377744" w:rsidP="006C1D97">
            <w:pPr>
              <w:spacing w:before="60" w:after="60"/>
              <w:jc w:val="both"/>
              <w:rPr>
                <w:bCs/>
              </w:rPr>
            </w:pPr>
            <w:r w:rsidRPr="006C1D97">
              <w:rPr>
                <w:bCs/>
              </w:rPr>
              <w:t>S.Romanceviča</w:t>
            </w:r>
          </w:p>
          <w:p w14:paraId="3359A832" w14:textId="46627E0C" w:rsidR="00377744" w:rsidRPr="006C1D97" w:rsidRDefault="00377744" w:rsidP="006C1D97">
            <w:pPr>
              <w:spacing w:before="60" w:after="60"/>
              <w:jc w:val="both"/>
              <w:rPr>
                <w:bCs/>
              </w:rPr>
            </w:pPr>
            <w:r w:rsidRPr="006C1D97">
              <w:rPr>
                <w:bCs/>
              </w:rPr>
              <w:t>L.Pavlovska</w:t>
            </w:r>
          </w:p>
        </w:tc>
        <w:tc>
          <w:tcPr>
            <w:tcW w:w="2835" w:type="dxa"/>
          </w:tcPr>
          <w:p w14:paraId="11965956" w14:textId="4B8A6E51" w:rsidR="00377744" w:rsidRPr="006C1D97" w:rsidRDefault="00377744" w:rsidP="006C1D97">
            <w:pPr>
              <w:spacing w:before="60" w:after="60"/>
              <w:jc w:val="both"/>
              <w:rPr>
                <w:bCs/>
              </w:rPr>
            </w:pPr>
            <w:r w:rsidRPr="006C1D97">
              <w:rPr>
                <w:bCs/>
              </w:rPr>
              <w:t>BIS vide</w:t>
            </w:r>
          </w:p>
        </w:tc>
      </w:tr>
      <w:tr w:rsidR="00377744" w:rsidRPr="00357208" w14:paraId="228F3374" w14:textId="77777777" w:rsidTr="006C1D97">
        <w:tc>
          <w:tcPr>
            <w:tcW w:w="4248" w:type="dxa"/>
            <w:vMerge/>
          </w:tcPr>
          <w:p w14:paraId="3BDF6124" w14:textId="77777777" w:rsidR="00377744" w:rsidRPr="006C1D97" w:rsidRDefault="00377744" w:rsidP="006C1D97">
            <w:pPr>
              <w:spacing w:before="60" w:after="60"/>
              <w:jc w:val="both"/>
              <w:rPr>
                <w:bCs/>
              </w:rPr>
            </w:pPr>
          </w:p>
        </w:tc>
        <w:tc>
          <w:tcPr>
            <w:tcW w:w="5245" w:type="dxa"/>
          </w:tcPr>
          <w:p w14:paraId="039E7879" w14:textId="7B374C41" w:rsidR="00377744" w:rsidRPr="006C1D97" w:rsidRDefault="00377744" w:rsidP="006C1D97">
            <w:pPr>
              <w:spacing w:before="60" w:after="60"/>
              <w:jc w:val="both"/>
            </w:pPr>
            <w:r w:rsidRPr="006C1D97">
              <w:rPr>
                <w:bCs/>
              </w:rPr>
              <w:t>5.2. Piemērot vienkāršoto risku novērtējumu atsevišķām būvobjektu grupām manuāli.</w:t>
            </w:r>
          </w:p>
        </w:tc>
        <w:tc>
          <w:tcPr>
            <w:tcW w:w="1417" w:type="dxa"/>
          </w:tcPr>
          <w:p w14:paraId="3BB69F5C" w14:textId="77777777" w:rsidR="00377744" w:rsidRPr="006C1D97" w:rsidRDefault="00377744" w:rsidP="006C1D97">
            <w:pPr>
              <w:spacing w:before="60" w:after="60"/>
              <w:jc w:val="center"/>
              <w:rPr>
                <w:bCs/>
              </w:rPr>
            </w:pPr>
            <w:r w:rsidRPr="006C1D97">
              <w:rPr>
                <w:bCs/>
              </w:rPr>
              <w:t>Aprīlis</w:t>
            </w:r>
          </w:p>
          <w:p w14:paraId="71807DFD" w14:textId="3C0D7426" w:rsidR="00377744" w:rsidRPr="006C1D97" w:rsidRDefault="00377744" w:rsidP="006C1D97">
            <w:pPr>
              <w:spacing w:before="60" w:after="60"/>
              <w:jc w:val="center"/>
            </w:pPr>
          </w:p>
        </w:tc>
        <w:tc>
          <w:tcPr>
            <w:tcW w:w="1985" w:type="dxa"/>
          </w:tcPr>
          <w:p w14:paraId="402BD975" w14:textId="77777777" w:rsidR="00377744" w:rsidRPr="006C1D97" w:rsidRDefault="00377744" w:rsidP="006C1D97">
            <w:pPr>
              <w:spacing w:before="60" w:after="60"/>
              <w:jc w:val="both"/>
              <w:rPr>
                <w:bCs/>
              </w:rPr>
            </w:pPr>
            <w:r w:rsidRPr="006C1D97">
              <w:rPr>
                <w:bCs/>
              </w:rPr>
              <w:t>A.Grikmanis</w:t>
            </w:r>
          </w:p>
          <w:p w14:paraId="696E506A" w14:textId="6D42407B" w:rsidR="00377744" w:rsidRPr="006C1D97" w:rsidRDefault="00377744" w:rsidP="006C1D97">
            <w:pPr>
              <w:spacing w:before="60" w:after="60"/>
              <w:jc w:val="both"/>
              <w:rPr>
                <w:bCs/>
              </w:rPr>
            </w:pPr>
            <w:r w:rsidRPr="006C1D97">
              <w:rPr>
                <w:bCs/>
              </w:rPr>
              <w:t>BIS koordinators</w:t>
            </w:r>
          </w:p>
        </w:tc>
        <w:tc>
          <w:tcPr>
            <w:tcW w:w="2835" w:type="dxa"/>
          </w:tcPr>
          <w:p w14:paraId="480FD5F0" w14:textId="21B0ACDD" w:rsidR="00377744" w:rsidRPr="006C1D97" w:rsidRDefault="00377744" w:rsidP="006C1D97">
            <w:pPr>
              <w:spacing w:before="60" w:after="60"/>
              <w:jc w:val="both"/>
              <w:rPr>
                <w:bCs/>
              </w:rPr>
            </w:pPr>
            <w:r w:rsidRPr="006C1D97">
              <w:rPr>
                <w:bCs/>
              </w:rPr>
              <w:t>BIS, Namejs vide</w:t>
            </w:r>
          </w:p>
        </w:tc>
      </w:tr>
      <w:tr w:rsidR="00377744" w:rsidRPr="00357208" w14:paraId="3632BF92" w14:textId="77777777" w:rsidTr="006C1D97">
        <w:tc>
          <w:tcPr>
            <w:tcW w:w="4248" w:type="dxa"/>
            <w:vMerge/>
          </w:tcPr>
          <w:p w14:paraId="74F4AD8B" w14:textId="77777777" w:rsidR="00377744" w:rsidRPr="006C1D97" w:rsidRDefault="00377744" w:rsidP="006C1D97">
            <w:pPr>
              <w:spacing w:before="60" w:after="60"/>
              <w:jc w:val="both"/>
              <w:rPr>
                <w:bCs/>
              </w:rPr>
            </w:pPr>
          </w:p>
        </w:tc>
        <w:tc>
          <w:tcPr>
            <w:tcW w:w="5245" w:type="dxa"/>
          </w:tcPr>
          <w:p w14:paraId="69B2A0CF" w14:textId="36667A9F" w:rsidR="00377744" w:rsidRPr="006C1D97" w:rsidRDefault="00377744" w:rsidP="006C1D97">
            <w:pPr>
              <w:spacing w:before="60" w:after="60"/>
              <w:jc w:val="both"/>
              <w:rPr>
                <w:bCs/>
              </w:rPr>
            </w:pPr>
            <w:r w:rsidRPr="006C1D97">
              <w:rPr>
                <w:bCs/>
              </w:rPr>
              <w:t>5.3. Izmantot Būvvaldes rīcībā uzkrāto informāciju par biežākajiem pārkāpumiem būvniecības procesā un iedzīvotāju sūdzībām,</w:t>
            </w:r>
          </w:p>
        </w:tc>
        <w:tc>
          <w:tcPr>
            <w:tcW w:w="1417" w:type="dxa"/>
          </w:tcPr>
          <w:p w14:paraId="039B490F" w14:textId="77777777" w:rsidR="00377744" w:rsidRPr="006C1D97" w:rsidRDefault="00377744" w:rsidP="006C1D97">
            <w:pPr>
              <w:spacing w:before="60" w:after="60"/>
              <w:jc w:val="center"/>
              <w:rPr>
                <w:bCs/>
              </w:rPr>
            </w:pPr>
            <w:r w:rsidRPr="006C1D97">
              <w:rPr>
                <w:bCs/>
              </w:rPr>
              <w:t>Maijs</w:t>
            </w:r>
          </w:p>
          <w:p w14:paraId="04D01406" w14:textId="6E52B3BE" w:rsidR="00377744" w:rsidRPr="006C1D97" w:rsidRDefault="00377744" w:rsidP="006C1D97">
            <w:pPr>
              <w:spacing w:before="60" w:after="60"/>
              <w:jc w:val="center"/>
              <w:rPr>
                <w:bCs/>
              </w:rPr>
            </w:pPr>
          </w:p>
        </w:tc>
        <w:tc>
          <w:tcPr>
            <w:tcW w:w="1985" w:type="dxa"/>
          </w:tcPr>
          <w:p w14:paraId="1AD9B410" w14:textId="77777777" w:rsidR="00377744" w:rsidRPr="006C1D97" w:rsidRDefault="00377744" w:rsidP="006C1D97">
            <w:pPr>
              <w:spacing w:before="60" w:after="60"/>
              <w:jc w:val="both"/>
              <w:rPr>
                <w:bCs/>
              </w:rPr>
            </w:pPr>
            <w:r w:rsidRPr="006C1D97">
              <w:rPr>
                <w:bCs/>
              </w:rPr>
              <w:t>A.Grikmanis</w:t>
            </w:r>
          </w:p>
          <w:p w14:paraId="3D9CD018" w14:textId="2CDD82AF" w:rsidR="00377744" w:rsidRPr="006C1D97" w:rsidRDefault="00377744" w:rsidP="006C1D97">
            <w:pPr>
              <w:spacing w:before="60" w:after="60"/>
              <w:jc w:val="both"/>
              <w:rPr>
                <w:bCs/>
              </w:rPr>
            </w:pPr>
            <w:r w:rsidRPr="006C1D97">
              <w:rPr>
                <w:bCs/>
              </w:rPr>
              <w:t>L.Krūze</w:t>
            </w:r>
          </w:p>
        </w:tc>
        <w:tc>
          <w:tcPr>
            <w:tcW w:w="2835" w:type="dxa"/>
          </w:tcPr>
          <w:p w14:paraId="43E7FF1C" w14:textId="77777777" w:rsidR="00377744" w:rsidRPr="006C1D97" w:rsidRDefault="00377744" w:rsidP="006C1D97">
            <w:pPr>
              <w:spacing w:before="60" w:after="60"/>
              <w:jc w:val="both"/>
              <w:rPr>
                <w:bCs/>
              </w:rPr>
            </w:pPr>
          </w:p>
        </w:tc>
      </w:tr>
      <w:tr w:rsidR="00377744" w:rsidRPr="00357208" w14:paraId="293635B3" w14:textId="77777777" w:rsidTr="006C1D97">
        <w:tc>
          <w:tcPr>
            <w:tcW w:w="4248" w:type="dxa"/>
            <w:vMerge/>
          </w:tcPr>
          <w:p w14:paraId="6DBEBC83" w14:textId="77777777" w:rsidR="00377744" w:rsidRPr="006C1D97" w:rsidRDefault="00377744" w:rsidP="006C1D97">
            <w:pPr>
              <w:spacing w:before="60" w:after="60"/>
              <w:jc w:val="both"/>
              <w:rPr>
                <w:bCs/>
              </w:rPr>
            </w:pPr>
          </w:p>
        </w:tc>
        <w:tc>
          <w:tcPr>
            <w:tcW w:w="5245" w:type="dxa"/>
          </w:tcPr>
          <w:p w14:paraId="4952D717" w14:textId="6FAC6D30" w:rsidR="00377744" w:rsidRPr="006C1D97" w:rsidRDefault="00377744" w:rsidP="00791A1E">
            <w:pPr>
              <w:spacing w:before="60" w:after="60"/>
              <w:jc w:val="both"/>
              <w:rPr>
                <w:bCs/>
              </w:rPr>
            </w:pPr>
            <w:r w:rsidRPr="006C1D97">
              <w:rPr>
                <w:bCs/>
              </w:rPr>
              <w:t xml:space="preserve">5.4. </w:t>
            </w:r>
            <w:r w:rsidR="00791A1E" w:rsidRPr="00791A1E">
              <w:rPr>
                <w:bCs/>
              </w:rPr>
              <w:t xml:space="preserve">Ieviest MI risinājumus </w:t>
            </w:r>
            <w:r w:rsidR="00791A1E">
              <w:rPr>
                <w:bCs/>
              </w:rPr>
              <w:t>(</w:t>
            </w:r>
            <w:r w:rsidR="00791A1E" w:rsidRPr="00791A1E">
              <w:rPr>
                <w:bCs/>
              </w:rPr>
              <w:t>izmantojot pašvaldībā iegādātu ArcGis Pro lietotni</w:t>
            </w:r>
            <w:r w:rsidR="00791A1E">
              <w:rPr>
                <w:bCs/>
              </w:rPr>
              <w:t xml:space="preserve">) </w:t>
            </w:r>
            <w:r w:rsidR="00791A1E" w:rsidRPr="00791A1E">
              <w:rPr>
                <w:bCs/>
              </w:rPr>
              <w:t>ne tikai pārbaužu veikšanai, bet arī pakalpojumu</w:t>
            </w:r>
            <w:r w:rsidR="00852BAD">
              <w:rPr>
                <w:bCs/>
              </w:rPr>
              <w:t xml:space="preserve"> piem. izziņa</w:t>
            </w:r>
            <w:r w:rsidR="00F80B8D">
              <w:rPr>
                <w:bCs/>
              </w:rPr>
              <w:t>s</w:t>
            </w:r>
            <w:r w:rsidR="00852BAD">
              <w:rPr>
                <w:bCs/>
              </w:rPr>
              <w:t xml:space="preserve"> par jaunbūvi, izziņa</w:t>
            </w:r>
            <w:r w:rsidR="00F80B8D">
              <w:rPr>
                <w:bCs/>
              </w:rPr>
              <w:t>s</w:t>
            </w:r>
            <w:r w:rsidR="00852BAD">
              <w:rPr>
                <w:bCs/>
              </w:rPr>
              <w:t xml:space="preserve"> par būves dabā neesību, u.c. veida informācijas </w:t>
            </w:r>
            <w:r w:rsidR="00791A1E" w:rsidRPr="00791A1E">
              <w:rPr>
                <w:bCs/>
              </w:rPr>
              <w:t>sniegšanai</w:t>
            </w:r>
            <w:r w:rsidR="00852BAD">
              <w:rPr>
                <w:bCs/>
              </w:rPr>
              <w:t xml:space="preserve"> un</w:t>
            </w:r>
            <w:r w:rsidR="00791A1E" w:rsidRPr="00791A1E">
              <w:rPr>
                <w:bCs/>
              </w:rPr>
              <w:t xml:space="preserve"> sarakstes organizēšanai.</w:t>
            </w:r>
          </w:p>
        </w:tc>
        <w:tc>
          <w:tcPr>
            <w:tcW w:w="1417" w:type="dxa"/>
          </w:tcPr>
          <w:p w14:paraId="393E659A" w14:textId="77777777" w:rsidR="00852BAD" w:rsidRDefault="00852BAD" w:rsidP="006C1D97">
            <w:pPr>
              <w:spacing w:before="60" w:after="60"/>
              <w:jc w:val="center"/>
              <w:rPr>
                <w:bCs/>
              </w:rPr>
            </w:pPr>
            <w:r>
              <w:rPr>
                <w:bCs/>
              </w:rPr>
              <w:t>Februāris</w:t>
            </w:r>
          </w:p>
          <w:p w14:paraId="0A125D9B" w14:textId="0ABABF02" w:rsidR="00377744" w:rsidRPr="006C1D97" w:rsidRDefault="00377744" w:rsidP="006C1D97">
            <w:pPr>
              <w:spacing w:before="60" w:after="60"/>
              <w:jc w:val="center"/>
              <w:rPr>
                <w:bCs/>
              </w:rPr>
            </w:pPr>
            <w:r w:rsidRPr="006C1D97">
              <w:rPr>
                <w:bCs/>
              </w:rPr>
              <w:t>Oktobris</w:t>
            </w:r>
          </w:p>
        </w:tc>
        <w:tc>
          <w:tcPr>
            <w:tcW w:w="1985" w:type="dxa"/>
          </w:tcPr>
          <w:p w14:paraId="69D70CA4" w14:textId="77777777" w:rsidR="00377744" w:rsidRDefault="00377744" w:rsidP="006C1D97">
            <w:pPr>
              <w:spacing w:before="60" w:after="60"/>
              <w:jc w:val="both"/>
              <w:rPr>
                <w:bCs/>
              </w:rPr>
            </w:pPr>
            <w:r w:rsidRPr="006C1D97">
              <w:rPr>
                <w:bCs/>
              </w:rPr>
              <w:t>A.Grikmanis</w:t>
            </w:r>
          </w:p>
          <w:p w14:paraId="3143BB2E" w14:textId="39E092A8" w:rsidR="00852BAD" w:rsidRPr="006C1D97" w:rsidRDefault="00852BAD" w:rsidP="006C1D97">
            <w:pPr>
              <w:spacing w:before="60" w:after="60"/>
              <w:jc w:val="both"/>
              <w:rPr>
                <w:bCs/>
              </w:rPr>
            </w:pPr>
            <w:r>
              <w:rPr>
                <w:bCs/>
              </w:rPr>
              <w:t>L.Krūze</w:t>
            </w:r>
          </w:p>
          <w:p w14:paraId="7D9DCB63" w14:textId="7A0CF0AD" w:rsidR="00377744" w:rsidRPr="006C1D97" w:rsidRDefault="00377744" w:rsidP="006C1D97">
            <w:pPr>
              <w:spacing w:before="60" w:after="60"/>
              <w:jc w:val="both"/>
              <w:rPr>
                <w:bCs/>
              </w:rPr>
            </w:pPr>
            <w:r w:rsidRPr="006C1D97">
              <w:rPr>
                <w:bCs/>
              </w:rPr>
              <w:t>K.Gargurns</w:t>
            </w:r>
          </w:p>
        </w:tc>
        <w:tc>
          <w:tcPr>
            <w:tcW w:w="2835" w:type="dxa"/>
          </w:tcPr>
          <w:p w14:paraId="29908B21" w14:textId="5D7A1BC6" w:rsidR="00377744" w:rsidRPr="006C1D97" w:rsidRDefault="00377744" w:rsidP="006C1D97">
            <w:pPr>
              <w:spacing w:before="60" w:after="60"/>
              <w:jc w:val="both"/>
              <w:rPr>
                <w:bCs/>
              </w:rPr>
            </w:pPr>
            <w:r w:rsidRPr="006C1D97">
              <w:rPr>
                <w:bCs/>
              </w:rPr>
              <w:t>Sadarbība ar BVKB</w:t>
            </w:r>
          </w:p>
        </w:tc>
      </w:tr>
    </w:tbl>
    <w:p w14:paraId="0FD6BA07" w14:textId="77777777" w:rsidR="00E1232D" w:rsidRDefault="00E1232D" w:rsidP="00B766C5">
      <w:pPr>
        <w:rPr>
          <w:rFonts w:asciiTheme="majorBidi" w:hAnsiTheme="majorBidi" w:cstheme="majorBidi"/>
          <w:lang w:eastAsia="en-GB"/>
        </w:rPr>
      </w:pPr>
    </w:p>
    <w:p w14:paraId="59B78A57" w14:textId="77777777" w:rsidR="00377744" w:rsidRDefault="00377744" w:rsidP="00B766C5">
      <w:pPr>
        <w:rPr>
          <w:rFonts w:asciiTheme="majorBidi" w:hAnsiTheme="majorBidi" w:cstheme="majorBidi"/>
          <w:lang w:eastAsia="en-GB"/>
        </w:rPr>
      </w:pPr>
    </w:p>
    <w:p w14:paraId="6815717A" w14:textId="1B983885" w:rsidR="00377744" w:rsidRPr="0045645E" w:rsidRDefault="00377744" w:rsidP="00B766C5">
      <w:pPr>
        <w:rPr>
          <w:rFonts w:asciiTheme="majorBidi" w:hAnsiTheme="majorBidi" w:cstheme="majorBidi"/>
          <w:lang w:eastAsia="en-GB"/>
        </w:rPr>
      </w:pPr>
      <w:r>
        <w:rPr>
          <w:rFonts w:asciiTheme="majorBidi" w:hAnsiTheme="majorBidi" w:cstheme="majorBidi"/>
          <w:lang w:eastAsia="en-GB"/>
        </w:rPr>
        <w:t>Ādažu novada būvvaldes vadītājs</w:t>
      </w:r>
      <w:r>
        <w:rPr>
          <w:rFonts w:asciiTheme="majorBidi" w:hAnsiTheme="majorBidi" w:cstheme="majorBidi"/>
          <w:lang w:eastAsia="en-GB"/>
        </w:rPr>
        <w:tab/>
      </w:r>
      <w:r>
        <w:rPr>
          <w:rFonts w:asciiTheme="majorBidi" w:hAnsiTheme="majorBidi" w:cstheme="majorBidi"/>
          <w:lang w:eastAsia="en-GB"/>
        </w:rPr>
        <w:tab/>
      </w:r>
      <w:r>
        <w:rPr>
          <w:rFonts w:asciiTheme="majorBidi" w:hAnsiTheme="majorBidi" w:cstheme="majorBidi"/>
          <w:lang w:eastAsia="en-GB"/>
        </w:rPr>
        <w:tab/>
      </w:r>
      <w:r>
        <w:rPr>
          <w:rFonts w:asciiTheme="majorBidi" w:hAnsiTheme="majorBidi" w:cstheme="majorBidi"/>
          <w:lang w:eastAsia="en-GB"/>
        </w:rPr>
        <w:tab/>
      </w:r>
      <w:r>
        <w:rPr>
          <w:rFonts w:asciiTheme="majorBidi" w:hAnsiTheme="majorBidi" w:cstheme="majorBidi"/>
          <w:lang w:eastAsia="en-GB"/>
        </w:rPr>
        <w:tab/>
      </w:r>
      <w:r>
        <w:rPr>
          <w:rFonts w:asciiTheme="majorBidi" w:hAnsiTheme="majorBidi" w:cstheme="majorBidi"/>
          <w:lang w:eastAsia="en-GB"/>
        </w:rPr>
        <w:tab/>
      </w:r>
      <w:r>
        <w:rPr>
          <w:rFonts w:asciiTheme="majorBidi" w:hAnsiTheme="majorBidi" w:cstheme="majorBidi"/>
          <w:lang w:eastAsia="en-GB"/>
        </w:rPr>
        <w:tab/>
        <w:t>Ainārs Grikmanis</w:t>
      </w:r>
    </w:p>
    <w:p w14:paraId="3496A743" w14:textId="77777777" w:rsidR="00E4461D" w:rsidRPr="0045645E" w:rsidRDefault="00E4461D" w:rsidP="00B766C5">
      <w:pPr>
        <w:rPr>
          <w:rFonts w:asciiTheme="majorBidi" w:hAnsiTheme="majorBidi" w:cstheme="majorBidi"/>
        </w:rPr>
      </w:pPr>
    </w:p>
    <w:p w14:paraId="339E38A9" w14:textId="300B9F9C" w:rsidR="00E553F5" w:rsidRDefault="00E553F5" w:rsidP="00B766C5">
      <w:pPr>
        <w:pStyle w:val="Paraststmeklis"/>
        <w:kinsoku w:val="0"/>
        <w:overflowPunct w:val="0"/>
        <w:spacing w:before="0" w:beforeAutospacing="0" w:after="0" w:afterAutospacing="0"/>
        <w:jc w:val="both"/>
        <w:textAlignment w:val="baseline"/>
        <w:rPr>
          <w:rFonts w:asciiTheme="minorBidi" w:hAnsiTheme="minorBidi" w:cstheme="minorBidi"/>
          <w:sz w:val="20"/>
          <w:szCs w:val="20"/>
        </w:rPr>
      </w:pPr>
    </w:p>
    <w:p w14:paraId="3986A065" w14:textId="77777777" w:rsidR="00806B1C" w:rsidRPr="00B92870" w:rsidRDefault="00806B1C" w:rsidP="00B766C5"/>
    <w:sectPr w:rsidR="00806B1C" w:rsidRPr="00B92870" w:rsidSect="006C1D97">
      <w:pgSz w:w="16838" w:h="11906" w:orient="landscape" w:code="9"/>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010D" w14:textId="77777777" w:rsidR="00620CD7" w:rsidRDefault="00620CD7" w:rsidP="00E1232D">
      <w:r>
        <w:separator/>
      </w:r>
    </w:p>
  </w:endnote>
  <w:endnote w:type="continuationSeparator" w:id="0">
    <w:p w14:paraId="36D83525" w14:textId="77777777" w:rsidR="00620CD7" w:rsidRDefault="00620CD7" w:rsidP="00E1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B1B5" w14:textId="77777777" w:rsidR="00620CD7" w:rsidRDefault="00620CD7" w:rsidP="00E1232D">
      <w:r>
        <w:separator/>
      </w:r>
    </w:p>
  </w:footnote>
  <w:footnote w:type="continuationSeparator" w:id="0">
    <w:p w14:paraId="32FB59D4" w14:textId="77777777" w:rsidR="00620CD7" w:rsidRDefault="00620CD7" w:rsidP="00E1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1ED"/>
    <w:multiLevelType w:val="hybridMultilevel"/>
    <w:tmpl w:val="84808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810BB2"/>
    <w:multiLevelType w:val="hybridMultilevel"/>
    <w:tmpl w:val="BC2ED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939DB"/>
    <w:multiLevelType w:val="hybridMultilevel"/>
    <w:tmpl w:val="94FAE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A71524"/>
    <w:multiLevelType w:val="hybridMultilevel"/>
    <w:tmpl w:val="40E4F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760889"/>
    <w:multiLevelType w:val="hybridMultilevel"/>
    <w:tmpl w:val="F2AC3586"/>
    <w:lvl w:ilvl="0" w:tplc="94202A5C">
      <w:start w:val="1"/>
      <w:numFmt w:val="decimal"/>
      <w:lvlText w:val="%1."/>
      <w:lvlJc w:val="left"/>
      <w:pPr>
        <w:ind w:left="720" w:hanging="360"/>
      </w:pPr>
      <w:rPr>
        <w:rFonts w:hint="default"/>
        <w:b/>
        <w:color w:val="0F4761" w:themeColor="accent1"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92A1B"/>
    <w:multiLevelType w:val="hybridMultilevel"/>
    <w:tmpl w:val="189EC5F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F4779A"/>
    <w:multiLevelType w:val="hybridMultilevel"/>
    <w:tmpl w:val="3ADA5106"/>
    <w:lvl w:ilvl="0" w:tplc="D52238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4A250B2"/>
    <w:multiLevelType w:val="multilevel"/>
    <w:tmpl w:val="DD743A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E404106"/>
    <w:multiLevelType w:val="hybridMultilevel"/>
    <w:tmpl w:val="4476FA2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69C77BA"/>
    <w:multiLevelType w:val="hybridMultilevel"/>
    <w:tmpl w:val="C9D44B0E"/>
    <w:lvl w:ilvl="0" w:tplc="B6C8BC30">
      <w:start w:val="1"/>
      <w:numFmt w:val="decimal"/>
      <w:lvlText w:val="%1."/>
      <w:lvlJc w:val="left"/>
      <w:pPr>
        <w:ind w:left="720" w:hanging="360"/>
      </w:pPr>
      <w:rPr>
        <w:rFonts w:asciiTheme="majorBidi" w:eastAsia="Times New Roman" w:hAnsiTheme="majorBidi" w:cstheme="majorBidi"/>
        <w:color w:val="0F476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5357D"/>
    <w:multiLevelType w:val="hybridMultilevel"/>
    <w:tmpl w:val="A2201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A452C2"/>
    <w:multiLevelType w:val="multilevel"/>
    <w:tmpl w:val="A71A0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1043344">
    <w:abstractNumId w:val="3"/>
  </w:num>
  <w:num w:numId="2" w16cid:durableId="697312323">
    <w:abstractNumId w:val="4"/>
  </w:num>
  <w:num w:numId="3" w16cid:durableId="211356671">
    <w:abstractNumId w:val="9"/>
  </w:num>
  <w:num w:numId="4" w16cid:durableId="440994458">
    <w:abstractNumId w:val="6"/>
  </w:num>
  <w:num w:numId="5" w16cid:durableId="1721198974">
    <w:abstractNumId w:val="10"/>
  </w:num>
  <w:num w:numId="6" w16cid:durableId="70664871">
    <w:abstractNumId w:val="2"/>
  </w:num>
  <w:num w:numId="7" w16cid:durableId="49043351">
    <w:abstractNumId w:val="11"/>
  </w:num>
  <w:num w:numId="8" w16cid:durableId="1724593870">
    <w:abstractNumId w:val="0"/>
  </w:num>
  <w:num w:numId="9" w16cid:durableId="457919540">
    <w:abstractNumId w:val="7"/>
  </w:num>
  <w:num w:numId="10" w16cid:durableId="710347081">
    <w:abstractNumId w:val="1"/>
  </w:num>
  <w:num w:numId="11" w16cid:durableId="1401901655">
    <w:abstractNumId w:val="5"/>
  </w:num>
  <w:num w:numId="12" w16cid:durableId="1737782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80"/>
    <w:rsid w:val="000262CE"/>
    <w:rsid w:val="00034DE4"/>
    <w:rsid w:val="0003618D"/>
    <w:rsid w:val="000376E3"/>
    <w:rsid w:val="00043980"/>
    <w:rsid w:val="00061E47"/>
    <w:rsid w:val="00062BBD"/>
    <w:rsid w:val="000670E0"/>
    <w:rsid w:val="00073301"/>
    <w:rsid w:val="000803B3"/>
    <w:rsid w:val="00082513"/>
    <w:rsid w:val="000958F4"/>
    <w:rsid w:val="000C12C4"/>
    <w:rsid w:val="000D0C26"/>
    <w:rsid w:val="000E1980"/>
    <w:rsid w:val="000E3FF2"/>
    <w:rsid w:val="00111FF9"/>
    <w:rsid w:val="00135100"/>
    <w:rsid w:val="00150494"/>
    <w:rsid w:val="00157F1B"/>
    <w:rsid w:val="0017344B"/>
    <w:rsid w:val="001841A1"/>
    <w:rsid w:val="001843C9"/>
    <w:rsid w:val="001929B7"/>
    <w:rsid w:val="001B0D04"/>
    <w:rsid w:val="001B34FF"/>
    <w:rsid w:val="001B3FD9"/>
    <w:rsid w:val="001C2138"/>
    <w:rsid w:val="001C30BC"/>
    <w:rsid w:val="001C559E"/>
    <w:rsid w:val="001D0D51"/>
    <w:rsid w:val="001F1427"/>
    <w:rsid w:val="00221642"/>
    <w:rsid w:val="00222C58"/>
    <w:rsid w:val="002307B4"/>
    <w:rsid w:val="002D3644"/>
    <w:rsid w:val="002E259E"/>
    <w:rsid w:val="002E3455"/>
    <w:rsid w:val="002E7018"/>
    <w:rsid w:val="002F26A4"/>
    <w:rsid w:val="002F30B9"/>
    <w:rsid w:val="002F5025"/>
    <w:rsid w:val="00326922"/>
    <w:rsid w:val="00357208"/>
    <w:rsid w:val="00377744"/>
    <w:rsid w:val="003B7FA9"/>
    <w:rsid w:val="003C55FB"/>
    <w:rsid w:val="003F1C0F"/>
    <w:rsid w:val="00447702"/>
    <w:rsid w:val="00454C12"/>
    <w:rsid w:val="0045645E"/>
    <w:rsid w:val="00462071"/>
    <w:rsid w:val="004A6D33"/>
    <w:rsid w:val="004B53F8"/>
    <w:rsid w:val="004C7A76"/>
    <w:rsid w:val="004D2EC9"/>
    <w:rsid w:val="004D6303"/>
    <w:rsid w:val="004D7E1A"/>
    <w:rsid w:val="004F4A5F"/>
    <w:rsid w:val="0050044E"/>
    <w:rsid w:val="005029E9"/>
    <w:rsid w:val="00514F48"/>
    <w:rsid w:val="00526FF6"/>
    <w:rsid w:val="00534BE8"/>
    <w:rsid w:val="005663AA"/>
    <w:rsid w:val="00591CDB"/>
    <w:rsid w:val="005A64F2"/>
    <w:rsid w:val="005B1C46"/>
    <w:rsid w:val="005F67E1"/>
    <w:rsid w:val="00602CD5"/>
    <w:rsid w:val="006030B6"/>
    <w:rsid w:val="00620CD7"/>
    <w:rsid w:val="00621257"/>
    <w:rsid w:val="0064000D"/>
    <w:rsid w:val="00651835"/>
    <w:rsid w:val="00651AB3"/>
    <w:rsid w:val="00656F51"/>
    <w:rsid w:val="0067557F"/>
    <w:rsid w:val="00676984"/>
    <w:rsid w:val="00683960"/>
    <w:rsid w:val="006A2E44"/>
    <w:rsid w:val="006B0056"/>
    <w:rsid w:val="006B4B83"/>
    <w:rsid w:val="006C1D97"/>
    <w:rsid w:val="006D37B3"/>
    <w:rsid w:val="006D4A8E"/>
    <w:rsid w:val="006D678F"/>
    <w:rsid w:val="006E31EF"/>
    <w:rsid w:val="006F63C6"/>
    <w:rsid w:val="007313E3"/>
    <w:rsid w:val="00733284"/>
    <w:rsid w:val="00754D6A"/>
    <w:rsid w:val="00777E57"/>
    <w:rsid w:val="00785F4A"/>
    <w:rsid w:val="00791A1E"/>
    <w:rsid w:val="007926C0"/>
    <w:rsid w:val="00792C71"/>
    <w:rsid w:val="007C5CE2"/>
    <w:rsid w:val="007D2F6F"/>
    <w:rsid w:val="007E4C58"/>
    <w:rsid w:val="007E4DBF"/>
    <w:rsid w:val="0080634D"/>
    <w:rsid w:val="00806B1C"/>
    <w:rsid w:val="00821B12"/>
    <w:rsid w:val="0083194B"/>
    <w:rsid w:val="00842204"/>
    <w:rsid w:val="00852BAD"/>
    <w:rsid w:val="0087697F"/>
    <w:rsid w:val="00876F97"/>
    <w:rsid w:val="00891014"/>
    <w:rsid w:val="008946E6"/>
    <w:rsid w:val="008A7B91"/>
    <w:rsid w:val="008B7A1A"/>
    <w:rsid w:val="008F2D5F"/>
    <w:rsid w:val="008F34DF"/>
    <w:rsid w:val="0091101F"/>
    <w:rsid w:val="00914537"/>
    <w:rsid w:val="00937259"/>
    <w:rsid w:val="00951C1D"/>
    <w:rsid w:val="00964753"/>
    <w:rsid w:val="009770A8"/>
    <w:rsid w:val="00983371"/>
    <w:rsid w:val="009C58A6"/>
    <w:rsid w:val="009C6464"/>
    <w:rsid w:val="009F2B64"/>
    <w:rsid w:val="009F6048"/>
    <w:rsid w:val="00A333E4"/>
    <w:rsid w:val="00A36B52"/>
    <w:rsid w:val="00AB40C4"/>
    <w:rsid w:val="00AC1831"/>
    <w:rsid w:val="00AC3C0F"/>
    <w:rsid w:val="00AD719F"/>
    <w:rsid w:val="00AF3204"/>
    <w:rsid w:val="00B42602"/>
    <w:rsid w:val="00B73F57"/>
    <w:rsid w:val="00B75726"/>
    <w:rsid w:val="00B766C5"/>
    <w:rsid w:val="00B910F2"/>
    <w:rsid w:val="00B91BC3"/>
    <w:rsid w:val="00B92870"/>
    <w:rsid w:val="00BA39A7"/>
    <w:rsid w:val="00BB6221"/>
    <w:rsid w:val="00BC78D7"/>
    <w:rsid w:val="00BD5EB0"/>
    <w:rsid w:val="00C20987"/>
    <w:rsid w:val="00C255E5"/>
    <w:rsid w:val="00C26F96"/>
    <w:rsid w:val="00C277F2"/>
    <w:rsid w:val="00C27A1D"/>
    <w:rsid w:val="00C50F23"/>
    <w:rsid w:val="00C96A1C"/>
    <w:rsid w:val="00CA79F1"/>
    <w:rsid w:val="00CC1E0E"/>
    <w:rsid w:val="00CC33BB"/>
    <w:rsid w:val="00CD67D7"/>
    <w:rsid w:val="00CE0021"/>
    <w:rsid w:val="00D62FC0"/>
    <w:rsid w:val="00D777DC"/>
    <w:rsid w:val="00D8775B"/>
    <w:rsid w:val="00DA7F2F"/>
    <w:rsid w:val="00DC65AD"/>
    <w:rsid w:val="00DE5BA6"/>
    <w:rsid w:val="00E02209"/>
    <w:rsid w:val="00E02F8A"/>
    <w:rsid w:val="00E0643D"/>
    <w:rsid w:val="00E1232D"/>
    <w:rsid w:val="00E177F6"/>
    <w:rsid w:val="00E233CD"/>
    <w:rsid w:val="00E42D10"/>
    <w:rsid w:val="00E4383C"/>
    <w:rsid w:val="00E4461D"/>
    <w:rsid w:val="00E553F5"/>
    <w:rsid w:val="00E639F2"/>
    <w:rsid w:val="00E71AD2"/>
    <w:rsid w:val="00E81EF5"/>
    <w:rsid w:val="00E86E74"/>
    <w:rsid w:val="00E93BF9"/>
    <w:rsid w:val="00EA033D"/>
    <w:rsid w:val="00EB1106"/>
    <w:rsid w:val="00F16740"/>
    <w:rsid w:val="00F23150"/>
    <w:rsid w:val="00F2645A"/>
    <w:rsid w:val="00F44156"/>
    <w:rsid w:val="00F60CCB"/>
    <w:rsid w:val="00F6675B"/>
    <w:rsid w:val="00F720A3"/>
    <w:rsid w:val="00F80B8D"/>
    <w:rsid w:val="00F94EBC"/>
    <w:rsid w:val="00FB0397"/>
    <w:rsid w:val="00FE7485"/>
    <w:rsid w:val="00FF6D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A539"/>
  <w15:chartTrackingRefBased/>
  <w15:docId w15:val="{A6102B63-61D6-415A-9DAB-4C034836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26A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3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3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398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398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398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398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398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398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398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39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39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398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398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398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39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39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39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39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39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39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398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39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398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3980"/>
    <w:rPr>
      <w:i/>
      <w:iCs/>
      <w:color w:val="404040" w:themeColor="text1" w:themeTint="BF"/>
    </w:rPr>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Resume Title,b"/>
    <w:basedOn w:val="Parasts"/>
    <w:link w:val="SarakstarindkopaRakstz"/>
    <w:uiPriority w:val="34"/>
    <w:qFormat/>
    <w:rsid w:val="00043980"/>
    <w:pPr>
      <w:ind w:left="720"/>
      <w:contextualSpacing/>
    </w:pPr>
  </w:style>
  <w:style w:type="character" w:styleId="Intensvsizclums">
    <w:name w:val="Intense Emphasis"/>
    <w:basedOn w:val="Noklusjumarindkopasfonts"/>
    <w:uiPriority w:val="21"/>
    <w:qFormat/>
    <w:rsid w:val="00043980"/>
    <w:rPr>
      <w:i/>
      <w:iCs/>
      <w:color w:val="0F4761" w:themeColor="accent1" w:themeShade="BF"/>
    </w:rPr>
  </w:style>
  <w:style w:type="paragraph" w:styleId="Intensvscitts">
    <w:name w:val="Intense Quote"/>
    <w:basedOn w:val="Parasts"/>
    <w:next w:val="Parasts"/>
    <w:link w:val="IntensvscittsRakstz"/>
    <w:uiPriority w:val="30"/>
    <w:qFormat/>
    <w:rsid w:val="0004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3980"/>
    <w:rPr>
      <w:i/>
      <w:iCs/>
      <w:color w:val="0F4761" w:themeColor="accent1" w:themeShade="BF"/>
    </w:rPr>
  </w:style>
  <w:style w:type="character" w:styleId="Intensvaatsauce">
    <w:name w:val="Intense Reference"/>
    <w:basedOn w:val="Noklusjumarindkopasfonts"/>
    <w:uiPriority w:val="32"/>
    <w:qFormat/>
    <w:rsid w:val="00043980"/>
    <w:rPr>
      <w:b/>
      <w:bCs/>
      <w:smallCaps/>
      <w:color w:val="0F4761" w:themeColor="accent1" w:themeShade="BF"/>
      <w:spacing w:val="5"/>
    </w:rPr>
  </w:style>
  <w:style w:type="paragraph" w:styleId="Vresteksts">
    <w:name w:val="footnote text"/>
    <w:aliases w:val="Footnote,Fußnote Char,Fußnote Char Char,Fußnote Char Char Char Char Char Char,Fußnote,fn,single space,FOOTNOTES,Текст сноски Знак,Текст сноски Знак1 Знак,Текст сноски Знак Знак Знак,Footnote Text Char Знак Знак,Footnote Text Char Знак,Char"/>
    <w:basedOn w:val="Parasts"/>
    <w:link w:val="VrestekstsRakstz"/>
    <w:uiPriority w:val="99"/>
    <w:unhideWhenUsed/>
    <w:qFormat/>
    <w:rsid w:val="00E1232D"/>
    <w:rPr>
      <w:rFonts w:asciiTheme="minorHAnsi" w:eastAsiaTheme="minorHAnsi" w:hAnsiTheme="minorHAnsi" w:cstheme="minorBidi"/>
      <w:sz w:val="20"/>
      <w:szCs w:val="20"/>
      <w:lang w:val="en-GB"/>
    </w:rPr>
  </w:style>
  <w:style w:type="character" w:customStyle="1" w:styleId="VrestekstsRakstz">
    <w:name w:val="Vēres teksts Rakstz."/>
    <w:aliases w:val="Footnote Rakstz.,Fußnote Char Rakstz.,Fußnote Char Char Rakstz.,Fußnote Char Char Char Char Char Char Rakstz.,Fußnote Rakstz.,fn Rakstz.,single space Rakstz.,FOOTNOTES Rakstz.,Текст сноски Знак Rakstz.,Char Rakstz."/>
    <w:basedOn w:val="Noklusjumarindkopasfonts"/>
    <w:link w:val="Vresteksts"/>
    <w:uiPriority w:val="99"/>
    <w:qFormat/>
    <w:rsid w:val="00E1232D"/>
    <w:rPr>
      <w:kern w:val="0"/>
      <w:sz w:val="20"/>
      <w:szCs w:val="20"/>
      <w:lang w:val="en-GB"/>
      <w14:ligatures w14:val="none"/>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 Rakstz."/>
    <w:link w:val="Sarakstarindkopa"/>
    <w:uiPriority w:val="34"/>
    <w:qFormat/>
    <w:locked/>
    <w:rsid w:val="00E1232D"/>
  </w:style>
  <w:style w:type="table" w:styleId="Vienkratabula2">
    <w:name w:val="Plain Table 2"/>
    <w:basedOn w:val="Parastatabula"/>
    <w:uiPriority w:val="42"/>
    <w:rsid w:val="00E1232D"/>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Parastatabula"/>
    <w:next w:val="Vienkratabula2"/>
    <w:uiPriority w:val="42"/>
    <w:rsid w:val="00E1232D"/>
    <w:pPr>
      <w:spacing w:after="0" w:line="240" w:lineRule="auto"/>
    </w:pPr>
    <w:rPr>
      <w:rFonts w:eastAsia="Times New Roman" w:cs="Arial"/>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Parastatabula"/>
    <w:next w:val="Vienkratabula2"/>
    <w:uiPriority w:val="42"/>
    <w:rsid w:val="00E1232D"/>
    <w:pPr>
      <w:spacing w:after="0" w:line="240" w:lineRule="auto"/>
    </w:pPr>
    <w:rPr>
      <w:rFonts w:eastAsia="Times New Roman" w:cs="Arial"/>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Parastatabula"/>
    <w:next w:val="Vienkratabula2"/>
    <w:uiPriority w:val="42"/>
    <w:rsid w:val="00E1232D"/>
    <w:pPr>
      <w:spacing w:after="0" w:line="240" w:lineRule="auto"/>
    </w:pPr>
    <w:rPr>
      <w:rFonts w:eastAsia="Times New Roman" w:cs="Arial"/>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Parastatabula"/>
    <w:next w:val="Vienkratabula2"/>
    <w:uiPriority w:val="42"/>
    <w:rsid w:val="00E1232D"/>
    <w:pPr>
      <w:spacing w:after="0" w:line="240" w:lineRule="auto"/>
    </w:pPr>
    <w:rPr>
      <w:rFonts w:eastAsia="Times New Roman" w:cs="Arial"/>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paragraph" w:styleId="Paraststmeklis">
    <w:name w:val="Normal (Web)"/>
    <w:basedOn w:val="Parasts"/>
    <w:uiPriority w:val="99"/>
    <w:unhideWhenUsed/>
    <w:rsid w:val="00DC65AD"/>
    <w:pPr>
      <w:spacing w:before="100" w:beforeAutospacing="1" w:after="100" w:afterAutospacing="1"/>
    </w:pPr>
    <w:rPr>
      <w:lang w:eastAsia="lv-LV"/>
    </w:rPr>
  </w:style>
  <w:style w:type="table" w:styleId="Reatabula">
    <w:name w:val="Table Grid"/>
    <w:basedOn w:val="Parastatabula"/>
    <w:uiPriority w:val="39"/>
    <w:rsid w:val="0017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B4B83"/>
    <w:pPr>
      <w:spacing w:after="0" w:line="240" w:lineRule="auto"/>
    </w:pPr>
    <w:rPr>
      <w:rFonts w:ascii="Times New Roman" w:eastAsia="Times New Roman" w:hAnsi="Times New Roman" w:cs="Times New Roman"/>
      <w:kern w:val="0"/>
      <w14:ligatures w14:val="none"/>
    </w:rPr>
  </w:style>
  <w:style w:type="character" w:styleId="Komentraatsauce">
    <w:name w:val="annotation reference"/>
    <w:basedOn w:val="Noklusjumarindkopasfonts"/>
    <w:uiPriority w:val="99"/>
    <w:semiHidden/>
    <w:unhideWhenUsed/>
    <w:rsid w:val="000376E3"/>
    <w:rPr>
      <w:sz w:val="16"/>
      <w:szCs w:val="16"/>
    </w:rPr>
  </w:style>
  <w:style w:type="paragraph" w:styleId="Komentrateksts">
    <w:name w:val="annotation text"/>
    <w:basedOn w:val="Parasts"/>
    <w:link w:val="KomentratekstsRakstz"/>
    <w:uiPriority w:val="99"/>
    <w:unhideWhenUsed/>
    <w:rsid w:val="000376E3"/>
    <w:rPr>
      <w:sz w:val="20"/>
      <w:szCs w:val="20"/>
    </w:rPr>
  </w:style>
  <w:style w:type="character" w:customStyle="1" w:styleId="KomentratekstsRakstz">
    <w:name w:val="Komentāra teksts Rakstz."/>
    <w:basedOn w:val="Noklusjumarindkopasfonts"/>
    <w:link w:val="Komentrateksts"/>
    <w:uiPriority w:val="99"/>
    <w:rsid w:val="000376E3"/>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0376E3"/>
    <w:rPr>
      <w:b/>
      <w:bCs/>
    </w:rPr>
  </w:style>
  <w:style w:type="character" w:customStyle="1" w:styleId="KomentratmaRakstz">
    <w:name w:val="Komentāra tēma Rakstz."/>
    <w:basedOn w:val="KomentratekstsRakstz"/>
    <w:link w:val="Komentratma"/>
    <w:uiPriority w:val="99"/>
    <w:semiHidden/>
    <w:rsid w:val="000376E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72EF-5612-4F06-9AFD-9664F8E6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3180</Words>
  <Characters>1813</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Grikmanis</dc:creator>
  <cp:keywords/>
  <dc:description/>
  <cp:lastModifiedBy>Ainārs Grikmanis</cp:lastModifiedBy>
  <cp:revision>6</cp:revision>
  <dcterms:created xsi:type="dcterms:W3CDTF">2026-02-04T15:11:00Z</dcterms:created>
  <dcterms:modified xsi:type="dcterms:W3CDTF">2026-02-04T15:16:00Z</dcterms:modified>
</cp:coreProperties>
</file>