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0CC9" w14:textId="508402D7" w:rsidR="003072D6" w:rsidRDefault="009773AA" w:rsidP="00021575">
      <w:pPr>
        <w:jc w:val="both"/>
      </w:pPr>
      <w:r w:rsidRPr="009773AA">
        <w:t xml:space="preserve">Aicinu uz diskusiju, cik saimnieciski pamatots ir </w:t>
      </w:r>
      <w:r w:rsidRPr="00C96016">
        <w:rPr>
          <w:b/>
          <w:bCs/>
        </w:rPr>
        <w:t>pagaidu risinājums paralēli jaunas skolas būvniecībai?</w:t>
      </w:r>
      <w:r w:rsidRPr="009773AA">
        <w:t xml:space="preserve"> Iepriekš jau Ādažu novadā tika pētīts šāds variants - APN var iepazīstināt un atzīts, kā nesamērīgi dārgs un ar </w:t>
      </w:r>
      <w:r w:rsidRPr="00C96016">
        <w:rPr>
          <w:b/>
          <w:bCs/>
        </w:rPr>
        <w:t xml:space="preserve">ierobežotu iespēju izmantot koplietošanas infrastruktūras (garderobes, sporta zāles, ēdināšana </w:t>
      </w:r>
      <w:proofErr w:type="spellStart"/>
      <w:r w:rsidRPr="00C96016">
        <w:rPr>
          <w:b/>
          <w:bCs/>
        </w:rPr>
        <w:t>uc</w:t>
      </w:r>
      <w:proofErr w:type="spellEnd"/>
      <w:r w:rsidRPr="00C96016">
        <w:rPr>
          <w:b/>
          <w:bCs/>
        </w:rPr>
        <w:t>)</w:t>
      </w:r>
      <w:r w:rsidRPr="009773AA">
        <w:t xml:space="preserve"> Pēdējais punkts, Kā pagaidu risinājums, līdz jaunas izglītības infrastruktūras izbūvei izvēlēties </w:t>
      </w:r>
      <w:r w:rsidRPr="00C96016">
        <w:rPr>
          <w:b/>
          <w:bCs/>
        </w:rPr>
        <w:t>moduļu tipa ēkas uzstādīšanu ĀVS vidusskolas korpusa teritorijā</w:t>
      </w:r>
      <w:r w:rsidRPr="009773AA">
        <w:t xml:space="preserve"> (gan kā īstermiņa risinājums, gan pastāvīga skolas infrastruktūras daļa, nākotnē nodrošinot trūkstošās vietas 5.–6. klašu grupā). Šāda DIVU (pat trīs + CVS) iestāžu PARALĒLU / VIENLAICĪGU investīciju projektu realizācija nav fiskāli iespējama.</w:t>
      </w:r>
    </w:p>
    <w:p w14:paraId="1274D0EC" w14:textId="0920224E" w:rsidR="00C96016" w:rsidRDefault="00C96016" w:rsidP="00021575">
      <w:pPr>
        <w:jc w:val="both"/>
        <w:rPr>
          <w:color w:val="EE0000"/>
        </w:rPr>
      </w:pPr>
      <w:r w:rsidRPr="00C96016">
        <w:rPr>
          <w:color w:val="EE0000"/>
        </w:rPr>
        <w:t xml:space="preserve">Saistībā ar pagaidu risinājumu izglītības procesa nodrošināšanai līdz jaunas izglītības iestādes izveidi, ir notikušas daudzas diskusijas. </w:t>
      </w:r>
      <w:r>
        <w:rPr>
          <w:color w:val="EE0000"/>
        </w:rPr>
        <w:t>Uzdevums i</w:t>
      </w:r>
      <w:r w:rsidRPr="00866929">
        <w:rPr>
          <w:color w:val="EE0000"/>
        </w:rPr>
        <w:t>zvērtēt, kā nodrošināt vispārējās izglītības pakalpojumus Ādažu vidusskolā līdz jaunas pamatskolas darbības uzsākšanai</w:t>
      </w:r>
      <w:r w:rsidRPr="00866929">
        <w:rPr>
          <w:color w:val="EE0000"/>
        </w:rPr>
        <w:t>, tika dots a</w:t>
      </w:r>
      <w:r>
        <w:rPr>
          <w:color w:val="EE0000"/>
        </w:rPr>
        <w:t>rī f</w:t>
      </w:r>
      <w:r w:rsidRPr="00C96016">
        <w:rPr>
          <w:color w:val="EE0000"/>
        </w:rPr>
        <w:t xml:space="preserve">inanšu un ekonomiskās analīzes </w:t>
      </w:r>
      <w:r>
        <w:rPr>
          <w:color w:val="EE0000"/>
        </w:rPr>
        <w:t>veicējiem</w:t>
      </w:r>
      <w:r w:rsidRPr="00C96016">
        <w:rPr>
          <w:color w:val="EE0000"/>
        </w:rPr>
        <w:t xml:space="preserve">. </w:t>
      </w:r>
      <w:r>
        <w:rPr>
          <w:color w:val="EE0000"/>
        </w:rPr>
        <w:t xml:space="preserve">Šī dokumenta ziņojums vēl nav saskaņots, bet, tas ko pētnieki norāda, ka pārejas periodā </w:t>
      </w:r>
      <w:r w:rsidRPr="00866929">
        <w:rPr>
          <w:b/>
          <w:bCs/>
          <w:color w:val="EE0000"/>
        </w:rPr>
        <w:t xml:space="preserve">līdz </w:t>
      </w:r>
      <w:r w:rsidRPr="00866929">
        <w:rPr>
          <w:b/>
          <w:bCs/>
          <w:color w:val="EE0000"/>
        </w:rPr>
        <w:t xml:space="preserve">2030./2031. </w:t>
      </w:r>
      <w:proofErr w:type="spellStart"/>
      <w:r w:rsidRPr="00866929">
        <w:rPr>
          <w:b/>
          <w:bCs/>
          <w:color w:val="EE0000"/>
        </w:rPr>
        <w:t>m.g</w:t>
      </w:r>
      <w:proofErr w:type="spellEnd"/>
      <w:r w:rsidRPr="00866929">
        <w:rPr>
          <w:b/>
          <w:bCs/>
          <w:color w:val="EE0000"/>
        </w:rPr>
        <w:t>., ĀVS vidusskolas korpusā</w:t>
      </w:r>
      <w:r w:rsidRPr="00866929">
        <w:rPr>
          <w:b/>
          <w:bCs/>
          <w:color w:val="EE0000"/>
        </w:rPr>
        <w:t xml:space="preserve"> </w:t>
      </w:r>
      <w:r w:rsidRPr="00866929">
        <w:rPr>
          <w:b/>
          <w:bCs/>
          <w:color w:val="EE0000"/>
        </w:rPr>
        <w:t>paredzams</w:t>
      </w:r>
      <w:r w:rsidRPr="00866929">
        <w:rPr>
          <w:b/>
          <w:bCs/>
          <w:color w:val="EE0000"/>
        </w:rPr>
        <w:t xml:space="preserve"> </w:t>
      </w:r>
      <w:r w:rsidRPr="00866929">
        <w:rPr>
          <w:b/>
          <w:bCs/>
          <w:color w:val="EE0000"/>
        </w:rPr>
        <w:t>būtisks telpu deficīts</w:t>
      </w:r>
      <w:r>
        <w:rPr>
          <w:color w:val="EE0000"/>
        </w:rPr>
        <w:t xml:space="preserve"> un</w:t>
      </w:r>
      <w:r w:rsidRPr="00C96016">
        <w:rPr>
          <w:color w:val="EE0000"/>
        </w:rPr>
        <w:t xml:space="preserve"> </w:t>
      </w:r>
      <w:r>
        <w:rPr>
          <w:color w:val="EE0000"/>
        </w:rPr>
        <w:t>būs</w:t>
      </w:r>
      <w:r w:rsidRPr="00C96016">
        <w:rPr>
          <w:color w:val="EE0000"/>
        </w:rPr>
        <w:t xml:space="preserve"> nepieciešams nodrošināt mācības vēl </w:t>
      </w:r>
      <w:r w:rsidRPr="00866929">
        <w:rPr>
          <w:b/>
          <w:bCs/>
          <w:color w:val="EE0000"/>
        </w:rPr>
        <w:t>aptuveni 8 papildu klašu komplektiem</w:t>
      </w:r>
      <w:r w:rsidRPr="00C96016">
        <w:rPr>
          <w:color w:val="EE0000"/>
        </w:rPr>
        <w:t xml:space="preserve">. </w:t>
      </w:r>
      <w:r w:rsidRPr="00866929">
        <w:rPr>
          <w:b/>
          <w:bCs/>
          <w:color w:val="EE0000"/>
        </w:rPr>
        <w:t>Par piemērotāko pagaidu risinājumu līdz jaunās skolas atklāšanai noteikta moduļu tipa ēkas uzstādīšana ĀVS vidusskolas korpusa teritorijā</w:t>
      </w:r>
      <w:r w:rsidRPr="00C96016">
        <w:rPr>
          <w:color w:val="EE0000"/>
        </w:rPr>
        <w:t>, jo tā ir salīdzinoši ātri īstenojama un var kalpot ne tikai kā īstermiņa risinājums, bet arī kā pastāvīga skolas infrastruktūras daļa, nākotnē nodrošinot trūkstošās vietas 5.–6. klašu grupā.</w:t>
      </w:r>
    </w:p>
    <w:p w14:paraId="577308FB" w14:textId="45251173" w:rsidR="00C96016" w:rsidRDefault="00C96016" w:rsidP="00021575">
      <w:pPr>
        <w:jc w:val="both"/>
        <w:rPr>
          <w:color w:val="EE0000"/>
        </w:rPr>
      </w:pPr>
      <w:r w:rsidRPr="00866929">
        <w:rPr>
          <w:b/>
          <w:bCs/>
          <w:color w:val="EE0000"/>
        </w:rPr>
        <w:t>Pētnieki ir apskatījuši dažādas alternatīvas</w:t>
      </w:r>
      <w:r>
        <w:rPr>
          <w:color w:val="EE0000"/>
        </w:rPr>
        <w:t>, kā nodrošināt izglītības procesu  līdz jaunas izglītības iestādes izbūves:</w:t>
      </w:r>
    </w:p>
    <w:p w14:paraId="42EE7809" w14:textId="786F91C9" w:rsidR="00C96016" w:rsidRDefault="00C96016" w:rsidP="00021575">
      <w:pPr>
        <w:pStyle w:val="Sarakstarindkopa"/>
        <w:numPr>
          <w:ilvl w:val="0"/>
          <w:numId w:val="1"/>
        </w:numPr>
        <w:jc w:val="both"/>
        <w:rPr>
          <w:color w:val="EE0000"/>
        </w:rPr>
      </w:pPr>
      <w:r>
        <w:rPr>
          <w:color w:val="EE0000"/>
        </w:rPr>
        <w:t>Moduļu tipa ēkas (pārvietojamo klašu)  izmantošana</w:t>
      </w:r>
    </w:p>
    <w:p w14:paraId="79818099" w14:textId="2698693B" w:rsidR="00C96016" w:rsidRDefault="00C96016" w:rsidP="00021575">
      <w:pPr>
        <w:pStyle w:val="Sarakstarindkopa"/>
        <w:numPr>
          <w:ilvl w:val="0"/>
          <w:numId w:val="1"/>
        </w:numPr>
        <w:jc w:val="both"/>
        <w:rPr>
          <w:color w:val="EE0000"/>
        </w:rPr>
      </w:pPr>
      <w:r>
        <w:rPr>
          <w:color w:val="EE0000"/>
        </w:rPr>
        <w:t>Mācību procesa organizēšana divās maiņās</w:t>
      </w:r>
    </w:p>
    <w:p w14:paraId="512C729B" w14:textId="1BB34180" w:rsidR="00C96016" w:rsidRDefault="00C96016" w:rsidP="00021575">
      <w:pPr>
        <w:pStyle w:val="Sarakstarindkopa"/>
        <w:numPr>
          <w:ilvl w:val="0"/>
          <w:numId w:val="1"/>
        </w:numPr>
        <w:jc w:val="both"/>
        <w:rPr>
          <w:color w:val="EE0000"/>
        </w:rPr>
      </w:pPr>
      <w:r>
        <w:rPr>
          <w:color w:val="EE0000"/>
        </w:rPr>
        <w:t>Mācību procesa organizēšana attālināti</w:t>
      </w:r>
    </w:p>
    <w:p w14:paraId="247D2354" w14:textId="1995F0C6" w:rsidR="00C96016" w:rsidRPr="00A06B46" w:rsidRDefault="006D334E" w:rsidP="00021575">
      <w:pPr>
        <w:jc w:val="both"/>
        <w:rPr>
          <w:color w:val="EE0000"/>
        </w:rPr>
      </w:pPr>
      <w:r>
        <w:rPr>
          <w:color w:val="EE0000"/>
        </w:rPr>
        <w:t>Katrai no alternatīvām ir savas priekšrocības un izaicinājumi, bet, izvērtējot tās, tika secināts, ka p</w:t>
      </w:r>
      <w:r w:rsidRPr="006D334E">
        <w:rPr>
          <w:color w:val="EE0000"/>
        </w:rPr>
        <w:t xml:space="preserve">ar piemērotāko pagaidu risinājumu līdz jaunās mācību vietas </w:t>
      </w:r>
      <w:r w:rsidRPr="00A06B46">
        <w:rPr>
          <w:color w:val="EE0000"/>
        </w:rPr>
        <w:t>izveidei noteikta moduļu tipa ēkas uzstādīšana ĀVS vidusskolas korpusa teritorijā, jo tā ir salīdzinoši ātri īstenojama un var kalpot ne tikai kā īstermiņa risinājums, bet arī kā pastāvīga skolas infrastruktūras daļa, lai nodrošinātu trūkstošās vietas 5.-6. klašu grupā.</w:t>
      </w:r>
    </w:p>
    <w:p w14:paraId="193C05C5" w14:textId="5AB648A0" w:rsidR="00445B64" w:rsidRDefault="00445B64" w:rsidP="00021575">
      <w:pPr>
        <w:jc w:val="both"/>
        <w:rPr>
          <w:color w:val="EE0000"/>
        </w:rPr>
      </w:pPr>
      <w:r w:rsidRPr="00A06B46">
        <w:rPr>
          <w:color w:val="EE0000"/>
        </w:rPr>
        <w:t xml:space="preserve">Moduļu ēka ir īpaši piemērots risinājums ĀVS gadījumā, jo tās ļauj elastīgi nodrošināt trūkstošo telpu apjomu tieši tajās klašu grupās, kur kapacitāte ir visierobežotākā. Šādas moduļu ēkas izvietošana ir iespējama pie ĀVS vidusskolas ēkas A, B, un C korpusiem. </w:t>
      </w:r>
    </w:p>
    <w:p w14:paraId="1ABEB36C" w14:textId="381DBA5D" w:rsidR="00A06B46" w:rsidRPr="00A06B46" w:rsidRDefault="00A06B46" w:rsidP="00021575">
      <w:pPr>
        <w:jc w:val="both"/>
        <w:rPr>
          <w:color w:val="EE0000"/>
        </w:rPr>
      </w:pPr>
      <w:r>
        <w:rPr>
          <w:color w:val="EE0000"/>
        </w:rPr>
        <w:t xml:space="preserve">Pētnieku sniegtā informācija liecināja, ka </w:t>
      </w:r>
      <w:r w:rsidRPr="001C6D8D">
        <w:rPr>
          <w:b/>
          <w:bCs/>
          <w:color w:val="EE0000"/>
        </w:rPr>
        <w:t>m</w:t>
      </w:r>
      <w:r w:rsidRPr="001C6D8D">
        <w:rPr>
          <w:b/>
          <w:bCs/>
          <w:color w:val="EE0000"/>
        </w:rPr>
        <w:t xml:space="preserve">oduļu ēkas izbūves izmaksas </w:t>
      </w:r>
      <w:r w:rsidRPr="00A06B46">
        <w:rPr>
          <w:color w:val="EE0000"/>
        </w:rPr>
        <w:t xml:space="preserve">ir aptuveni 1700–1870 EUR/m², ietverot ne tikai mācību telpas, bet arī pie klašu telpām esošās publiskās zonas un </w:t>
      </w:r>
      <w:proofErr w:type="spellStart"/>
      <w:r w:rsidRPr="00A06B46">
        <w:rPr>
          <w:color w:val="EE0000"/>
        </w:rPr>
        <w:t>sanmezglus</w:t>
      </w:r>
      <w:proofErr w:type="spellEnd"/>
      <w:r w:rsidRPr="00A06B46">
        <w:rPr>
          <w:color w:val="EE0000"/>
        </w:rPr>
        <w:t>, lai nodrošinātu atbilstību Būvniecības likuma un citu normatīvo aktu prasībām</w:t>
      </w:r>
      <w:r>
        <w:rPr>
          <w:color w:val="EE0000"/>
        </w:rPr>
        <w:t xml:space="preserve">. 700 m2 liela moduļu izbūve izmaksātu </w:t>
      </w:r>
      <w:r w:rsidRPr="00A06B46">
        <w:rPr>
          <w:b/>
          <w:bCs/>
          <w:color w:val="EE0000"/>
        </w:rPr>
        <w:t xml:space="preserve">1,31 </w:t>
      </w:r>
      <w:proofErr w:type="spellStart"/>
      <w:r w:rsidRPr="00A06B46">
        <w:rPr>
          <w:b/>
          <w:bCs/>
          <w:color w:val="EE0000"/>
        </w:rPr>
        <w:t>mij.euro</w:t>
      </w:r>
      <w:proofErr w:type="spellEnd"/>
      <w:r>
        <w:rPr>
          <w:color w:val="EE0000"/>
        </w:rPr>
        <w:t>.</w:t>
      </w:r>
    </w:p>
    <w:p w14:paraId="77B45027" w14:textId="6CC75C48" w:rsidR="00445B64" w:rsidRPr="00866929" w:rsidRDefault="00445B64" w:rsidP="00021575">
      <w:pPr>
        <w:jc w:val="both"/>
        <w:rPr>
          <w:b/>
          <w:bCs/>
          <w:color w:val="EE0000"/>
        </w:rPr>
      </w:pPr>
      <w:r w:rsidRPr="00A06B46">
        <w:rPr>
          <w:color w:val="EE0000"/>
        </w:rPr>
        <w:t xml:space="preserve">Viens no variantiem moduļu izmantošanā ir </w:t>
      </w:r>
      <w:r w:rsidRPr="001C6D8D">
        <w:rPr>
          <w:b/>
          <w:bCs/>
          <w:color w:val="EE0000"/>
        </w:rPr>
        <w:t>moduļu noma</w:t>
      </w:r>
      <w:r w:rsidRPr="00A06B46">
        <w:rPr>
          <w:color w:val="EE0000"/>
        </w:rPr>
        <w:t xml:space="preserve">. Jau pagājušajā gadā sazinājāmies ar uzņēmumu, kas šādu pakalpojumu piedāvā. Pieņemot, ka kopējā </w:t>
      </w:r>
      <w:r w:rsidRPr="00A06B46">
        <w:rPr>
          <w:color w:val="EE0000"/>
        </w:rPr>
        <w:lastRenderedPageBreak/>
        <w:t>provizoriskā platība veidotu aptuveni 700 m2, 1 mēneša nomas maksa vismaz pirmajā gadā varētu būt ~1</w:t>
      </w:r>
      <w:r w:rsidR="00A06B46">
        <w:rPr>
          <w:color w:val="EE0000"/>
        </w:rPr>
        <w:t>3</w:t>
      </w:r>
      <w:r w:rsidRPr="00A06B46">
        <w:rPr>
          <w:color w:val="EE0000"/>
        </w:rPr>
        <w:t> </w:t>
      </w:r>
      <w:r w:rsidR="00A06B46">
        <w:rPr>
          <w:color w:val="EE0000"/>
        </w:rPr>
        <w:t>0</w:t>
      </w:r>
      <w:r w:rsidRPr="00A06B46">
        <w:rPr>
          <w:color w:val="EE0000"/>
        </w:rPr>
        <w:t xml:space="preserve">00 </w:t>
      </w:r>
      <w:proofErr w:type="spellStart"/>
      <w:r w:rsidRPr="00A06B46">
        <w:rPr>
          <w:color w:val="EE0000"/>
        </w:rPr>
        <w:t>euro</w:t>
      </w:r>
      <w:proofErr w:type="spellEnd"/>
      <w:r w:rsidR="00A06B46">
        <w:rPr>
          <w:color w:val="EE0000"/>
        </w:rPr>
        <w:t xml:space="preserve">, bet </w:t>
      </w:r>
      <w:r w:rsidR="00A06B46" w:rsidRPr="00A06B46">
        <w:rPr>
          <w:b/>
          <w:bCs/>
          <w:color w:val="EE0000"/>
        </w:rPr>
        <w:t xml:space="preserve">156 tūkst. </w:t>
      </w:r>
      <w:proofErr w:type="spellStart"/>
      <w:r w:rsidR="00A06B46" w:rsidRPr="00A06B46">
        <w:rPr>
          <w:b/>
          <w:bCs/>
          <w:color w:val="EE0000"/>
        </w:rPr>
        <w:t>euro</w:t>
      </w:r>
      <w:proofErr w:type="spellEnd"/>
      <w:r w:rsidR="00A06B46">
        <w:rPr>
          <w:color w:val="EE0000"/>
        </w:rPr>
        <w:t xml:space="preserve"> gadā</w:t>
      </w:r>
      <w:r w:rsidRPr="00A06B46">
        <w:rPr>
          <w:color w:val="EE0000"/>
        </w:rPr>
        <w:t>. Nākamajos gados būtu jārēķina klāt infl</w:t>
      </w:r>
      <w:r w:rsidR="00A06B46" w:rsidRPr="00A06B46">
        <w:rPr>
          <w:color w:val="EE0000"/>
        </w:rPr>
        <w:t>ā</w:t>
      </w:r>
      <w:r w:rsidRPr="00A06B46">
        <w:rPr>
          <w:color w:val="EE0000"/>
        </w:rPr>
        <w:t>cija.</w:t>
      </w:r>
      <w:r w:rsidR="00A06B46" w:rsidRPr="00A06B46">
        <w:rPr>
          <w:color w:val="EE0000"/>
        </w:rPr>
        <w:t xml:space="preserve"> Jāpiemin, ka šajā izmaksās ir tikai izmaksas par tukšu telpu. Attiecīgi, izglītības procesam nepieciešamais aprīkojums būtu jāparedz papildus.</w:t>
      </w:r>
      <w:r w:rsidR="00B60B87">
        <w:rPr>
          <w:color w:val="EE0000"/>
        </w:rPr>
        <w:t xml:space="preserve"> </w:t>
      </w:r>
      <w:r w:rsidR="00B60B87" w:rsidRPr="00B60B87">
        <w:rPr>
          <w:color w:val="EE0000"/>
        </w:rPr>
        <w:t xml:space="preserve">Lai 2027. gada 1. septembrī bērni varētu uzsākt skolas gaitas, mums </w:t>
      </w:r>
      <w:r w:rsidR="00B60B87" w:rsidRPr="00866929">
        <w:rPr>
          <w:b/>
          <w:bCs/>
          <w:color w:val="EE0000"/>
        </w:rPr>
        <w:t>būtu jāsāk darbs vēl 2026. gada novembra otrajā pusē.</w:t>
      </w:r>
    </w:p>
    <w:p w14:paraId="22E44AED" w14:textId="0543BA9F" w:rsidR="00D94CB9" w:rsidRPr="00D94CB9" w:rsidRDefault="00D94CB9" w:rsidP="00021575">
      <w:pPr>
        <w:jc w:val="both"/>
        <w:rPr>
          <w:color w:val="EE0000"/>
        </w:rPr>
      </w:pPr>
      <w:r w:rsidRPr="00D94CB9">
        <w:rPr>
          <w:color w:val="EE0000"/>
        </w:rPr>
        <w:t xml:space="preserve">Vienlaikus jāņem vērā, ka </w:t>
      </w:r>
      <w:r w:rsidRPr="00866929">
        <w:rPr>
          <w:b/>
          <w:bCs/>
          <w:color w:val="EE0000"/>
        </w:rPr>
        <w:t xml:space="preserve">moduļu ēka risina tikai mācību klašu trūkumu. </w:t>
      </w:r>
      <w:r w:rsidRPr="00D94CB9">
        <w:rPr>
          <w:color w:val="EE0000"/>
        </w:rPr>
        <w:t xml:space="preserve">Palielinoties skolēnu skaitam, vēl vairāk tiks noslogotas jau šobrīd pārpildītās koplietošanas telpas – </w:t>
      </w:r>
      <w:r w:rsidRPr="00866929">
        <w:rPr>
          <w:b/>
          <w:bCs/>
          <w:color w:val="EE0000"/>
        </w:rPr>
        <w:t>gaiteņi, garderobes, sanitārie mezgli, ēdnīca u.c.</w:t>
      </w:r>
      <w:r w:rsidRPr="00D94CB9">
        <w:rPr>
          <w:color w:val="EE0000"/>
        </w:rPr>
        <w:t xml:space="preserve"> Tāpēc, lai gan īstermiņā šāds risinājums ir pieņemams un nepieciešams, tā saglabāšana ilgtermiņā </w:t>
      </w:r>
      <w:r w:rsidRPr="00866929">
        <w:rPr>
          <w:b/>
          <w:bCs/>
          <w:color w:val="EE0000"/>
        </w:rPr>
        <w:t>būs jāmeklē kompleksi telpu paplašināšanas un publisko zonu uzlabošanas risinājumi</w:t>
      </w:r>
      <w:r w:rsidRPr="00D94CB9">
        <w:rPr>
          <w:color w:val="EE0000"/>
        </w:rPr>
        <w:t>.</w:t>
      </w:r>
    </w:p>
    <w:p w14:paraId="1A1EE8FD" w14:textId="77777777" w:rsidR="00445B64" w:rsidRDefault="00445B64" w:rsidP="00021575">
      <w:pPr>
        <w:jc w:val="both"/>
        <w:rPr>
          <w:color w:val="EE0000"/>
        </w:rPr>
      </w:pPr>
    </w:p>
    <w:p w14:paraId="04A77F2D" w14:textId="77777777" w:rsidR="00445B64" w:rsidRPr="001C6D8D" w:rsidRDefault="00445B64" w:rsidP="00021575">
      <w:pPr>
        <w:pStyle w:val="Pamatteksts"/>
        <w:rPr>
          <w:rFonts w:asciiTheme="minorHAnsi" w:hAnsiTheme="minorHAnsi"/>
          <w:color w:val="EE0000"/>
        </w:rPr>
      </w:pPr>
      <w:r w:rsidRPr="001C6D8D">
        <w:rPr>
          <w:rFonts w:asciiTheme="minorHAnsi" w:hAnsiTheme="minorHAnsi"/>
          <w:color w:val="EE0000"/>
        </w:rPr>
        <w:t>Galvenie ieguvumi no modulāro ēku izmantošanas ir:</w:t>
      </w:r>
    </w:p>
    <w:p w14:paraId="28C6A336" w14:textId="77777777" w:rsidR="00445B64" w:rsidRPr="001C6D8D" w:rsidRDefault="00445B64" w:rsidP="00021575">
      <w:pPr>
        <w:pStyle w:val="Sarakstaaizzme"/>
        <w:ind w:left="568" w:hanging="284"/>
        <w:jc w:val="both"/>
        <w:rPr>
          <w:rFonts w:asciiTheme="minorHAnsi" w:hAnsiTheme="minorHAnsi"/>
          <w:color w:val="EE0000"/>
        </w:rPr>
      </w:pPr>
      <w:r w:rsidRPr="001C6D8D">
        <w:rPr>
          <w:rFonts w:asciiTheme="minorHAnsi" w:hAnsiTheme="minorHAnsi"/>
          <w:color w:val="EE0000"/>
        </w:rPr>
        <w:t>tās var nodot ekspluatācijā ievērojami īsākā laikā nekā tradicionālās ēkas, ļaujot izglītības iestādēm operatīvi reaģēt uz pieaugošu skolēnu skaitu vai pagaidu traucējumiem;</w:t>
      </w:r>
    </w:p>
    <w:p w14:paraId="67701B7E" w14:textId="77777777" w:rsidR="00445B64" w:rsidRPr="001C6D8D" w:rsidRDefault="00445B64" w:rsidP="00021575">
      <w:pPr>
        <w:pStyle w:val="Sarakstaaizzme"/>
        <w:ind w:left="568" w:hanging="284"/>
        <w:jc w:val="both"/>
        <w:rPr>
          <w:rFonts w:asciiTheme="minorHAnsi" w:hAnsiTheme="minorHAnsi"/>
          <w:color w:val="EE0000"/>
        </w:rPr>
      </w:pPr>
      <w:r w:rsidRPr="001C6D8D">
        <w:rPr>
          <w:rFonts w:asciiTheme="minorHAnsi" w:hAnsiTheme="minorHAnsi"/>
          <w:color w:val="EE0000"/>
        </w:rPr>
        <w:t>to izveide prasa mazāk laika resursu, tādējādi nodrošinot izmaksu ziņā efektīvu risinājumu un samazinot nepieciešamību pēc apjomīgiem būvdarbiem uz vietas;</w:t>
      </w:r>
    </w:p>
    <w:p w14:paraId="52DB988C" w14:textId="77777777" w:rsidR="00445B64" w:rsidRPr="001C6D8D" w:rsidRDefault="00445B64" w:rsidP="00021575">
      <w:pPr>
        <w:pStyle w:val="Sarakstaaizzme"/>
        <w:ind w:left="568" w:hanging="284"/>
        <w:jc w:val="both"/>
        <w:rPr>
          <w:rFonts w:asciiTheme="minorHAnsi" w:hAnsiTheme="minorHAnsi"/>
          <w:color w:val="EE0000"/>
        </w:rPr>
      </w:pPr>
      <w:r w:rsidRPr="001C6D8D">
        <w:rPr>
          <w:rFonts w:asciiTheme="minorHAnsi" w:hAnsiTheme="minorHAnsi"/>
          <w:color w:val="EE0000"/>
        </w:rPr>
        <w:t>to būvniecības un uzstādīšanas process rada minimālus traucējumus mācību procesam, salīdzinot ar tradicionālo būvniecību;</w:t>
      </w:r>
    </w:p>
    <w:p w14:paraId="4118740C" w14:textId="77777777" w:rsidR="00445B64" w:rsidRPr="001C6D8D" w:rsidRDefault="00445B64" w:rsidP="00021575">
      <w:pPr>
        <w:pStyle w:val="Sarakstaaizzme"/>
        <w:ind w:left="568" w:hanging="284"/>
        <w:jc w:val="both"/>
        <w:rPr>
          <w:rFonts w:asciiTheme="minorHAnsi" w:hAnsiTheme="minorHAnsi"/>
          <w:color w:val="EE0000"/>
        </w:rPr>
      </w:pPr>
      <w:r w:rsidRPr="001C6D8D">
        <w:rPr>
          <w:rFonts w:asciiTheme="minorHAnsi" w:hAnsiTheme="minorHAnsi"/>
          <w:color w:val="EE0000"/>
        </w:rPr>
        <w:t>tās ir pārvietojamas un pārveidojamas citai funkcijai, ja vairs nav nepieciešamas, nodrošinot augstāku elastību un iespēju pielāgot to apjomu un plānojumu konkrētajām vajadzībām.</w:t>
      </w:r>
    </w:p>
    <w:p w14:paraId="48BFE455" w14:textId="3711CDFF" w:rsidR="00445B64" w:rsidRPr="001C6D8D" w:rsidRDefault="00445B64" w:rsidP="00021575">
      <w:pPr>
        <w:pStyle w:val="Sarakstaaizzme"/>
        <w:ind w:left="568" w:hanging="284"/>
        <w:jc w:val="both"/>
        <w:rPr>
          <w:rFonts w:asciiTheme="minorHAnsi" w:hAnsiTheme="minorHAnsi"/>
          <w:color w:val="EE0000"/>
        </w:rPr>
      </w:pPr>
      <w:r w:rsidRPr="001C6D8D">
        <w:rPr>
          <w:rFonts w:asciiTheme="minorHAnsi" w:hAnsiTheme="minorHAnsi"/>
          <w:color w:val="EE0000"/>
        </w:rPr>
        <w:t>samazināts būvniecības atkritumu apjoms un ātra ražošana kontrolētos apstākļos mazina negatīvo ietekmi uz vidi.</w:t>
      </w:r>
    </w:p>
    <w:p w14:paraId="708E1989" w14:textId="77777777" w:rsidR="00445B64" w:rsidRPr="001C6D8D" w:rsidRDefault="00445B64" w:rsidP="00021575">
      <w:pPr>
        <w:jc w:val="both"/>
        <w:rPr>
          <w:color w:val="EE0000"/>
        </w:rPr>
      </w:pPr>
    </w:p>
    <w:p w14:paraId="4A06814E" w14:textId="77777777" w:rsidR="00C96016" w:rsidRPr="001C6D8D" w:rsidRDefault="00C96016" w:rsidP="00021575">
      <w:pPr>
        <w:jc w:val="both"/>
        <w:rPr>
          <w:color w:val="EE0000"/>
        </w:rPr>
      </w:pPr>
    </w:p>
    <w:sectPr w:rsidR="00C96016" w:rsidRPr="001C6D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47A"/>
    <w:multiLevelType w:val="hybridMultilevel"/>
    <w:tmpl w:val="6EC4C324"/>
    <w:lvl w:ilvl="0" w:tplc="077438F6">
      <w:start w:val="1"/>
      <w:numFmt w:val="bullet"/>
      <w:pStyle w:val="Sarakstaaizzme"/>
      <w:lvlText w:val="•"/>
      <w:lvlJc w:val="left"/>
      <w:pPr>
        <w:ind w:left="1004" w:hanging="360"/>
      </w:pPr>
      <w:rPr>
        <w:rFonts w:ascii="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5B587D37"/>
    <w:multiLevelType w:val="hybridMultilevel"/>
    <w:tmpl w:val="A6023F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66307649">
    <w:abstractNumId w:val="1"/>
  </w:num>
  <w:num w:numId="2" w16cid:durableId="196346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A"/>
    <w:rsid w:val="00021575"/>
    <w:rsid w:val="001C6D8D"/>
    <w:rsid w:val="003072D6"/>
    <w:rsid w:val="00445B64"/>
    <w:rsid w:val="004D07DF"/>
    <w:rsid w:val="006D334E"/>
    <w:rsid w:val="00866929"/>
    <w:rsid w:val="009773AA"/>
    <w:rsid w:val="00A06B46"/>
    <w:rsid w:val="00A53EC1"/>
    <w:rsid w:val="00B60B87"/>
    <w:rsid w:val="00C96016"/>
    <w:rsid w:val="00D94CB9"/>
    <w:rsid w:val="00F063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FFBB"/>
  <w15:chartTrackingRefBased/>
  <w15:docId w15:val="{D1DA6469-3143-44E8-942F-D115E38A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77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77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773A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773A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773A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773A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773A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773AA"/>
    <w:pPr>
      <w:keepNext/>
      <w:keepLines/>
      <w:spacing w:before="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773AA"/>
    <w:pPr>
      <w:keepNext/>
      <w:keepLines/>
      <w:spacing w:before="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773A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773A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773A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773A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773A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773A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773A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773A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773A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773AA"/>
    <w:pPr>
      <w:spacing w:before="0"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773A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773AA"/>
    <w:pPr>
      <w:numPr>
        <w:ilvl w:val="1"/>
      </w:numPr>
      <w:spacing w:after="16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773A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773AA"/>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9773AA"/>
    <w:rPr>
      <w:i/>
      <w:iCs/>
      <w:color w:val="404040" w:themeColor="text1" w:themeTint="BF"/>
    </w:rPr>
  </w:style>
  <w:style w:type="paragraph" w:styleId="Sarakstarindkopa">
    <w:name w:val="List Paragraph"/>
    <w:basedOn w:val="Parasts"/>
    <w:uiPriority w:val="34"/>
    <w:qFormat/>
    <w:rsid w:val="009773AA"/>
    <w:pPr>
      <w:ind w:left="720"/>
      <w:contextualSpacing/>
    </w:pPr>
  </w:style>
  <w:style w:type="character" w:styleId="Intensvsizclums">
    <w:name w:val="Intense Emphasis"/>
    <w:basedOn w:val="Noklusjumarindkopasfonts"/>
    <w:uiPriority w:val="21"/>
    <w:qFormat/>
    <w:rsid w:val="009773AA"/>
    <w:rPr>
      <w:i/>
      <w:iCs/>
      <w:color w:val="0F4761" w:themeColor="accent1" w:themeShade="BF"/>
    </w:rPr>
  </w:style>
  <w:style w:type="paragraph" w:styleId="Intensvscitts">
    <w:name w:val="Intense Quote"/>
    <w:basedOn w:val="Parasts"/>
    <w:next w:val="Parasts"/>
    <w:link w:val="IntensvscittsRakstz"/>
    <w:uiPriority w:val="30"/>
    <w:qFormat/>
    <w:rsid w:val="00977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773AA"/>
    <w:rPr>
      <w:i/>
      <w:iCs/>
      <w:color w:val="0F4761" w:themeColor="accent1" w:themeShade="BF"/>
    </w:rPr>
  </w:style>
  <w:style w:type="character" w:styleId="Intensvaatsauce">
    <w:name w:val="Intense Reference"/>
    <w:basedOn w:val="Noklusjumarindkopasfonts"/>
    <w:uiPriority w:val="32"/>
    <w:qFormat/>
    <w:rsid w:val="009773AA"/>
    <w:rPr>
      <w:b/>
      <w:bCs/>
      <w:smallCaps/>
      <w:color w:val="0F4761" w:themeColor="accent1" w:themeShade="BF"/>
      <w:spacing w:val="5"/>
    </w:rPr>
  </w:style>
  <w:style w:type="character" w:styleId="Hipersaite">
    <w:name w:val="Hyperlink"/>
    <w:basedOn w:val="Noklusjumarindkopasfonts"/>
    <w:uiPriority w:val="99"/>
    <w:unhideWhenUsed/>
    <w:rsid w:val="009773AA"/>
    <w:rPr>
      <w:color w:val="467886" w:themeColor="hyperlink"/>
      <w:u w:val="single"/>
    </w:rPr>
  </w:style>
  <w:style w:type="character" w:styleId="Neatrisintapieminana">
    <w:name w:val="Unresolved Mention"/>
    <w:basedOn w:val="Noklusjumarindkopasfonts"/>
    <w:uiPriority w:val="99"/>
    <w:semiHidden/>
    <w:unhideWhenUsed/>
    <w:rsid w:val="009773AA"/>
    <w:rPr>
      <w:color w:val="605E5C"/>
      <w:shd w:val="clear" w:color="auto" w:fill="E1DFDD"/>
    </w:rPr>
  </w:style>
  <w:style w:type="paragraph" w:styleId="Pamatteksts">
    <w:name w:val="Body Text"/>
    <w:basedOn w:val="Parasts"/>
    <w:link w:val="PamattekstsRakstz"/>
    <w:uiPriority w:val="99"/>
    <w:unhideWhenUsed/>
    <w:qFormat/>
    <w:rsid w:val="00445B64"/>
    <w:pPr>
      <w:spacing w:after="240" w:line="312" w:lineRule="auto"/>
      <w:jc w:val="both"/>
    </w:pPr>
    <w:rPr>
      <w:rFonts w:ascii="Times New Roman" w:hAnsi="Times New Roman"/>
      <w:kern w:val="0"/>
      <w:sz w:val="22"/>
      <w:szCs w:val="22"/>
      <w14:ligatures w14:val="none"/>
    </w:rPr>
  </w:style>
  <w:style w:type="character" w:customStyle="1" w:styleId="PamattekstsRakstz">
    <w:name w:val="Pamatteksts Rakstz."/>
    <w:basedOn w:val="Noklusjumarindkopasfonts"/>
    <w:link w:val="Pamatteksts"/>
    <w:uiPriority w:val="99"/>
    <w:rsid w:val="00445B64"/>
    <w:rPr>
      <w:rFonts w:ascii="Times New Roman" w:hAnsi="Times New Roman"/>
      <w:kern w:val="0"/>
      <w:sz w:val="22"/>
      <w:szCs w:val="22"/>
      <w14:ligatures w14:val="none"/>
    </w:rPr>
  </w:style>
  <w:style w:type="paragraph" w:styleId="Sarakstaaizzme">
    <w:name w:val="List Bullet"/>
    <w:basedOn w:val="Parasts"/>
    <w:uiPriority w:val="99"/>
    <w:unhideWhenUsed/>
    <w:qFormat/>
    <w:rsid w:val="00445B64"/>
    <w:pPr>
      <w:numPr>
        <w:numId w:val="2"/>
      </w:numPr>
      <w:spacing w:after="120" w:line="312" w:lineRule="auto"/>
      <w:ind w:left="0" w:firstLine="0"/>
      <w:contextualSpacing/>
    </w:pPr>
    <w:rPr>
      <w:rFonts w:ascii="Times New Roman" w:hAnsi="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3000</Words>
  <Characters>1710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7</cp:revision>
  <dcterms:created xsi:type="dcterms:W3CDTF">2026-02-11T07:36:00Z</dcterms:created>
  <dcterms:modified xsi:type="dcterms:W3CDTF">2026-02-11T11:46:00Z</dcterms:modified>
</cp:coreProperties>
</file>