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787E" w14:textId="77777777" w:rsidR="004D516C" w:rsidRDefault="00A00576" w:rsidP="00564CA6">
      <w:r>
        <w:rPr>
          <w:noProof/>
        </w:rPr>
        <w:drawing>
          <wp:inline distT="0" distB="0" distL="0" distR="0" wp14:anchorId="29AF78D9" wp14:editId="29AF78D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F787F" w14:textId="77777777" w:rsidR="005C7FA1" w:rsidRDefault="005C7FA1" w:rsidP="00564CA6"/>
    <w:p w14:paraId="29AF7880" w14:textId="6F0EBF1F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A00576">
        <w:rPr>
          <w:rFonts w:ascii="Times New Roman" w:hAnsi="Times New Roman" w:cs="Times New Roman"/>
          <w:noProof/>
        </w:rPr>
        <w:t>13</w:t>
      </w:r>
      <w:r w:rsidRPr="00827051">
        <w:rPr>
          <w:rFonts w:ascii="Times New Roman" w:hAnsi="Times New Roman" w:cs="Times New Roman"/>
          <w:noProof/>
        </w:rPr>
        <w:t>.0</w:t>
      </w:r>
      <w:r w:rsidR="00A00576">
        <w:rPr>
          <w:rFonts w:ascii="Times New Roman" w:hAnsi="Times New Roman" w:cs="Times New Roman"/>
          <w:noProof/>
        </w:rPr>
        <w:t>1</w:t>
      </w:r>
      <w:r w:rsidRPr="00827051">
        <w:rPr>
          <w:rFonts w:ascii="Times New Roman" w:hAnsi="Times New Roman" w:cs="Times New Roman"/>
          <w:noProof/>
        </w:rPr>
        <w:t>.202</w:t>
      </w:r>
      <w:r w:rsidR="00A00576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1" w14:textId="77777777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</w:p>
    <w:p w14:paraId="29AF7882" w14:textId="37066F8D" w:rsidR="001524EA" w:rsidRDefault="001524EA" w:rsidP="001524EA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IKSSK</w:t>
      </w:r>
      <w:r w:rsidRPr="00827051">
        <w:rPr>
          <w:rFonts w:ascii="Times New Roman" w:hAnsi="Times New Roman" w:cs="Times New Roman"/>
          <w:noProof/>
        </w:rPr>
        <w:t xml:space="preserve">: </w:t>
      </w:r>
      <w:r>
        <w:rPr>
          <w:rFonts w:ascii="Times New Roman" w:hAnsi="Times New Roman" w:cs="Times New Roman"/>
          <w:noProof/>
        </w:rPr>
        <w:t>0</w:t>
      </w:r>
      <w:r w:rsidR="00955F77">
        <w:rPr>
          <w:rFonts w:ascii="Times New Roman" w:hAnsi="Times New Roman" w:cs="Times New Roman"/>
          <w:noProof/>
        </w:rPr>
        <w:t>4</w:t>
      </w:r>
      <w:r w:rsidRPr="00827051">
        <w:rPr>
          <w:rFonts w:ascii="Times New Roman" w:hAnsi="Times New Roman" w:cs="Times New Roman"/>
          <w:noProof/>
        </w:rPr>
        <w:t>.0</w:t>
      </w:r>
      <w:r w:rsidR="00955F77">
        <w:rPr>
          <w:rFonts w:ascii="Times New Roman" w:hAnsi="Times New Roman" w:cs="Times New Roman"/>
          <w:noProof/>
        </w:rPr>
        <w:t>2</w:t>
      </w:r>
      <w:r w:rsidRPr="00827051">
        <w:rPr>
          <w:rFonts w:ascii="Times New Roman" w:hAnsi="Times New Roman" w:cs="Times New Roman"/>
          <w:noProof/>
        </w:rPr>
        <w:t>.202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3" w14:textId="311DF99E" w:rsidR="001524EA" w:rsidRPr="00827051" w:rsidRDefault="001524EA" w:rsidP="001524EA">
      <w:pPr>
        <w:jc w:val="right"/>
        <w:rPr>
          <w:rFonts w:ascii="Times New Roman" w:hAnsi="Times New Roman" w:cs="Times New Roman"/>
          <w:noProof/>
        </w:rPr>
      </w:pPr>
      <w:r w:rsidRPr="00827051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.0</w:t>
      </w:r>
      <w:r w:rsidR="00955F77">
        <w:rPr>
          <w:rFonts w:ascii="Times New Roman" w:hAnsi="Times New Roman" w:cs="Times New Roman"/>
          <w:noProof/>
        </w:rPr>
        <w:t>2</w:t>
      </w:r>
      <w:r w:rsidRPr="00827051">
        <w:rPr>
          <w:rFonts w:ascii="Times New Roman" w:hAnsi="Times New Roman" w:cs="Times New Roman"/>
          <w:noProof/>
        </w:rPr>
        <w:t>.202</w:t>
      </w:r>
      <w:r w:rsidR="00955F77">
        <w:rPr>
          <w:rFonts w:ascii="Times New Roman" w:hAnsi="Times New Roman" w:cs="Times New Roman"/>
          <w:noProof/>
        </w:rPr>
        <w:t>6</w:t>
      </w:r>
      <w:r w:rsidRPr="00827051">
        <w:rPr>
          <w:rFonts w:ascii="Times New Roman" w:hAnsi="Times New Roman" w:cs="Times New Roman"/>
          <w:noProof/>
        </w:rPr>
        <w:t>.</w:t>
      </w:r>
    </w:p>
    <w:p w14:paraId="29AF7884" w14:textId="77777777" w:rsidR="001524EA" w:rsidRDefault="00A00576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29AF7885" w14:textId="77777777" w:rsidR="00564CA6" w:rsidRPr="001524EA" w:rsidRDefault="00A00576" w:rsidP="001524E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1524EA">
        <w:rPr>
          <w:rFonts w:ascii="Times New Roman" w:hAnsi="Times New Roman" w:cs="Times New Roman"/>
          <w:noProof/>
        </w:rPr>
        <w:t>Linda Tiļuga</w:t>
      </w:r>
    </w:p>
    <w:p w14:paraId="29AF7886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9AF7887" w14:textId="77777777" w:rsidR="00564CA6" w:rsidRPr="00564CA6" w:rsidRDefault="00A0057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9AF7888" w14:textId="77777777" w:rsidR="00564CA6" w:rsidRPr="00564CA6" w:rsidRDefault="00A0057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9AF7889" w14:textId="77777777" w:rsidR="00564CA6" w:rsidRPr="00564CA6" w:rsidRDefault="00A0057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9AF788C" w14:textId="7148CD4C" w:rsidR="00564CA6" w:rsidRPr="00564CA6" w:rsidRDefault="001524EA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955F77">
        <w:rPr>
          <w:rFonts w:ascii="Times New Roman" w:hAnsi="Times New Roman" w:cs="Times New Roman"/>
        </w:rPr>
        <w:t>6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955F7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955F77">
        <w:rPr>
          <w:rFonts w:ascii="Times New Roman" w:hAnsi="Times New Roman" w:cs="Times New Roman"/>
        </w:rPr>
        <w:t xml:space="preserve">februārī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04330D">
        <w:rPr>
          <w:rFonts w:ascii="Times New Roman" w:hAnsi="Times New Roman" w:cs="Times New Roman"/>
        </w:rPr>
        <w:t xml:space="preserve"> 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9AF788F" w14:textId="58F5E921" w:rsidR="00564CA6" w:rsidRDefault="001524EA" w:rsidP="00955F77">
      <w:pPr>
        <w:pStyle w:val="Style6"/>
        <w:widowControl/>
        <w:rPr>
          <w:rStyle w:val="FontStyle19"/>
          <w:color w:val="000000" w:themeColor="text1"/>
        </w:rPr>
      </w:pPr>
      <w:r w:rsidRPr="0065513B">
        <w:rPr>
          <w:rFonts w:ascii="Times New Roman" w:hAnsi="Times New Roman" w:cs="Times New Roman"/>
          <w:b/>
        </w:rPr>
        <w:t xml:space="preserve">Par </w:t>
      </w:r>
      <w:r w:rsidR="006E657B">
        <w:rPr>
          <w:rFonts w:ascii="Times New Roman" w:hAnsi="Times New Roman" w:cs="Times New Roman"/>
          <w:b/>
        </w:rPr>
        <w:t>finansējumu grupas “Bad Habits”</w:t>
      </w:r>
      <w:r w:rsidR="00DD1B61">
        <w:rPr>
          <w:rFonts w:ascii="Times New Roman" w:hAnsi="Times New Roman" w:cs="Times New Roman"/>
          <w:b/>
        </w:rPr>
        <w:t xml:space="preserve"> otrā studijas albuma ierakst</w:t>
      </w:r>
      <w:r w:rsidR="007503FF">
        <w:rPr>
          <w:rFonts w:ascii="Times New Roman" w:hAnsi="Times New Roman" w:cs="Times New Roman"/>
          <w:b/>
        </w:rPr>
        <w:t>a</w:t>
      </w:r>
      <w:r w:rsidR="00B60683">
        <w:rPr>
          <w:rFonts w:ascii="Times New Roman" w:hAnsi="Times New Roman" w:cs="Times New Roman"/>
          <w:b/>
        </w:rPr>
        <w:t>m, vinila plašu izdošanai</w:t>
      </w:r>
      <w:r w:rsidR="00DD1B61">
        <w:rPr>
          <w:rFonts w:ascii="Times New Roman" w:hAnsi="Times New Roman" w:cs="Times New Roman"/>
          <w:b/>
        </w:rPr>
        <w:t xml:space="preserve"> un albuma prezentācijas koncertam</w:t>
      </w:r>
    </w:p>
    <w:p w14:paraId="0298C98D" w14:textId="77777777" w:rsidR="00955F77" w:rsidRPr="004C7388" w:rsidRDefault="00955F77" w:rsidP="00955F77">
      <w:pPr>
        <w:pStyle w:val="Style6"/>
        <w:widowControl/>
        <w:rPr>
          <w:rFonts w:ascii="Times New Roman" w:hAnsi="Times New Roman" w:cs="Times New Roman"/>
        </w:rPr>
      </w:pPr>
    </w:p>
    <w:p w14:paraId="3EBA1C5E" w14:textId="15986D1A" w:rsidR="00AB1F94" w:rsidRPr="004C7388" w:rsidRDefault="00AB1F94" w:rsidP="00BD38D9">
      <w:pPr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Ādažu novada pašvaldība izskatīja </w:t>
      </w:r>
      <w:r w:rsidR="008D5195">
        <w:rPr>
          <w:rFonts w:ascii="Times New Roman" w:hAnsi="Times New Roman" w:cs="Times New Roman"/>
        </w:rPr>
        <w:t>vārds, uzvārds</w:t>
      </w:r>
      <w:r w:rsidR="00201BE4" w:rsidRPr="004C7388">
        <w:rPr>
          <w:rStyle w:val="FontStyle20"/>
          <w:sz w:val="24"/>
          <w:szCs w:val="24"/>
        </w:rPr>
        <w:t xml:space="preserve">, </w:t>
      </w:r>
      <w:r w:rsidR="001836B4" w:rsidRPr="004C7388">
        <w:rPr>
          <w:rFonts w:ascii="Times New Roman" w:hAnsi="Times New Roman" w:cs="Times New Roman"/>
        </w:rPr>
        <w:t xml:space="preserve">adrese: </w:t>
      </w:r>
      <w:r w:rsidR="008D5195">
        <w:rPr>
          <w:rStyle w:val="FontStyle20"/>
          <w:sz w:val="24"/>
          <w:szCs w:val="24"/>
        </w:rPr>
        <w:t>adrese</w:t>
      </w:r>
      <w:r w:rsidR="001836B4" w:rsidRPr="004C7388">
        <w:rPr>
          <w:rStyle w:val="FontStyle20"/>
          <w:sz w:val="24"/>
          <w:szCs w:val="24"/>
        </w:rPr>
        <w:t xml:space="preserve"> </w:t>
      </w:r>
      <w:r w:rsidR="001836B4" w:rsidRPr="004C7388">
        <w:rPr>
          <w:rFonts w:ascii="Times New Roman" w:hAnsi="Times New Roman" w:cs="Times New Roman"/>
        </w:rPr>
        <w:t>(turpmāk - Iesniedzējs)</w:t>
      </w:r>
      <w:r w:rsidR="00201BE4" w:rsidRPr="004C7388">
        <w:rPr>
          <w:rFonts w:ascii="Times New Roman" w:hAnsi="Times New Roman" w:cs="Times New Roman"/>
        </w:rPr>
        <w:t xml:space="preserve"> </w:t>
      </w:r>
      <w:r w:rsidR="003C0A58" w:rsidRPr="004C7388">
        <w:rPr>
          <w:rFonts w:ascii="Times New Roman" w:hAnsi="Times New Roman" w:cs="Times New Roman"/>
        </w:rPr>
        <w:t>pieteikumu</w:t>
      </w:r>
      <w:r w:rsidR="00201BE4" w:rsidRPr="004C7388">
        <w:rPr>
          <w:rFonts w:ascii="Times New Roman" w:hAnsi="Times New Roman" w:cs="Times New Roman"/>
        </w:rPr>
        <w:t xml:space="preserve"> (saņemts pašvaldībā 09.01.2026., reģ. Nr. ĀNP/1-11-1/26/19)</w:t>
      </w:r>
      <w:r w:rsidR="003C0A58" w:rsidRPr="004C7388">
        <w:rPr>
          <w:rFonts w:ascii="Times New Roman" w:hAnsi="Times New Roman" w:cs="Times New Roman"/>
        </w:rPr>
        <w:t xml:space="preserve"> </w:t>
      </w:r>
      <w:r w:rsidR="00201BE4" w:rsidRPr="004C7388">
        <w:rPr>
          <w:rFonts w:ascii="Times New Roman" w:hAnsi="Times New Roman" w:cs="Times New Roman"/>
        </w:rPr>
        <w:t xml:space="preserve">par </w:t>
      </w:r>
      <w:r w:rsidR="003C0A58" w:rsidRPr="004C7388">
        <w:rPr>
          <w:rFonts w:ascii="Times New Roman" w:hAnsi="Times New Roman" w:cs="Times New Roman"/>
        </w:rPr>
        <w:t>pašvaldības finansējum</w:t>
      </w:r>
      <w:r w:rsidR="00D945F4">
        <w:rPr>
          <w:rFonts w:ascii="Times New Roman" w:hAnsi="Times New Roman" w:cs="Times New Roman"/>
        </w:rPr>
        <w:t>u</w:t>
      </w:r>
      <w:r w:rsidR="003C0A58" w:rsidRPr="004C7388">
        <w:rPr>
          <w:rFonts w:ascii="Times New Roman" w:hAnsi="Times New Roman" w:cs="Times New Roman"/>
        </w:rPr>
        <w:t xml:space="preserve"> kultūras un mākslas projektam, </w:t>
      </w:r>
      <w:r w:rsidR="00A46959" w:rsidRPr="004C7388">
        <w:rPr>
          <w:rFonts w:ascii="Times New Roman" w:hAnsi="Times New Roman" w:cs="Times New Roman"/>
        </w:rPr>
        <w:t>grupas “Bad Habits” otrā studiju albuma ieraksta</w:t>
      </w:r>
      <w:r w:rsidR="00D945F4">
        <w:rPr>
          <w:rFonts w:ascii="Times New Roman" w:hAnsi="Times New Roman" w:cs="Times New Roman"/>
        </w:rPr>
        <w:t xml:space="preserve">m, vinila plašu izdošanai </w:t>
      </w:r>
      <w:r w:rsidR="00A46959" w:rsidRPr="004C7388">
        <w:rPr>
          <w:rFonts w:ascii="Times New Roman" w:hAnsi="Times New Roman" w:cs="Times New Roman"/>
        </w:rPr>
        <w:t>un albuma prezentācijas koncertam</w:t>
      </w:r>
      <w:r w:rsidR="002774D1">
        <w:rPr>
          <w:rFonts w:ascii="Times New Roman" w:hAnsi="Times New Roman" w:cs="Times New Roman"/>
        </w:rPr>
        <w:t xml:space="preserve"> (turpmāk – Projekts)</w:t>
      </w:r>
      <w:r w:rsidR="00A46959" w:rsidRPr="004C7388">
        <w:rPr>
          <w:rFonts w:ascii="Times New Roman" w:hAnsi="Times New Roman" w:cs="Times New Roman"/>
        </w:rPr>
        <w:t>.</w:t>
      </w:r>
    </w:p>
    <w:p w14:paraId="1EAA80F1" w14:textId="3A9143B8" w:rsidR="000A7B37" w:rsidRPr="004C7388" w:rsidRDefault="000A7B37" w:rsidP="000A7B37">
      <w:pPr>
        <w:spacing w:before="120"/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Pamatojoties uz Ādažu novada pašvaldības </w:t>
      </w:r>
      <w:r w:rsidRPr="004C7388">
        <w:rPr>
          <w:rFonts w:ascii="Times New Roman" w:hAnsi="Times New Roman" w:cs="Times New Roman"/>
          <w:noProof/>
        </w:rPr>
        <w:t>2023. gada 24. maija nolikuma Nr. 11 “Iniciatīvas projektu finansēšanas kārtība Ādažu novada pašvaldībā” (turpmāk – Nolikums)</w:t>
      </w:r>
      <w:r w:rsidRPr="004C7388">
        <w:rPr>
          <w:rFonts w:ascii="Times New Roman" w:hAnsi="Times New Roman" w:cs="Times New Roman"/>
        </w:rPr>
        <w:t>, pašvaldība izskatīja pieteikumu</w:t>
      </w:r>
      <w:r w:rsidR="004C7388" w:rsidRPr="004C7388">
        <w:rPr>
          <w:rFonts w:ascii="Times New Roman" w:hAnsi="Times New Roman" w:cs="Times New Roman"/>
        </w:rPr>
        <w:t xml:space="preserve"> </w:t>
      </w:r>
      <w:r w:rsidR="001F4B74">
        <w:rPr>
          <w:rFonts w:ascii="Times New Roman" w:hAnsi="Times New Roman" w:cs="Times New Roman"/>
        </w:rPr>
        <w:t>N</w:t>
      </w:r>
      <w:r w:rsidR="004C7388" w:rsidRPr="004C7388">
        <w:rPr>
          <w:rFonts w:ascii="Times New Roman" w:hAnsi="Times New Roman" w:cs="Times New Roman"/>
        </w:rPr>
        <w:t>olikum</w:t>
      </w:r>
      <w:r w:rsidR="001F4B74">
        <w:rPr>
          <w:rFonts w:ascii="Times New Roman" w:hAnsi="Times New Roman" w:cs="Times New Roman"/>
        </w:rPr>
        <w:t>ā</w:t>
      </w:r>
      <w:r w:rsidR="004C7388" w:rsidRPr="004C7388">
        <w:rPr>
          <w:rFonts w:ascii="Times New Roman" w:hAnsi="Times New Roman" w:cs="Times New Roman"/>
        </w:rPr>
        <w:t xml:space="preserve"> noteiktajā kārtībā.</w:t>
      </w:r>
    </w:p>
    <w:p w14:paraId="088D74B3" w14:textId="4F17BA9B" w:rsidR="00252A80" w:rsidRPr="00252A80" w:rsidRDefault="001524EA" w:rsidP="00622F5B">
      <w:pPr>
        <w:pStyle w:val="Style6"/>
        <w:widowControl/>
        <w:spacing w:before="91"/>
        <w:jc w:val="both"/>
        <w:rPr>
          <w:rFonts w:ascii="Times New Roman" w:hAnsi="Times New Roman" w:cs="Times New Roman"/>
          <w:color w:val="000000"/>
        </w:rPr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 w:rsidR="00252A80">
        <w:rPr>
          <w:rStyle w:val="FontStyle19"/>
          <w:b w:val="0"/>
          <w:bCs w:val="0"/>
          <w:sz w:val="24"/>
          <w:szCs w:val="24"/>
        </w:rPr>
        <w:t xml:space="preserve">ierakstīt grupas “Bad </w:t>
      </w:r>
      <w:r w:rsidR="007608EA">
        <w:rPr>
          <w:rStyle w:val="FontStyle19"/>
          <w:b w:val="0"/>
          <w:bCs w:val="0"/>
          <w:sz w:val="24"/>
          <w:szCs w:val="24"/>
        </w:rPr>
        <w:t>H</w:t>
      </w:r>
      <w:r w:rsidR="00252A80">
        <w:rPr>
          <w:rStyle w:val="FontStyle19"/>
          <w:b w:val="0"/>
          <w:bCs w:val="0"/>
          <w:sz w:val="24"/>
          <w:szCs w:val="24"/>
        </w:rPr>
        <w:t>abits” otro studijas</w:t>
      </w:r>
      <w:r w:rsidR="006C0BD6">
        <w:rPr>
          <w:rStyle w:val="FontStyle19"/>
          <w:b w:val="0"/>
          <w:bCs w:val="0"/>
          <w:sz w:val="24"/>
          <w:szCs w:val="24"/>
        </w:rPr>
        <w:t xml:space="preserve"> albumu </w:t>
      </w:r>
      <w:r w:rsidR="006237C4">
        <w:rPr>
          <w:rStyle w:val="FontStyle19"/>
          <w:b w:val="0"/>
          <w:bCs w:val="0"/>
          <w:sz w:val="24"/>
          <w:szCs w:val="24"/>
        </w:rPr>
        <w:t>a</w:t>
      </w:r>
      <w:r w:rsidR="006C0BD6">
        <w:rPr>
          <w:rStyle w:val="FontStyle19"/>
          <w:b w:val="0"/>
          <w:bCs w:val="0"/>
          <w:sz w:val="24"/>
          <w:szCs w:val="24"/>
        </w:rPr>
        <w:t>r dziesmām latviešu valodā, izdot to vinila platēs un organizēt albuma prezentācijas koncertu</w:t>
      </w:r>
      <w:r w:rsidR="001F4B74">
        <w:rPr>
          <w:rStyle w:val="FontStyle19"/>
          <w:b w:val="0"/>
          <w:bCs w:val="0"/>
          <w:sz w:val="24"/>
          <w:szCs w:val="24"/>
        </w:rPr>
        <w:t xml:space="preserve">, </w:t>
      </w:r>
      <w:r w:rsidR="00DF3A19">
        <w:rPr>
          <w:rStyle w:val="FontStyle19"/>
          <w:b w:val="0"/>
          <w:bCs w:val="0"/>
          <w:sz w:val="24"/>
          <w:szCs w:val="24"/>
        </w:rPr>
        <w:t>veicinot populārās mūzikas attīstīšanu</w:t>
      </w:r>
      <w:r w:rsidR="00BC530B">
        <w:rPr>
          <w:rStyle w:val="FontStyle19"/>
          <w:b w:val="0"/>
          <w:bCs w:val="0"/>
          <w:sz w:val="24"/>
          <w:szCs w:val="24"/>
        </w:rPr>
        <w:t xml:space="preserve">, </w:t>
      </w:r>
      <w:r w:rsidR="001F4B74">
        <w:rPr>
          <w:rStyle w:val="FontStyle19"/>
          <w:b w:val="0"/>
          <w:bCs w:val="0"/>
          <w:sz w:val="24"/>
          <w:szCs w:val="24"/>
        </w:rPr>
        <w:t xml:space="preserve">Ādažu </w:t>
      </w:r>
      <w:r w:rsidR="00BC530B">
        <w:rPr>
          <w:rStyle w:val="FontStyle19"/>
          <w:b w:val="0"/>
          <w:bCs w:val="0"/>
          <w:sz w:val="24"/>
          <w:szCs w:val="24"/>
        </w:rPr>
        <w:t>novada popularizēšanu Latvijā</w:t>
      </w:r>
      <w:r w:rsidR="001F4B74">
        <w:rPr>
          <w:rStyle w:val="FontStyle19"/>
          <w:b w:val="0"/>
          <w:bCs w:val="0"/>
          <w:sz w:val="24"/>
          <w:szCs w:val="24"/>
        </w:rPr>
        <w:t>,</w:t>
      </w:r>
      <w:r w:rsidR="00BC530B">
        <w:rPr>
          <w:rStyle w:val="FontStyle19"/>
          <w:b w:val="0"/>
          <w:bCs w:val="0"/>
          <w:sz w:val="24"/>
          <w:szCs w:val="24"/>
        </w:rPr>
        <w:t xml:space="preserve"> </w:t>
      </w:r>
      <w:r w:rsidR="001F4B74">
        <w:rPr>
          <w:rStyle w:val="FontStyle19"/>
          <w:b w:val="0"/>
          <w:bCs w:val="0"/>
          <w:sz w:val="24"/>
          <w:szCs w:val="24"/>
        </w:rPr>
        <w:t xml:space="preserve">izvietojot Ādažu novada logotipu uz mūzikas albuma plates aizmugurējā vāka </w:t>
      </w:r>
      <w:r w:rsidR="00BC530B">
        <w:rPr>
          <w:rStyle w:val="FontStyle19"/>
          <w:b w:val="0"/>
          <w:bCs w:val="0"/>
          <w:sz w:val="24"/>
          <w:szCs w:val="24"/>
        </w:rPr>
        <w:t>(grupas solists ir ādažnieks)</w:t>
      </w:r>
      <w:r w:rsidR="003001B5">
        <w:rPr>
          <w:rStyle w:val="FontStyle19"/>
          <w:b w:val="0"/>
          <w:bCs w:val="0"/>
          <w:sz w:val="24"/>
          <w:szCs w:val="24"/>
        </w:rPr>
        <w:t>.</w:t>
      </w:r>
      <w:r w:rsidR="00007AE3">
        <w:rPr>
          <w:rStyle w:val="FontStyle19"/>
          <w:b w:val="0"/>
          <w:bCs w:val="0"/>
          <w:sz w:val="24"/>
          <w:szCs w:val="24"/>
        </w:rPr>
        <w:t xml:space="preserve"> </w:t>
      </w:r>
      <w:r w:rsidR="00007AE3" w:rsidRPr="00064612">
        <w:rPr>
          <w:rStyle w:val="FontStyle19"/>
          <w:b w:val="0"/>
          <w:bCs w:val="0"/>
          <w:sz w:val="24"/>
          <w:szCs w:val="24"/>
        </w:rPr>
        <w:t xml:space="preserve">Pēc </w:t>
      </w:r>
      <w:r w:rsidR="00D97AB1" w:rsidRPr="00064612">
        <w:rPr>
          <w:rStyle w:val="FontStyle19"/>
          <w:b w:val="0"/>
          <w:bCs w:val="0"/>
          <w:sz w:val="24"/>
          <w:szCs w:val="24"/>
        </w:rPr>
        <w:t>albuma prezentācijas plānota arī koncert</w:t>
      </w:r>
      <w:r w:rsidR="00A24491" w:rsidRPr="00064612">
        <w:rPr>
          <w:rStyle w:val="FontStyle19"/>
          <w:b w:val="0"/>
          <w:bCs w:val="0"/>
          <w:sz w:val="24"/>
          <w:szCs w:val="24"/>
        </w:rPr>
        <w:t>t</w:t>
      </w:r>
      <w:r w:rsidR="00D97AB1" w:rsidRPr="00064612">
        <w:rPr>
          <w:rStyle w:val="FontStyle19"/>
          <w:b w:val="0"/>
          <w:bCs w:val="0"/>
          <w:sz w:val="24"/>
          <w:szCs w:val="24"/>
        </w:rPr>
        <w:t>ūre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 Latvij</w:t>
      </w:r>
      <w:r w:rsidR="001F4B74">
        <w:rPr>
          <w:rStyle w:val="FontStyle19"/>
          <w:b w:val="0"/>
          <w:bCs w:val="0"/>
          <w:sz w:val="24"/>
          <w:szCs w:val="24"/>
        </w:rPr>
        <w:t>ā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, </w:t>
      </w:r>
      <w:r w:rsidR="001F4B74">
        <w:rPr>
          <w:rStyle w:val="FontStyle19"/>
          <w:b w:val="0"/>
          <w:bCs w:val="0"/>
          <w:sz w:val="24"/>
          <w:szCs w:val="24"/>
        </w:rPr>
        <w:t>t.sk.,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 viens koncert</w:t>
      </w:r>
      <w:r w:rsidR="001F4B74">
        <w:rPr>
          <w:rStyle w:val="FontStyle19"/>
          <w:b w:val="0"/>
          <w:bCs w:val="0"/>
          <w:sz w:val="24"/>
          <w:szCs w:val="24"/>
        </w:rPr>
        <w:t>s</w:t>
      </w:r>
      <w:r w:rsidR="00A24491" w:rsidRPr="00064612">
        <w:rPr>
          <w:rStyle w:val="FontStyle19"/>
          <w:b w:val="0"/>
          <w:bCs w:val="0"/>
          <w:sz w:val="24"/>
          <w:szCs w:val="24"/>
        </w:rPr>
        <w:t xml:space="preserve"> plānots arī Ādažos.</w:t>
      </w:r>
    </w:p>
    <w:p w14:paraId="29AF7892" w14:textId="7701A50C" w:rsidR="00622F5B" w:rsidRDefault="001524EA" w:rsidP="001524EA">
      <w:pPr>
        <w:spacing w:before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 xml:space="preserve">Projekta īstenošana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paredzēt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a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 2026.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gada pavasar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 xml:space="preserve">ī un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vasar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ā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.</w:t>
      </w:r>
      <w:r w:rsidR="00622F5B">
        <w:rPr>
          <w:rFonts w:ascii="Times New Roman" w:hAnsi="Times New Roman" w:cs="Times New Roman"/>
          <w:noProof/>
          <w:color w:val="000000" w:themeColor="text1"/>
        </w:rPr>
        <w:t xml:space="preserve"> </w:t>
      </w:r>
    </w:p>
    <w:p w14:paraId="29AF7894" w14:textId="3991FC47" w:rsidR="001524EA" w:rsidRDefault="00927D47" w:rsidP="001524EA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 w:themeColor="text1"/>
        </w:rPr>
        <w:t>K</w:t>
      </w:r>
      <w:r w:rsidR="001524EA"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 w:rsidR="00767E32">
        <w:rPr>
          <w:rStyle w:val="FontStyle19"/>
          <w:b w:val="0"/>
          <w:bCs w:val="0"/>
          <w:color w:val="000000" w:themeColor="text1"/>
          <w:sz w:val="24"/>
          <w:szCs w:val="24"/>
        </w:rPr>
        <w:t>12 5</w:t>
      </w:r>
      <w:r>
        <w:rPr>
          <w:rStyle w:val="FontStyle19"/>
          <w:b w:val="0"/>
          <w:bCs w:val="0"/>
          <w:color w:val="000000" w:themeColor="text1"/>
          <w:sz w:val="24"/>
          <w:szCs w:val="24"/>
        </w:rPr>
        <w:t>00</w:t>
      </w:r>
      <w:r w:rsidR="001524EA" w:rsidRPr="001524EA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1524EA" w:rsidRPr="0065513B">
        <w:rPr>
          <w:rFonts w:ascii="Times New Roman" w:eastAsia="Calibri" w:hAnsi="Times New Roman" w:cs="Times New Roman"/>
        </w:rPr>
        <w:t>EUR: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802"/>
        <w:gridCol w:w="1282"/>
        <w:gridCol w:w="1286"/>
        <w:gridCol w:w="992"/>
      </w:tblGrid>
      <w:tr w:rsidR="002260FD" w:rsidRPr="002260FD" w14:paraId="75768684" w14:textId="77777777" w:rsidTr="001F4B74">
        <w:tc>
          <w:tcPr>
            <w:tcW w:w="705" w:type="dxa"/>
            <w:vAlign w:val="center"/>
          </w:tcPr>
          <w:p w14:paraId="43EF5A40" w14:textId="77777777" w:rsidR="002260FD" w:rsidRPr="002260FD" w:rsidRDefault="002260FD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N.p.k</w:t>
            </w:r>
          </w:p>
        </w:tc>
        <w:tc>
          <w:tcPr>
            <w:tcW w:w="4802" w:type="dxa"/>
            <w:vAlign w:val="center"/>
          </w:tcPr>
          <w:p w14:paraId="5066178D" w14:textId="77777777" w:rsidR="002260FD" w:rsidRPr="002260FD" w:rsidRDefault="002260FD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Izdevumu pozīcija</w:t>
            </w:r>
          </w:p>
        </w:tc>
        <w:tc>
          <w:tcPr>
            <w:tcW w:w="1282" w:type="dxa"/>
            <w:vAlign w:val="center"/>
          </w:tcPr>
          <w:p w14:paraId="77A24EF1" w14:textId="77777777" w:rsidR="002260FD" w:rsidRPr="002260FD" w:rsidRDefault="002260FD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Pašvaldības finansējums</w:t>
            </w:r>
          </w:p>
        </w:tc>
        <w:tc>
          <w:tcPr>
            <w:tcW w:w="1286" w:type="dxa"/>
            <w:vAlign w:val="center"/>
          </w:tcPr>
          <w:p w14:paraId="28BB61C6" w14:textId="1CE0FEDE" w:rsidR="002260FD" w:rsidRPr="002260FD" w:rsidRDefault="002260FD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Cit</w:t>
            </w:r>
            <w:r w:rsidR="001F4B74">
              <w:rPr>
                <w:rStyle w:val="FontStyle19"/>
                <w:b w:val="0"/>
                <w:bCs w:val="0"/>
              </w:rPr>
              <w:t>s</w:t>
            </w:r>
            <w:r w:rsidRPr="002260FD">
              <w:rPr>
                <w:rStyle w:val="FontStyle19"/>
                <w:b w:val="0"/>
                <w:bCs w:val="0"/>
              </w:rPr>
              <w:t xml:space="preserve"> finansējums</w:t>
            </w:r>
          </w:p>
        </w:tc>
        <w:tc>
          <w:tcPr>
            <w:tcW w:w="992" w:type="dxa"/>
            <w:vAlign w:val="center"/>
          </w:tcPr>
          <w:p w14:paraId="37A2A3E6" w14:textId="596E20E3" w:rsidR="002260FD" w:rsidRPr="001F4B74" w:rsidRDefault="001F4B74" w:rsidP="004333BD">
            <w:pPr>
              <w:pStyle w:val="Style6"/>
              <w:widowControl/>
              <w:rPr>
                <w:rStyle w:val="FontStyle19"/>
                <w:b w:val="0"/>
                <w:bCs w:val="0"/>
              </w:rPr>
            </w:pPr>
            <w:r w:rsidRPr="001F4B74">
              <w:rPr>
                <w:rStyle w:val="FontStyle19"/>
                <w:b w:val="0"/>
                <w:bCs w:val="0"/>
              </w:rPr>
              <w:t>Kopā</w:t>
            </w:r>
          </w:p>
        </w:tc>
      </w:tr>
      <w:tr w:rsidR="002260FD" w:rsidRPr="002260FD" w14:paraId="4D4B7D9E" w14:textId="77777777" w:rsidTr="001F4B74">
        <w:tc>
          <w:tcPr>
            <w:tcW w:w="705" w:type="dxa"/>
          </w:tcPr>
          <w:p w14:paraId="5F137F98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1.</w:t>
            </w:r>
          </w:p>
        </w:tc>
        <w:tc>
          <w:tcPr>
            <w:tcW w:w="4802" w:type="dxa"/>
          </w:tcPr>
          <w:p w14:paraId="0A12DDFD" w14:textId="77777777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Studijas īre</w:t>
            </w:r>
          </w:p>
        </w:tc>
        <w:tc>
          <w:tcPr>
            <w:tcW w:w="1282" w:type="dxa"/>
          </w:tcPr>
          <w:p w14:paraId="10DAD861" w14:textId="537296E1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36ABADD2" w14:textId="6EA23768" w:rsidR="002260FD" w:rsidRPr="002260FD" w:rsidRDefault="00434413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2</w:t>
            </w:r>
            <w:r w:rsidR="002260FD" w:rsidRPr="002260FD">
              <w:rPr>
                <w:rStyle w:val="FontStyle19"/>
                <w:b w:val="0"/>
                <w:bCs w:val="0"/>
              </w:rPr>
              <w:t xml:space="preserve"> 000</w:t>
            </w:r>
          </w:p>
        </w:tc>
        <w:tc>
          <w:tcPr>
            <w:tcW w:w="992" w:type="dxa"/>
          </w:tcPr>
          <w:p w14:paraId="73382E0C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2 000</w:t>
            </w:r>
          </w:p>
        </w:tc>
      </w:tr>
      <w:tr w:rsidR="002260FD" w:rsidRPr="002260FD" w14:paraId="34248105" w14:textId="77777777" w:rsidTr="001F4B74">
        <w:tc>
          <w:tcPr>
            <w:tcW w:w="705" w:type="dxa"/>
          </w:tcPr>
          <w:p w14:paraId="641EE898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2.</w:t>
            </w:r>
          </w:p>
        </w:tc>
        <w:tc>
          <w:tcPr>
            <w:tcW w:w="4802" w:type="dxa"/>
          </w:tcPr>
          <w:p w14:paraId="10CDF307" w14:textId="374354DF" w:rsidR="002260FD" w:rsidRPr="002260FD" w:rsidRDefault="001F4B74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Atlīdzība producentam, t.sk.</w:t>
            </w:r>
            <w:r w:rsidR="002260FD" w:rsidRPr="002260FD">
              <w:rPr>
                <w:rStyle w:val="FontStyle19"/>
                <w:b w:val="0"/>
                <w:bCs w:val="0"/>
              </w:rPr>
              <w:t xml:space="preserve"> albuma pēcapstrād</w:t>
            </w:r>
            <w:r>
              <w:rPr>
                <w:rStyle w:val="FontStyle19"/>
                <w:b w:val="0"/>
                <w:bCs w:val="0"/>
              </w:rPr>
              <w:t>e</w:t>
            </w:r>
          </w:p>
        </w:tc>
        <w:tc>
          <w:tcPr>
            <w:tcW w:w="1282" w:type="dxa"/>
          </w:tcPr>
          <w:p w14:paraId="47F104EC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0456A01D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5 000</w:t>
            </w:r>
          </w:p>
        </w:tc>
        <w:tc>
          <w:tcPr>
            <w:tcW w:w="992" w:type="dxa"/>
          </w:tcPr>
          <w:p w14:paraId="0A492BDD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5 000</w:t>
            </w:r>
          </w:p>
        </w:tc>
      </w:tr>
      <w:tr w:rsidR="002260FD" w:rsidRPr="002260FD" w14:paraId="337EFD36" w14:textId="77777777" w:rsidTr="001F4B74">
        <w:tc>
          <w:tcPr>
            <w:tcW w:w="705" w:type="dxa"/>
          </w:tcPr>
          <w:p w14:paraId="77767E72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3.</w:t>
            </w:r>
          </w:p>
        </w:tc>
        <w:tc>
          <w:tcPr>
            <w:tcW w:w="4802" w:type="dxa"/>
          </w:tcPr>
          <w:p w14:paraId="17DDCF42" w14:textId="2D1BC196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Fotosesijas iz</w:t>
            </w:r>
            <w:r w:rsidR="001F4B74">
              <w:rPr>
                <w:rStyle w:val="FontStyle19"/>
                <w:b w:val="0"/>
                <w:bCs w:val="0"/>
              </w:rPr>
              <w:t>d</w:t>
            </w:r>
            <w:r w:rsidRPr="002260FD">
              <w:rPr>
                <w:rStyle w:val="FontStyle19"/>
                <w:b w:val="0"/>
                <w:bCs w:val="0"/>
              </w:rPr>
              <w:t>evumi un vizuālais tēls</w:t>
            </w:r>
          </w:p>
        </w:tc>
        <w:tc>
          <w:tcPr>
            <w:tcW w:w="1282" w:type="dxa"/>
          </w:tcPr>
          <w:p w14:paraId="3364C38F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3BAF21B6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1 100</w:t>
            </w:r>
          </w:p>
        </w:tc>
        <w:tc>
          <w:tcPr>
            <w:tcW w:w="992" w:type="dxa"/>
          </w:tcPr>
          <w:p w14:paraId="48AD1803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1 100</w:t>
            </w:r>
          </w:p>
        </w:tc>
      </w:tr>
      <w:tr w:rsidR="002260FD" w:rsidRPr="002260FD" w14:paraId="1B433FAB" w14:textId="77777777" w:rsidTr="001F4B74">
        <w:tc>
          <w:tcPr>
            <w:tcW w:w="705" w:type="dxa"/>
          </w:tcPr>
          <w:p w14:paraId="29C4DD74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4.</w:t>
            </w:r>
          </w:p>
        </w:tc>
        <w:tc>
          <w:tcPr>
            <w:tcW w:w="4802" w:type="dxa"/>
          </w:tcPr>
          <w:p w14:paraId="00708702" w14:textId="77777777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Dizainera pakalpojumi</w:t>
            </w:r>
          </w:p>
        </w:tc>
        <w:tc>
          <w:tcPr>
            <w:tcW w:w="1282" w:type="dxa"/>
          </w:tcPr>
          <w:p w14:paraId="77F7FF5C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000C7000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200</w:t>
            </w:r>
          </w:p>
        </w:tc>
        <w:tc>
          <w:tcPr>
            <w:tcW w:w="992" w:type="dxa"/>
          </w:tcPr>
          <w:p w14:paraId="78316D83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200</w:t>
            </w:r>
          </w:p>
        </w:tc>
      </w:tr>
      <w:tr w:rsidR="002260FD" w:rsidRPr="002260FD" w14:paraId="1502F70B" w14:textId="77777777" w:rsidTr="001F4B74">
        <w:tc>
          <w:tcPr>
            <w:tcW w:w="705" w:type="dxa"/>
          </w:tcPr>
          <w:p w14:paraId="7DEE34CC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5.</w:t>
            </w:r>
          </w:p>
        </w:tc>
        <w:tc>
          <w:tcPr>
            <w:tcW w:w="4802" w:type="dxa"/>
          </w:tcPr>
          <w:p w14:paraId="366C605C" w14:textId="172163E2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Albuma prezentācijas</w:t>
            </w:r>
            <w:r w:rsidR="001F4B74">
              <w:rPr>
                <w:rStyle w:val="FontStyle19"/>
                <w:b w:val="0"/>
                <w:bCs w:val="0"/>
              </w:rPr>
              <w:t xml:space="preserve"> </w:t>
            </w:r>
            <w:r w:rsidRPr="002260FD">
              <w:rPr>
                <w:rStyle w:val="FontStyle19"/>
                <w:b w:val="0"/>
                <w:bCs w:val="0"/>
              </w:rPr>
              <w:t>norises vietas īre</w:t>
            </w:r>
          </w:p>
        </w:tc>
        <w:tc>
          <w:tcPr>
            <w:tcW w:w="1282" w:type="dxa"/>
          </w:tcPr>
          <w:p w14:paraId="76B972C6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43750F77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900</w:t>
            </w:r>
          </w:p>
        </w:tc>
        <w:tc>
          <w:tcPr>
            <w:tcW w:w="992" w:type="dxa"/>
          </w:tcPr>
          <w:p w14:paraId="7CDF13AE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900</w:t>
            </w:r>
          </w:p>
        </w:tc>
      </w:tr>
      <w:tr w:rsidR="002260FD" w:rsidRPr="002260FD" w14:paraId="23CC5B76" w14:textId="77777777" w:rsidTr="001F4B74">
        <w:tc>
          <w:tcPr>
            <w:tcW w:w="705" w:type="dxa"/>
          </w:tcPr>
          <w:p w14:paraId="2DCC2C27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6.</w:t>
            </w:r>
          </w:p>
        </w:tc>
        <w:tc>
          <w:tcPr>
            <w:tcW w:w="4802" w:type="dxa"/>
          </w:tcPr>
          <w:p w14:paraId="0CC68EC4" w14:textId="77777777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Aparatūras īre</w:t>
            </w:r>
          </w:p>
        </w:tc>
        <w:tc>
          <w:tcPr>
            <w:tcW w:w="1282" w:type="dxa"/>
          </w:tcPr>
          <w:p w14:paraId="385FAA54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49162A0A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  <w:tc>
          <w:tcPr>
            <w:tcW w:w="992" w:type="dxa"/>
          </w:tcPr>
          <w:p w14:paraId="72578D15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</w:tr>
      <w:tr w:rsidR="002260FD" w:rsidRPr="002260FD" w14:paraId="2D3DBA51" w14:textId="77777777" w:rsidTr="001F4B74">
        <w:tc>
          <w:tcPr>
            <w:tcW w:w="705" w:type="dxa"/>
          </w:tcPr>
          <w:p w14:paraId="71DD8904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7.</w:t>
            </w:r>
          </w:p>
        </w:tc>
        <w:tc>
          <w:tcPr>
            <w:tcW w:w="4802" w:type="dxa"/>
          </w:tcPr>
          <w:p w14:paraId="5ADE65C6" w14:textId="77777777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Gaismotāja pakalpojumi</w:t>
            </w:r>
          </w:p>
        </w:tc>
        <w:tc>
          <w:tcPr>
            <w:tcW w:w="1282" w:type="dxa"/>
          </w:tcPr>
          <w:p w14:paraId="20F33892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2DCDF223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  <w:tc>
          <w:tcPr>
            <w:tcW w:w="992" w:type="dxa"/>
          </w:tcPr>
          <w:p w14:paraId="50CEEBED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500</w:t>
            </w:r>
          </w:p>
        </w:tc>
      </w:tr>
      <w:tr w:rsidR="002260FD" w:rsidRPr="002260FD" w14:paraId="58AC8E72" w14:textId="77777777" w:rsidTr="001F4B74">
        <w:tc>
          <w:tcPr>
            <w:tcW w:w="705" w:type="dxa"/>
          </w:tcPr>
          <w:p w14:paraId="34217963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8.</w:t>
            </w:r>
          </w:p>
        </w:tc>
        <w:tc>
          <w:tcPr>
            <w:tcW w:w="4802" w:type="dxa"/>
          </w:tcPr>
          <w:p w14:paraId="033A9B24" w14:textId="77777777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Vinila plašu izgatavošana</w:t>
            </w:r>
          </w:p>
        </w:tc>
        <w:tc>
          <w:tcPr>
            <w:tcW w:w="1282" w:type="dxa"/>
          </w:tcPr>
          <w:p w14:paraId="7A5E7530" w14:textId="7619D58D" w:rsidR="002260FD" w:rsidRPr="002260FD" w:rsidRDefault="00434413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1 000</w:t>
            </w:r>
          </w:p>
        </w:tc>
        <w:tc>
          <w:tcPr>
            <w:tcW w:w="1286" w:type="dxa"/>
          </w:tcPr>
          <w:p w14:paraId="14C2ACBA" w14:textId="78BCD16F" w:rsidR="002260FD" w:rsidRPr="002260FD" w:rsidRDefault="00434413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>
              <w:rPr>
                <w:rStyle w:val="FontStyle19"/>
                <w:b w:val="0"/>
                <w:bCs w:val="0"/>
              </w:rPr>
              <w:t>1</w:t>
            </w:r>
            <w:r w:rsidR="002260FD" w:rsidRPr="002260FD">
              <w:rPr>
                <w:rStyle w:val="FontStyle19"/>
                <w:b w:val="0"/>
                <w:bCs w:val="0"/>
              </w:rPr>
              <w:t xml:space="preserve"> 000</w:t>
            </w:r>
          </w:p>
        </w:tc>
        <w:tc>
          <w:tcPr>
            <w:tcW w:w="992" w:type="dxa"/>
          </w:tcPr>
          <w:p w14:paraId="0B69108C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2 000</w:t>
            </w:r>
          </w:p>
        </w:tc>
      </w:tr>
      <w:tr w:rsidR="002260FD" w:rsidRPr="002260FD" w14:paraId="046C9FDC" w14:textId="77777777" w:rsidTr="001F4B74">
        <w:tc>
          <w:tcPr>
            <w:tcW w:w="705" w:type="dxa"/>
          </w:tcPr>
          <w:p w14:paraId="6EE17F1B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lastRenderedPageBreak/>
              <w:t>9.</w:t>
            </w:r>
          </w:p>
        </w:tc>
        <w:tc>
          <w:tcPr>
            <w:tcW w:w="4802" w:type="dxa"/>
          </w:tcPr>
          <w:p w14:paraId="5BD62AE3" w14:textId="77777777" w:rsidR="002260FD" w:rsidRPr="002260FD" w:rsidRDefault="002260FD" w:rsidP="001F4B74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Degvielas izdevumi</w:t>
            </w:r>
          </w:p>
        </w:tc>
        <w:tc>
          <w:tcPr>
            <w:tcW w:w="1282" w:type="dxa"/>
          </w:tcPr>
          <w:p w14:paraId="42383EE0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</w:p>
        </w:tc>
        <w:tc>
          <w:tcPr>
            <w:tcW w:w="1286" w:type="dxa"/>
          </w:tcPr>
          <w:p w14:paraId="02D0ED3F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300</w:t>
            </w:r>
          </w:p>
        </w:tc>
        <w:tc>
          <w:tcPr>
            <w:tcW w:w="992" w:type="dxa"/>
          </w:tcPr>
          <w:p w14:paraId="242A4382" w14:textId="77777777" w:rsidR="002260FD" w:rsidRPr="002260FD" w:rsidRDefault="002260FD" w:rsidP="004333BD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300</w:t>
            </w:r>
          </w:p>
        </w:tc>
      </w:tr>
      <w:tr w:rsidR="002260FD" w:rsidRPr="002260FD" w14:paraId="62A76946" w14:textId="77777777" w:rsidTr="001F4B74">
        <w:tc>
          <w:tcPr>
            <w:tcW w:w="5507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563D65EE" w14:textId="77777777" w:rsidR="002260FD" w:rsidRPr="002260FD" w:rsidRDefault="002260FD" w:rsidP="004333BD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</w:rPr>
            </w:pPr>
            <w:r w:rsidRPr="002260FD">
              <w:rPr>
                <w:rStyle w:val="FontStyle19"/>
                <w:b w:val="0"/>
                <w:bCs w:val="0"/>
              </w:rPr>
              <w:t>KOPĀ (t.sk., nodokļi)</w:t>
            </w:r>
          </w:p>
        </w:tc>
        <w:tc>
          <w:tcPr>
            <w:tcW w:w="1282" w:type="dxa"/>
          </w:tcPr>
          <w:p w14:paraId="0C7C3F58" w14:textId="77777777" w:rsidR="002260FD" w:rsidRPr="001F4B74" w:rsidRDefault="002260FD" w:rsidP="004333B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F4B74">
              <w:rPr>
                <w:rStyle w:val="FontStyle19"/>
              </w:rPr>
              <w:t>1 000</w:t>
            </w: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FFFFFF"/>
            </w:tcBorders>
          </w:tcPr>
          <w:p w14:paraId="1596CB51" w14:textId="77777777" w:rsidR="002260FD" w:rsidRPr="001F4B74" w:rsidRDefault="002260FD" w:rsidP="004333B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F4B74">
              <w:rPr>
                <w:rStyle w:val="FontStyle19"/>
              </w:rPr>
              <w:t>11 500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502ACAE" w14:textId="77777777" w:rsidR="002260FD" w:rsidRPr="001F4B74" w:rsidRDefault="002260FD" w:rsidP="004333BD">
            <w:pPr>
              <w:pStyle w:val="Style6"/>
              <w:widowControl/>
              <w:spacing w:before="40" w:after="40"/>
              <w:rPr>
                <w:rStyle w:val="FontStyle19"/>
              </w:rPr>
            </w:pPr>
            <w:r w:rsidRPr="001F4B74">
              <w:rPr>
                <w:rStyle w:val="FontStyle19"/>
              </w:rPr>
              <w:t>12 500</w:t>
            </w:r>
          </w:p>
        </w:tc>
      </w:tr>
    </w:tbl>
    <w:p w14:paraId="29AF78C4" w14:textId="44B4C372" w:rsidR="00CE6EF3" w:rsidRPr="008360C2" w:rsidRDefault="00CE6EF3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t xml:space="preserve">Ādažu novada kultūras centrs veica Projekta atbilstības izvērtēšanu </w:t>
      </w:r>
      <w:r w:rsidR="001F4B74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projekts ir ieguvis </w:t>
      </w:r>
      <w:r w:rsidR="00B87DEC">
        <w:rPr>
          <w:rFonts w:ascii="Times New Roman" w:eastAsia="Calibri" w:hAnsi="Times New Roman" w:cs="Times New Roman"/>
        </w:rPr>
        <w:t>19</w:t>
      </w:r>
      <w:r w:rsidRPr="008360C2">
        <w:rPr>
          <w:rFonts w:ascii="Times New Roman" w:eastAsia="Calibri" w:hAnsi="Times New Roman" w:cs="Times New Roman"/>
        </w:rPr>
        <w:t xml:space="preserve"> punktus (no </w:t>
      </w:r>
      <w:r w:rsidR="00B87DEC">
        <w:rPr>
          <w:rFonts w:ascii="Times New Roman" w:eastAsia="Calibri" w:hAnsi="Times New Roman" w:cs="Times New Roman"/>
        </w:rPr>
        <w:t>24</w:t>
      </w:r>
      <w:r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29AF78C5" w14:textId="6B098EBE" w:rsidR="00CE6EF3" w:rsidRPr="008360C2" w:rsidRDefault="00CE6EF3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237BCA">
        <w:rPr>
          <w:rFonts w:ascii="Times New Roman" w:eastAsia="Calibri" w:hAnsi="Times New Roman" w:cs="Times New Roman"/>
        </w:rPr>
        <w:t>II.</w:t>
      </w:r>
      <w:r w:rsidR="001F4B74">
        <w:rPr>
          <w:rFonts w:ascii="Times New Roman" w:eastAsia="Calibri" w:hAnsi="Times New Roman" w:cs="Times New Roman"/>
        </w:rPr>
        <w:t xml:space="preserve"> </w:t>
      </w:r>
      <w:r w:rsidR="00237BCA">
        <w:rPr>
          <w:rFonts w:ascii="Times New Roman" w:eastAsia="Calibri" w:hAnsi="Times New Roman" w:cs="Times New Roman"/>
        </w:rPr>
        <w:t xml:space="preserve">daļu, </w:t>
      </w:r>
      <w:r w:rsidR="00CB5557">
        <w:rPr>
          <w:rFonts w:ascii="Times New Roman" w:eastAsia="Calibri" w:hAnsi="Times New Roman" w:cs="Times New Roman"/>
        </w:rPr>
        <w:t>23., 29. un 33. punktu</w:t>
      </w:r>
      <w:r w:rsidRPr="008360C2">
        <w:rPr>
          <w:rFonts w:ascii="Times New Roman" w:eastAsia="Calibri" w:hAnsi="Times New Roman" w:cs="Times New Roman"/>
        </w:rPr>
        <w:t xml:space="preserve">. punktu, </w:t>
      </w:r>
      <w:r w:rsidRPr="008360C2">
        <w:rPr>
          <w:rFonts w:ascii="Times New Roman" w:hAnsi="Times New Roman" w:cs="Times New Roman"/>
        </w:rPr>
        <w:t xml:space="preserve">kā arī </w:t>
      </w:r>
      <w:r w:rsidR="001F4B74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1F4B74">
        <w:rPr>
          <w:rFonts w:ascii="Times New Roman" w:hAnsi="Times New Roman" w:cs="Times New Roman"/>
          <w:noProof/>
        </w:rPr>
        <w:t>04</w:t>
      </w:r>
      <w:r w:rsidR="001F4B74" w:rsidRPr="008360C2">
        <w:rPr>
          <w:rFonts w:ascii="Times New Roman" w:hAnsi="Times New Roman" w:cs="Times New Roman"/>
          <w:noProof/>
        </w:rPr>
        <w:t>.0</w:t>
      </w:r>
      <w:r w:rsidR="001F4B74">
        <w:rPr>
          <w:rFonts w:ascii="Times New Roman" w:hAnsi="Times New Roman" w:cs="Times New Roman"/>
          <w:noProof/>
        </w:rPr>
        <w:t>2</w:t>
      </w:r>
      <w:r w:rsidR="001F4B74" w:rsidRPr="008360C2">
        <w:rPr>
          <w:rFonts w:ascii="Times New Roman" w:hAnsi="Times New Roman" w:cs="Times New Roman"/>
          <w:noProof/>
        </w:rPr>
        <w:t>.202</w:t>
      </w:r>
      <w:r w:rsidR="001F4B74">
        <w:rPr>
          <w:rFonts w:ascii="Times New Roman" w:hAnsi="Times New Roman" w:cs="Times New Roman"/>
          <w:noProof/>
        </w:rPr>
        <w:t>6</w:t>
      </w:r>
      <w:r w:rsidR="001F4B74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29AF78C6" w14:textId="77777777" w:rsidR="00CE6EF3" w:rsidRPr="008360C2" w:rsidRDefault="00CE6EF3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29AF78C7" w14:textId="2FB8FD3D" w:rsidR="00CE6EF3" w:rsidRPr="0082394E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686491">
        <w:rPr>
          <w:rStyle w:val="FontStyle20"/>
          <w:sz w:val="24"/>
          <w:szCs w:val="24"/>
        </w:rPr>
        <w:t>vārds, uzvārds</w:t>
      </w:r>
      <w:r w:rsidRPr="0082394E">
        <w:rPr>
          <w:rFonts w:ascii="Times New Roman" w:hAnsi="Times New Roman" w:cs="Times New Roman"/>
        </w:rPr>
        <w:t xml:space="preserve"> </w:t>
      </w:r>
      <w:r w:rsidR="002774D1">
        <w:rPr>
          <w:rFonts w:ascii="Times New Roman" w:hAnsi="Times New Roman" w:cs="Times New Roman"/>
        </w:rPr>
        <w:t>iesniegto P</w:t>
      </w:r>
      <w:r w:rsidRPr="0082394E">
        <w:rPr>
          <w:rFonts w:ascii="Times New Roman" w:hAnsi="Times New Roman" w:cs="Times New Roman"/>
        </w:rPr>
        <w:t xml:space="preserve">rojektu </w:t>
      </w:r>
      <w:r w:rsidRPr="0082394E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r w:rsidRPr="0082394E">
        <w:rPr>
          <w:rFonts w:ascii="Times New Roman" w:eastAsia="Calibri" w:hAnsi="Times New Roman" w:cs="Times New Roman"/>
          <w:iCs/>
          <w:color w:val="000000"/>
        </w:rPr>
        <w:t xml:space="preserve">EUR (viens tūkstotis </w:t>
      </w:r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r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="002774D1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C254A9">
        <w:rPr>
          <w:rFonts w:ascii="Times New Roman" w:eastAsia="Calibri" w:hAnsi="Times New Roman" w:cs="Times New Roman"/>
          <w:iCs/>
          <w:color w:val="000000"/>
        </w:rPr>
        <w:t xml:space="preserve">ar mērķi </w:t>
      </w:r>
      <w:r w:rsidR="002774D1">
        <w:rPr>
          <w:rFonts w:ascii="Times New Roman" w:eastAsia="Calibri" w:hAnsi="Times New Roman" w:cs="Times New Roman"/>
          <w:iCs/>
          <w:color w:val="000000"/>
        </w:rPr>
        <w:t>vinila plašu izdošanai.</w:t>
      </w:r>
    </w:p>
    <w:p w14:paraId="29AF78C8" w14:textId="028F4AA5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>sagatavot līguma projektu 1. punkta izpildei</w:t>
      </w:r>
      <w:r w:rsidR="00CB5557">
        <w:rPr>
          <w:rFonts w:ascii="Times New Roman" w:eastAsia="Calibri" w:hAnsi="Times New Roman" w:cs="Times New Roman"/>
          <w:color w:val="000000"/>
        </w:rPr>
        <w:t xml:space="preserve"> ar saimnieciskās darbības veicēju </w:t>
      </w:r>
      <w:r w:rsidR="00686491">
        <w:rPr>
          <w:rFonts w:ascii="Times New Roman" w:eastAsia="Calibri" w:hAnsi="Times New Roman" w:cs="Times New Roman"/>
          <w:color w:val="000000"/>
        </w:rPr>
        <w:t>vārds, uzvārds</w:t>
      </w:r>
      <w:r w:rsidR="00CB5557">
        <w:rPr>
          <w:rFonts w:ascii="Times New Roman" w:eastAsia="Calibri" w:hAnsi="Times New Roman" w:cs="Times New Roman"/>
          <w:color w:val="000000"/>
        </w:rPr>
        <w:t xml:space="preserve"> (reģ. kods)</w:t>
      </w:r>
      <w:r w:rsidRPr="008360C2">
        <w:rPr>
          <w:rFonts w:ascii="Times New Roman" w:eastAsia="Calibri" w:hAnsi="Times New Roman" w:cs="Times New Roman"/>
          <w:color w:val="000000"/>
        </w:rPr>
        <w:t xml:space="preserve">, nosakot </w:t>
      </w:r>
      <w:r w:rsidR="00CB5557">
        <w:rPr>
          <w:rFonts w:ascii="Times New Roman" w:eastAsia="Calibri" w:hAnsi="Times New Roman" w:cs="Times New Roman"/>
          <w:color w:val="000000"/>
        </w:rPr>
        <w:t xml:space="preserve">viņam </w:t>
      </w:r>
      <w:r w:rsidRPr="008360C2">
        <w:rPr>
          <w:rFonts w:ascii="Times New Roman" w:eastAsia="Calibri" w:hAnsi="Times New Roman" w:cs="Times New Roman"/>
          <w:color w:val="000000"/>
        </w:rPr>
        <w:t>pienākumu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29AF78C9" w14:textId="77777777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9AF78CA" w14:textId="4E2F3FAF" w:rsidR="00CE6EF3" w:rsidRPr="008360C2" w:rsidRDefault="00CE6EF3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</w:t>
      </w:r>
      <w:r w:rsidR="00A11660" w:rsidRPr="008360C2">
        <w:rPr>
          <w:rFonts w:ascii="Times New Roman" w:eastAsia="Calibri" w:hAnsi="Times New Roman" w:cs="Times New Roman"/>
          <w:color w:val="000000"/>
        </w:rPr>
        <w:t>no Ādažu novada kultūras centra 202</w:t>
      </w:r>
      <w:r w:rsidR="00A11660">
        <w:rPr>
          <w:rFonts w:ascii="Times New Roman" w:eastAsia="Calibri" w:hAnsi="Times New Roman" w:cs="Times New Roman"/>
          <w:color w:val="000000"/>
        </w:rPr>
        <w:t>6</w:t>
      </w:r>
      <w:r w:rsidR="00A11660" w:rsidRPr="008360C2">
        <w:rPr>
          <w:rFonts w:ascii="Times New Roman" w:eastAsia="Calibri" w:hAnsi="Times New Roman" w:cs="Times New Roman"/>
          <w:color w:val="000000"/>
        </w:rPr>
        <w:t xml:space="preserve">. gada budžeta tāmes līdzekļiem </w:t>
      </w:r>
      <w:r w:rsidRPr="008360C2">
        <w:rPr>
          <w:rFonts w:ascii="Times New Roman" w:eastAsia="Calibri" w:hAnsi="Times New Roman" w:cs="Times New Roman"/>
          <w:color w:val="000000"/>
        </w:rPr>
        <w:t xml:space="preserve">apmaksāt </w:t>
      </w:r>
      <w:r w:rsidR="00884CFA">
        <w:rPr>
          <w:rStyle w:val="FontStyle20"/>
          <w:sz w:val="24"/>
          <w:szCs w:val="24"/>
        </w:rPr>
        <w:t>vārds, uzvārds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DB4D9B">
        <w:rPr>
          <w:rFonts w:ascii="Times New Roman" w:eastAsia="Calibri" w:hAnsi="Times New Roman" w:cs="Times New Roman"/>
          <w:color w:val="000000"/>
        </w:rPr>
        <w:t>8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</w:t>
      </w:r>
      <w:r w:rsidR="001F4B74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29AF78CB" w14:textId="77777777" w:rsidR="00927D47" w:rsidRDefault="00CE6EF3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29AF78CC" w14:textId="77777777" w:rsidR="00927D47" w:rsidRPr="008360C2" w:rsidRDefault="00927D47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29AF78CD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9AF78C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CABE8CC" w14:textId="77777777" w:rsidR="001F4B74" w:rsidRDefault="00A0057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1F4B74">
        <w:rPr>
          <w:rFonts w:ascii="Times New Roman" w:hAnsi="Times New Roman" w:cs="Times New Roman"/>
          <w:noProof/>
        </w:rPr>
        <w:t>a vietnieks</w:t>
      </w:r>
    </w:p>
    <w:p w14:paraId="29AF78CF" w14:textId="6BEE452C" w:rsidR="00564CA6" w:rsidRDefault="00CB5557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="001F4B74">
        <w:rPr>
          <w:rFonts w:ascii="Times New Roman" w:hAnsi="Times New Roman" w:cs="Times New Roman"/>
          <w:noProof/>
        </w:rPr>
        <w:t>ttīstības jautājumo</w:t>
      </w:r>
      <w:r w:rsidR="002774D1">
        <w:rPr>
          <w:rFonts w:ascii="Times New Roman" w:hAnsi="Times New Roman" w:cs="Times New Roman"/>
          <w:noProof/>
        </w:rPr>
        <w:t>s</w:t>
      </w:r>
      <w:r w:rsidR="00A00576" w:rsidRPr="00564CA6">
        <w:rPr>
          <w:rFonts w:ascii="Times New Roman" w:hAnsi="Times New Roman" w:cs="Times New Roman"/>
          <w:noProof/>
        </w:rPr>
        <w:tab/>
      </w:r>
      <w:r w:rsidR="00A00576" w:rsidRPr="00564CA6">
        <w:rPr>
          <w:rFonts w:ascii="Times New Roman" w:hAnsi="Times New Roman" w:cs="Times New Roman"/>
          <w:noProof/>
        </w:rPr>
        <w:tab/>
      </w:r>
      <w:r w:rsidR="00A00576" w:rsidRPr="00564CA6">
        <w:rPr>
          <w:rFonts w:ascii="Times New Roman" w:hAnsi="Times New Roman" w:cs="Times New Roman"/>
          <w:noProof/>
        </w:rPr>
        <w:tab/>
      </w:r>
      <w:r w:rsidR="00A00576" w:rsidRPr="00564CA6">
        <w:rPr>
          <w:rFonts w:ascii="Times New Roman" w:hAnsi="Times New Roman" w:cs="Times New Roman"/>
          <w:noProof/>
        </w:rPr>
        <w:tab/>
      </w:r>
      <w:r w:rsidR="001F4B74">
        <w:rPr>
          <w:rFonts w:ascii="Times New Roman" w:hAnsi="Times New Roman" w:cs="Times New Roman"/>
          <w:noProof/>
        </w:rPr>
        <w:t xml:space="preserve">                   </w:t>
      </w:r>
      <w:r w:rsidR="00DB639F">
        <w:rPr>
          <w:rFonts w:ascii="Times New Roman" w:hAnsi="Times New Roman" w:cs="Times New Roman"/>
          <w:noProof/>
        </w:rPr>
        <w:tab/>
      </w:r>
      <w:r w:rsidR="00DB639F">
        <w:rPr>
          <w:rFonts w:ascii="Times New Roman" w:hAnsi="Times New Roman" w:cs="Times New Roman"/>
          <w:noProof/>
        </w:rPr>
        <w:tab/>
      </w:r>
      <w:r w:rsidR="00DB639F">
        <w:rPr>
          <w:rFonts w:ascii="Times New Roman" w:hAnsi="Times New Roman" w:cs="Times New Roman"/>
          <w:noProof/>
        </w:rPr>
        <w:tab/>
      </w:r>
      <w:r w:rsidR="00DB639F">
        <w:rPr>
          <w:rFonts w:ascii="Times New Roman" w:hAnsi="Times New Roman" w:cs="Times New Roman"/>
          <w:noProof/>
        </w:rPr>
        <w:tab/>
      </w:r>
      <w:r w:rsidR="001F4B74">
        <w:rPr>
          <w:rFonts w:ascii="Times New Roman" w:hAnsi="Times New Roman" w:cs="Times New Roman"/>
          <w:noProof/>
        </w:rPr>
        <w:t>G. Miglāns</w:t>
      </w:r>
      <w:r w:rsidR="00A00576" w:rsidRPr="00564CA6">
        <w:rPr>
          <w:rFonts w:ascii="Times New Roman" w:hAnsi="Times New Roman" w:cs="Times New Roman"/>
          <w:noProof/>
        </w:rPr>
        <w:t xml:space="preserve"> </w:t>
      </w:r>
    </w:p>
    <w:p w14:paraId="29AF78D0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9AF78D1" w14:textId="77777777" w:rsidR="00147221" w:rsidRPr="00147221" w:rsidRDefault="00A0057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9AF78D2" w14:textId="77777777" w:rsidR="00564CA6" w:rsidRPr="00564CA6" w:rsidRDefault="00A0057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9AF78D3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9AF78D4" w14:textId="77777777" w:rsidR="001524EA" w:rsidRDefault="001524EA" w:rsidP="001524EA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noProof/>
        </w:rPr>
        <w:t>Iesniedzējam – 1 eks.</w:t>
      </w:r>
    </w:p>
    <w:p w14:paraId="29AF78D5" w14:textId="77777777" w:rsidR="001524EA" w:rsidRPr="00556C82" w:rsidRDefault="001524EA" w:rsidP="001524EA">
      <w:pPr>
        <w:jc w:val="both"/>
        <w:rPr>
          <w:rFonts w:ascii="Times New Roman" w:eastAsia="Calibri" w:hAnsi="Times New Roman" w:cs="Times New Roman"/>
          <w:noProof/>
        </w:rPr>
      </w:pPr>
      <w:r w:rsidRPr="00556C82">
        <w:rPr>
          <w:rFonts w:ascii="Times New Roman" w:eastAsia="Calibri" w:hAnsi="Times New Roman" w:cs="Times New Roman"/>
          <w:color w:val="000000"/>
        </w:rPr>
        <w:t>JIN, G</w:t>
      </w:r>
      <w:r>
        <w:rPr>
          <w:rFonts w:ascii="Times New Roman" w:eastAsia="Calibri" w:hAnsi="Times New Roman" w:cs="Times New Roman"/>
          <w:color w:val="000000"/>
        </w:rPr>
        <w:t>R</w:t>
      </w:r>
      <w:r w:rsidRPr="00556C82">
        <w:rPr>
          <w:rFonts w:ascii="Times New Roman" w:eastAsia="Calibri" w:hAnsi="Times New Roman" w:cs="Times New Roman"/>
          <w:color w:val="000000"/>
        </w:rPr>
        <w:t>N</w:t>
      </w:r>
      <w:r>
        <w:rPr>
          <w:rFonts w:ascii="Times New Roman" w:eastAsia="Calibri" w:hAnsi="Times New Roman" w:cs="Times New Roman"/>
          <w:color w:val="000000"/>
        </w:rPr>
        <w:t>,</w:t>
      </w:r>
      <w:r w:rsidRPr="00556C82">
        <w:rPr>
          <w:rFonts w:ascii="Times New Roman" w:eastAsia="Calibri" w:hAnsi="Times New Roman" w:cs="Times New Roman"/>
          <w:b/>
        </w:rPr>
        <w:t xml:space="preserve"> </w:t>
      </w:r>
      <w:r w:rsidRPr="00556C82">
        <w:rPr>
          <w:rFonts w:ascii="Times New Roman" w:eastAsia="Calibri" w:hAnsi="Times New Roman" w:cs="Times New Roman"/>
          <w:color w:val="000000"/>
        </w:rPr>
        <w:t>F</w:t>
      </w:r>
      <w:r>
        <w:rPr>
          <w:rFonts w:ascii="Times New Roman" w:eastAsia="Calibri" w:hAnsi="Times New Roman" w:cs="Times New Roman"/>
          <w:color w:val="000000"/>
        </w:rPr>
        <w:t>I</w:t>
      </w:r>
      <w:r w:rsidRPr="00556C82">
        <w:rPr>
          <w:rFonts w:ascii="Times New Roman" w:eastAsia="Calibri" w:hAnsi="Times New Roman" w:cs="Times New Roman"/>
          <w:color w:val="000000"/>
        </w:rPr>
        <w:t>N,</w:t>
      </w:r>
      <w:r>
        <w:rPr>
          <w:rFonts w:ascii="Times New Roman" w:eastAsia="Calibri" w:hAnsi="Times New Roman" w:cs="Times New Roman"/>
          <w:color w:val="000000"/>
        </w:rPr>
        <w:t xml:space="preserve"> ĀNKC, IDR</w:t>
      </w:r>
      <w:r w:rsidRPr="00556C82">
        <w:rPr>
          <w:rFonts w:ascii="Times New Roman" w:eastAsia="Calibri" w:hAnsi="Times New Roman" w:cs="Times New Roman"/>
          <w:color w:val="000000"/>
        </w:rPr>
        <w:t xml:space="preserve"> </w:t>
      </w:r>
      <w:r w:rsidRPr="00556C82">
        <w:rPr>
          <w:rFonts w:ascii="Times New Roman" w:eastAsia="Calibri" w:hAnsi="Times New Roman" w:cs="Times New Roman"/>
          <w:noProof/>
        </w:rPr>
        <w:t>- @</w:t>
      </w:r>
    </w:p>
    <w:p w14:paraId="29AF78D6" w14:textId="77777777" w:rsidR="001524EA" w:rsidRPr="00564CA6" w:rsidRDefault="001524EA" w:rsidP="001524EA">
      <w:pPr>
        <w:jc w:val="both"/>
        <w:rPr>
          <w:rFonts w:ascii="Times New Roman" w:hAnsi="Times New Roman" w:cs="Times New Roman"/>
          <w:color w:val="FF0000"/>
        </w:rPr>
      </w:pPr>
    </w:p>
    <w:p w14:paraId="29AF78D7" w14:textId="77777777" w:rsidR="001524EA" w:rsidRPr="00564CA6" w:rsidRDefault="001524EA" w:rsidP="001524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L.Tiļuga 29456335</w:t>
      </w:r>
    </w:p>
    <w:p w14:paraId="29AF78D8" w14:textId="77777777" w:rsidR="00564CA6" w:rsidRPr="00B47C10" w:rsidRDefault="00564CA6" w:rsidP="001524E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8C62" w14:textId="77777777" w:rsidR="00511F98" w:rsidRDefault="00511F98">
      <w:r>
        <w:separator/>
      </w:r>
    </w:p>
  </w:endnote>
  <w:endnote w:type="continuationSeparator" w:id="0">
    <w:p w14:paraId="2DFEBD5D" w14:textId="77777777" w:rsidR="00511F98" w:rsidRDefault="0051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11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9AF78E0" w14:textId="77777777" w:rsidR="005C7FA1" w:rsidRPr="005C7FA1" w:rsidRDefault="00A0057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AF78E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E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9AF78E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4B0F" w14:textId="77777777" w:rsidR="00511F98" w:rsidRDefault="00511F98">
      <w:r>
        <w:separator/>
      </w:r>
    </w:p>
  </w:footnote>
  <w:footnote w:type="continuationSeparator" w:id="0">
    <w:p w14:paraId="51258777" w14:textId="77777777" w:rsidR="00511F98" w:rsidRDefault="0051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DF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78E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864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EB634" w:tentative="1">
      <w:start w:val="1"/>
      <w:numFmt w:val="lowerLetter"/>
      <w:lvlText w:val="%2."/>
      <w:lvlJc w:val="left"/>
      <w:pPr>
        <w:ind w:left="1440" w:hanging="360"/>
      </w:pPr>
    </w:lvl>
    <w:lvl w:ilvl="2" w:tplc="5B68375C" w:tentative="1">
      <w:start w:val="1"/>
      <w:numFmt w:val="lowerRoman"/>
      <w:lvlText w:val="%3."/>
      <w:lvlJc w:val="right"/>
      <w:pPr>
        <w:ind w:left="2160" w:hanging="180"/>
      </w:pPr>
    </w:lvl>
    <w:lvl w:ilvl="3" w:tplc="2D36DF90" w:tentative="1">
      <w:start w:val="1"/>
      <w:numFmt w:val="decimal"/>
      <w:lvlText w:val="%4."/>
      <w:lvlJc w:val="left"/>
      <w:pPr>
        <w:ind w:left="2880" w:hanging="360"/>
      </w:pPr>
    </w:lvl>
    <w:lvl w:ilvl="4" w:tplc="1FFED904" w:tentative="1">
      <w:start w:val="1"/>
      <w:numFmt w:val="lowerLetter"/>
      <w:lvlText w:val="%5."/>
      <w:lvlJc w:val="left"/>
      <w:pPr>
        <w:ind w:left="3600" w:hanging="360"/>
      </w:pPr>
    </w:lvl>
    <w:lvl w:ilvl="5" w:tplc="2EB8C878" w:tentative="1">
      <w:start w:val="1"/>
      <w:numFmt w:val="lowerRoman"/>
      <w:lvlText w:val="%6."/>
      <w:lvlJc w:val="right"/>
      <w:pPr>
        <w:ind w:left="4320" w:hanging="180"/>
      </w:pPr>
    </w:lvl>
    <w:lvl w:ilvl="6" w:tplc="54F470F4" w:tentative="1">
      <w:start w:val="1"/>
      <w:numFmt w:val="decimal"/>
      <w:lvlText w:val="%7."/>
      <w:lvlJc w:val="left"/>
      <w:pPr>
        <w:ind w:left="5040" w:hanging="360"/>
      </w:pPr>
    </w:lvl>
    <w:lvl w:ilvl="7" w:tplc="DE503472" w:tentative="1">
      <w:start w:val="1"/>
      <w:numFmt w:val="lowerLetter"/>
      <w:lvlText w:val="%8."/>
      <w:lvlJc w:val="left"/>
      <w:pPr>
        <w:ind w:left="5760" w:hanging="360"/>
      </w:pPr>
    </w:lvl>
    <w:lvl w:ilvl="8" w:tplc="4F502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AE3"/>
    <w:rsid w:val="00030457"/>
    <w:rsid w:val="0004330D"/>
    <w:rsid w:val="000536C8"/>
    <w:rsid w:val="00064612"/>
    <w:rsid w:val="00070E3F"/>
    <w:rsid w:val="000A7B37"/>
    <w:rsid w:val="000D5B11"/>
    <w:rsid w:val="00142C97"/>
    <w:rsid w:val="00147221"/>
    <w:rsid w:val="001524EA"/>
    <w:rsid w:val="001661BA"/>
    <w:rsid w:val="001724BF"/>
    <w:rsid w:val="001836B4"/>
    <w:rsid w:val="001837A1"/>
    <w:rsid w:val="00195A73"/>
    <w:rsid w:val="001A297B"/>
    <w:rsid w:val="001E2FCF"/>
    <w:rsid w:val="001F4B74"/>
    <w:rsid w:val="00201BE4"/>
    <w:rsid w:val="002260FD"/>
    <w:rsid w:val="00237BCA"/>
    <w:rsid w:val="00252A80"/>
    <w:rsid w:val="0025391B"/>
    <w:rsid w:val="002774D1"/>
    <w:rsid w:val="00297558"/>
    <w:rsid w:val="002D53F6"/>
    <w:rsid w:val="003001B5"/>
    <w:rsid w:val="00351D48"/>
    <w:rsid w:val="003C0A58"/>
    <w:rsid w:val="003C401E"/>
    <w:rsid w:val="004061F5"/>
    <w:rsid w:val="00434413"/>
    <w:rsid w:val="00453708"/>
    <w:rsid w:val="004C7388"/>
    <w:rsid w:val="004D516C"/>
    <w:rsid w:val="00511F98"/>
    <w:rsid w:val="0051780E"/>
    <w:rsid w:val="00521C00"/>
    <w:rsid w:val="0053073B"/>
    <w:rsid w:val="00543508"/>
    <w:rsid w:val="00564CA6"/>
    <w:rsid w:val="005C7FA1"/>
    <w:rsid w:val="00617AAC"/>
    <w:rsid w:val="00622F5B"/>
    <w:rsid w:val="006237C4"/>
    <w:rsid w:val="00686491"/>
    <w:rsid w:val="00693F05"/>
    <w:rsid w:val="006C0BD6"/>
    <w:rsid w:val="006D3451"/>
    <w:rsid w:val="006D513B"/>
    <w:rsid w:val="006E657B"/>
    <w:rsid w:val="006F3B0E"/>
    <w:rsid w:val="0074092B"/>
    <w:rsid w:val="007503FF"/>
    <w:rsid w:val="007608EA"/>
    <w:rsid w:val="00767E32"/>
    <w:rsid w:val="007746BD"/>
    <w:rsid w:val="00780FD7"/>
    <w:rsid w:val="00791AA8"/>
    <w:rsid w:val="0079484F"/>
    <w:rsid w:val="007B4DDB"/>
    <w:rsid w:val="008257F8"/>
    <w:rsid w:val="00856CDD"/>
    <w:rsid w:val="00884CFA"/>
    <w:rsid w:val="00890709"/>
    <w:rsid w:val="008B3904"/>
    <w:rsid w:val="008D5195"/>
    <w:rsid w:val="008E3846"/>
    <w:rsid w:val="009139A1"/>
    <w:rsid w:val="009173A9"/>
    <w:rsid w:val="00927D47"/>
    <w:rsid w:val="00931891"/>
    <w:rsid w:val="00955F77"/>
    <w:rsid w:val="00996740"/>
    <w:rsid w:val="009A3989"/>
    <w:rsid w:val="009B3062"/>
    <w:rsid w:val="009B7F8F"/>
    <w:rsid w:val="00A00576"/>
    <w:rsid w:val="00A11660"/>
    <w:rsid w:val="00A24491"/>
    <w:rsid w:val="00A254B5"/>
    <w:rsid w:val="00A46959"/>
    <w:rsid w:val="00A506D9"/>
    <w:rsid w:val="00A52B04"/>
    <w:rsid w:val="00AB1F94"/>
    <w:rsid w:val="00AE401E"/>
    <w:rsid w:val="00B062A5"/>
    <w:rsid w:val="00B36CD4"/>
    <w:rsid w:val="00B4014F"/>
    <w:rsid w:val="00B47C10"/>
    <w:rsid w:val="00B60683"/>
    <w:rsid w:val="00B87DEC"/>
    <w:rsid w:val="00BB16A4"/>
    <w:rsid w:val="00BC530B"/>
    <w:rsid w:val="00BD38D9"/>
    <w:rsid w:val="00BE75D1"/>
    <w:rsid w:val="00C254A9"/>
    <w:rsid w:val="00C65192"/>
    <w:rsid w:val="00C82360"/>
    <w:rsid w:val="00C925AE"/>
    <w:rsid w:val="00C9477C"/>
    <w:rsid w:val="00CB4A2E"/>
    <w:rsid w:val="00CB5557"/>
    <w:rsid w:val="00CC1B2F"/>
    <w:rsid w:val="00CD124D"/>
    <w:rsid w:val="00CD17C7"/>
    <w:rsid w:val="00CE689D"/>
    <w:rsid w:val="00CE6EF3"/>
    <w:rsid w:val="00CF16C2"/>
    <w:rsid w:val="00D125B2"/>
    <w:rsid w:val="00D26604"/>
    <w:rsid w:val="00D86969"/>
    <w:rsid w:val="00D945F4"/>
    <w:rsid w:val="00D97AB1"/>
    <w:rsid w:val="00DB4D9B"/>
    <w:rsid w:val="00DB639F"/>
    <w:rsid w:val="00DD1B61"/>
    <w:rsid w:val="00DF3A19"/>
    <w:rsid w:val="00E52DA2"/>
    <w:rsid w:val="00E75D8D"/>
    <w:rsid w:val="00EA3B65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F787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Normal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Revision">
    <w:name w:val="Revision"/>
    <w:hidden/>
    <w:uiPriority w:val="99"/>
    <w:semiHidden/>
    <w:rsid w:val="00C65192"/>
  </w:style>
  <w:style w:type="character" w:customStyle="1" w:styleId="Heading1Char">
    <w:name w:val="Heading 1 Char"/>
    <w:basedOn w:val="DefaultParagraphFont"/>
    <w:link w:val="Heading1"/>
    <w:uiPriority w:val="9"/>
    <w:rsid w:val="003C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6</cp:revision>
  <dcterms:created xsi:type="dcterms:W3CDTF">2026-01-28T08:26:00Z</dcterms:created>
  <dcterms:modified xsi:type="dcterms:W3CDTF">2026-01-30T09:03:00Z</dcterms:modified>
</cp:coreProperties>
</file>