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DA34" w14:textId="77777777" w:rsidR="004D516C" w:rsidRDefault="003F53FA" w:rsidP="00564CA6">
      <w:r>
        <w:rPr>
          <w:noProof/>
        </w:rPr>
        <w:drawing>
          <wp:inline distT="0" distB="0" distL="0" distR="0" wp14:anchorId="2DF65ACE" wp14:editId="5F065EA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90FF2E7" w14:textId="77777777" w:rsidR="00310BC7" w:rsidRPr="004C33B2" w:rsidRDefault="003F53FA"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23E6650E" w14:textId="77777777" w:rsidR="00310BC7" w:rsidRDefault="003F53FA" w:rsidP="003F53FA">
      <w:pPr>
        <w:ind w:left="5245"/>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sidR="00032FCB">
        <w:rPr>
          <w:rFonts w:ascii="Times New Roman" w:hAnsi="Times New Roman"/>
          <w:noProof/>
        </w:rPr>
        <w:t>25</w:t>
      </w:r>
      <w:r w:rsidRPr="00032FCB">
        <w:rPr>
          <w:rFonts w:ascii="Times New Roman" w:hAnsi="Times New Roman"/>
          <w:noProof/>
        </w:rPr>
        <w:t xml:space="preserve">. gada </w:t>
      </w:r>
      <w:r w:rsidR="00A3002D">
        <w:rPr>
          <w:rFonts w:ascii="Times New Roman" w:hAnsi="Times New Roman"/>
          <w:noProof/>
        </w:rPr>
        <w:t>2</w:t>
      </w:r>
      <w:r w:rsidR="0034561D">
        <w:rPr>
          <w:rFonts w:ascii="Times New Roman" w:hAnsi="Times New Roman"/>
          <w:noProof/>
        </w:rPr>
        <w:t>7</w:t>
      </w:r>
      <w:r w:rsidRPr="00032FCB">
        <w:rPr>
          <w:rFonts w:ascii="Times New Roman" w:hAnsi="Times New Roman"/>
          <w:noProof/>
        </w:rPr>
        <w:t>.</w:t>
      </w:r>
      <w:r w:rsidR="0034561D">
        <w:rPr>
          <w:rFonts w:ascii="Times New Roman" w:hAnsi="Times New Roman"/>
          <w:noProof/>
        </w:rPr>
        <w:t>novembra</w:t>
      </w:r>
      <w:r w:rsidR="00A3002D" w:rsidRPr="00032FCB">
        <w:rPr>
          <w:rFonts w:ascii="Times New Roman" w:hAnsi="Times New Roman"/>
          <w:bCs/>
        </w:rPr>
        <w:t xml:space="preserve"> </w:t>
      </w:r>
      <w:r w:rsidRPr="00032FCB">
        <w:rPr>
          <w:rFonts w:ascii="Times New Roman" w:hAnsi="Times New Roman"/>
          <w:bCs/>
        </w:rPr>
        <w:t>sēdes lēmumu (</w:t>
      </w:r>
      <w:r w:rsidRPr="00032FCB">
        <w:rPr>
          <w:rFonts w:ascii="Times New Roman" w:hAnsi="Times New Roman"/>
        </w:rPr>
        <w:t>protokols Nr</w:t>
      </w:r>
      <w:r w:rsidRPr="003F53FA">
        <w:rPr>
          <w:rFonts w:ascii="Times New Roman" w:hAnsi="Times New Roman"/>
        </w:rPr>
        <w:t>. 28 § 25</w:t>
      </w:r>
      <w:r w:rsidRPr="00032FCB">
        <w:rPr>
          <w:rFonts w:ascii="Times New Roman" w:hAnsi="Times New Roman"/>
          <w:bCs/>
        </w:rPr>
        <w:t xml:space="preserve">) </w:t>
      </w:r>
    </w:p>
    <w:p w14:paraId="1D5B555C" w14:textId="77777777" w:rsidR="005003D7" w:rsidRDefault="005003D7" w:rsidP="003F53FA">
      <w:pPr>
        <w:ind w:left="5245"/>
        <w:jc w:val="right"/>
        <w:rPr>
          <w:rFonts w:ascii="Times New Roman" w:hAnsi="Times New Roman"/>
          <w:bCs/>
        </w:rPr>
      </w:pPr>
    </w:p>
    <w:p w14:paraId="637F7B5B" w14:textId="4938DD35" w:rsidR="005003D7" w:rsidRPr="004C33B2" w:rsidRDefault="005003D7" w:rsidP="005003D7">
      <w:pPr>
        <w:ind w:left="5387" w:firstLine="279"/>
        <w:jc w:val="right"/>
        <w:rPr>
          <w:rFonts w:ascii="Times New Roman" w:hAnsi="Times New Roman"/>
          <w:bCs/>
        </w:rPr>
      </w:pPr>
      <w:r>
        <w:rPr>
          <w:rFonts w:ascii="Times New Roman" w:hAnsi="Times New Roman"/>
          <w:bCs/>
        </w:rPr>
        <w:t>PRECIZĒTI</w:t>
      </w:r>
    </w:p>
    <w:p w14:paraId="2CAC43F3" w14:textId="0D3E74D1" w:rsidR="005003D7" w:rsidRPr="00032FCB" w:rsidRDefault="005003D7" w:rsidP="005003D7">
      <w:pPr>
        <w:ind w:left="5245"/>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Pr>
          <w:rFonts w:ascii="Times New Roman" w:hAnsi="Times New Roman"/>
          <w:noProof/>
        </w:rPr>
        <w:t>26</w:t>
      </w:r>
      <w:r w:rsidRPr="00032FCB">
        <w:rPr>
          <w:rFonts w:ascii="Times New Roman" w:hAnsi="Times New Roman"/>
          <w:noProof/>
        </w:rPr>
        <w:t xml:space="preserve">. gada </w:t>
      </w:r>
      <w:r>
        <w:rPr>
          <w:rFonts w:ascii="Times New Roman" w:hAnsi="Times New Roman"/>
          <w:noProof/>
        </w:rPr>
        <w:t>29</w:t>
      </w:r>
      <w:r w:rsidRPr="00032FCB">
        <w:rPr>
          <w:rFonts w:ascii="Times New Roman" w:hAnsi="Times New Roman"/>
          <w:noProof/>
        </w:rPr>
        <w:t>.</w:t>
      </w:r>
      <w:r w:rsidR="00E835C1">
        <w:rPr>
          <w:rFonts w:ascii="Times New Roman" w:hAnsi="Times New Roman"/>
          <w:noProof/>
        </w:rPr>
        <w:t xml:space="preserve"> </w:t>
      </w:r>
      <w:r>
        <w:rPr>
          <w:rFonts w:ascii="Times New Roman" w:hAnsi="Times New Roman"/>
          <w:noProof/>
        </w:rPr>
        <w:t>janvāra</w:t>
      </w:r>
      <w:r w:rsidRPr="00032FCB">
        <w:rPr>
          <w:rFonts w:ascii="Times New Roman" w:hAnsi="Times New Roman"/>
          <w:bCs/>
        </w:rPr>
        <w:t xml:space="preserve"> sēdes lēmumu (</w:t>
      </w:r>
      <w:r w:rsidRPr="00032FCB">
        <w:rPr>
          <w:rFonts w:ascii="Times New Roman" w:hAnsi="Times New Roman"/>
        </w:rPr>
        <w:t>protokols Nr</w:t>
      </w:r>
      <w:r w:rsidRPr="003F53FA">
        <w:rPr>
          <w:rFonts w:ascii="Times New Roman" w:hAnsi="Times New Roman"/>
        </w:rPr>
        <w:t xml:space="preserve">. </w:t>
      </w:r>
      <w:r w:rsidR="0054370A">
        <w:rPr>
          <w:rFonts w:ascii="Times New Roman" w:hAnsi="Times New Roman"/>
        </w:rPr>
        <w:t>3</w:t>
      </w:r>
      <w:r w:rsidRPr="003F53FA">
        <w:rPr>
          <w:rFonts w:ascii="Times New Roman" w:hAnsi="Times New Roman"/>
        </w:rPr>
        <w:t xml:space="preserve"> § </w:t>
      </w:r>
      <w:r w:rsidR="0054370A">
        <w:rPr>
          <w:rFonts w:ascii="Times New Roman" w:hAnsi="Times New Roman"/>
        </w:rPr>
        <w:t>43</w:t>
      </w:r>
      <w:r w:rsidRPr="00032FCB">
        <w:rPr>
          <w:rFonts w:ascii="Times New Roman" w:hAnsi="Times New Roman"/>
          <w:bCs/>
        </w:rPr>
        <w:t xml:space="preserve">) </w:t>
      </w:r>
    </w:p>
    <w:p w14:paraId="2A09EC3F" w14:textId="77777777" w:rsidR="005003D7" w:rsidRPr="00032FCB" w:rsidRDefault="005003D7" w:rsidP="003F53FA">
      <w:pPr>
        <w:ind w:left="5245"/>
        <w:jc w:val="right"/>
        <w:rPr>
          <w:rFonts w:ascii="Times New Roman" w:hAnsi="Times New Roman"/>
          <w:bCs/>
        </w:rPr>
      </w:pPr>
    </w:p>
    <w:bookmarkEnd w:id="0"/>
    <w:p w14:paraId="58BF9B75" w14:textId="77777777" w:rsidR="00310BC7" w:rsidRPr="00032FCB" w:rsidRDefault="00310BC7" w:rsidP="00310BC7">
      <w:pPr>
        <w:shd w:val="clear" w:color="auto" w:fill="FFFFFF"/>
        <w:rPr>
          <w:rFonts w:ascii="Times New Roman" w:eastAsia="Times New Roman" w:hAnsi="Times New Roman"/>
          <w:sz w:val="28"/>
          <w:szCs w:val="28"/>
          <w:lang w:bidi="en-US"/>
        </w:rPr>
      </w:pPr>
    </w:p>
    <w:p w14:paraId="49BBBB62" w14:textId="77777777" w:rsidR="00310BC7" w:rsidRPr="00032FCB" w:rsidRDefault="003F53FA"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2107D50" w14:textId="77777777" w:rsidR="00310BC7" w:rsidRPr="00032FCB" w:rsidRDefault="003F53FA"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0DA43052" w14:textId="77777777" w:rsidR="00564CA6" w:rsidRPr="00032FCB" w:rsidRDefault="003F53FA"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6EDE6D7D" w14:textId="77777777" w:rsidR="00564CA6" w:rsidRPr="00564CA6" w:rsidRDefault="003F53FA"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25</w:t>
      </w:r>
      <w:r w:rsidRPr="00032FCB">
        <w:rPr>
          <w:rFonts w:ascii="Times New Roman" w:hAnsi="Times New Roman" w:cs="Times New Roman"/>
        </w:rPr>
        <w:t xml:space="preserve">. gada </w:t>
      </w:r>
      <w:r w:rsidR="00B112B8">
        <w:rPr>
          <w:rFonts w:ascii="Times New Roman" w:hAnsi="Times New Roman" w:cs="Times New Roman"/>
        </w:rPr>
        <w:t>2</w:t>
      </w:r>
      <w:r w:rsidR="0034561D">
        <w:rPr>
          <w:rFonts w:ascii="Times New Roman" w:hAnsi="Times New Roman" w:cs="Times New Roman"/>
        </w:rPr>
        <w:t>7</w:t>
      </w:r>
      <w:r w:rsidRPr="00032FCB">
        <w:rPr>
          <w:rFonts w:ascii="Times New Roman" w:hAnsi="Times New Roman" w:cs="Times New Roman"/>
        </w:rPr>
        <w:t xml:space="preserve">. </w:t>
      </w:r>
      <w:r w:rsidR="0034561D">
        <w:rPr>
          <w:rFonts w:ascii="Times New Roman" w:hAnsi="Times New Roman" w:cs="Times New Roman"/>
        </w:rPr>
        <w:t>novembrī</w:t>
      </w:r>
      <w:r w:rsidR="00A3002D" w:rsidRPr="00032FCB">
        <w:rPr>
          <w:rFonts w:ascii="Times New Roman" w:hAnsi="Times New Roman" w:cs="Times New Roman"/>
        </w:rPr>
        <w:t xml:space="preserve"> </w:t>
      </w:r>
      <w:r w:rsidRPr="00032FC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b/>
        </w:rPr>
        <w:t>Nr.</w:t>
      </w:r>
      <w:r>
        <w:rPr>
          <w:rFonts w:ascii="Times New Roman" w:hAnsi="Times New Roman" w:cs="Times New Roman"/>
          <w:noProof/>
        </w:rPr>
        <w:t xml:space="preserve"> </w:t>
      </w:r>
      <w:r w:rsidRPr="003F53FA">
        <w:rPr>
          <w:rFonts w:ascii="Times New Roman" w:hAnsi="Times New Roman" w:cs="Times New Roman"/>
          <w:b/>
          <w:bCs/>
          <w:noProof/>
        </w:rPr>
        <w:t>41</w:t>
      </w:r>
      <w:r w:rsidRPr="003F53FA">
        <w:rPr>
          <w:rFonts w:ascii="Times New Roman" w:hAnsi="Times New Roman" w:cs="Times New Roman"/>
          <w:b/>
          <w:bCs/>
        </w:rPr>
        <w:t>/2025</w:t>
      </w:r>
    </w:p>
    <w:p w14:paraId="661B3AFC" w14:textId="77777777" w:rsidR="00564CA6" w:rsidRPr="00564CA6" w:rsidRDefault="00564CA6" w:rsidP="00564CA6">
      <w:pPr>
        <w:rPr>
          <w:rFonts w:ascii="Times New Roman" w:hAnsi="Times New Roman" w:cs="Times New Roman"/>
          <w:b/>
        </w:rPr>
      </w:pPr>
    </w:p>
    <w:p w14:paraId="3DB2C903" w14:textId="77777777" w:rsidR="00032FCB" w:rsidRPr="00564CA6" w:rsidRDefault="003F53FA" w:rsidP="00032FCB">
      <w:pPr>
        <w:jc w:val="center"/>
        <w:rPr>
          <w:rFonts w:ascii="Times New Roman" w:hAnsi="Times New Roman" w:cs="Times New Roman"/>
        </w:rPr>
      </w:pPr>
      <w:bookmarkStart w:id="1" w:name="_Hlk209427659"/>
      <w:r w:rsidRPr="007A50EE">
        <w:rPr>
          <w:rFonts w:ascii="Times New Roman" w:eastAsia="Times New Roman" w:hAnsi="Times New Roman"/>
          <w:b/>
          <w:bCs/>
          <w:iCs/>
          <w:sz w:val="28"/>
          <w:szCs w:val="28"/>
          <w:lang w:bidi="en-US"/>
        </w:rPr>
        <w:t>Grozījumi Ādažu novada pašvaldības domes 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marta</w:t>
      </w:r>
      <w:r w:rsidRPr="007A50EE">
        <w:rPr>
          <w:rFonts w:ascii="Times New Roman" w:eastAsia="Times New Roman" w:hAnsi="Times New Roman"/>
          <w:b/>
          <w:bCs/>
          <w:iCs/>
          <w:sz w:val="28"/>
          <w:szCs w:val="28"/>
          <w:lang w:bidi="en-US"/>
        </w:rPr>
        <w:t xml:space="preserve"> saistošajos noteikumos Nr. </w:t>
      </w:r>
      <w:r w:rsidR="00AA60B4">
        <w:rPr>
          <w:rFonts w:ascii="Times New Roman" w:eastAsia="Times New Roman" w:hAnsi="Times New Roman"/>
          <w:b/>
          <w:bCs/>
          <w:iCs/>
          <w:sz w:val="28"/>
          <w:szCs w:val="28"/>
          <w:lang w:bidi="en-US"/>
        </w:rPr>
        <w:t>18</w:t>
      </w:r>
      <w:r w:rsidRPr="007A50EE">
        <w:rPr>
          <w:rFonts w:ascii="Times New Roman" w:eastAsia="Times New Roman" w:hAnsi="Times New Roman"/>
          <w:b/>
          <w:bCs/>
          <w:iCs/>
          <w:sz w:val="28"/>
          <w:szCs w:val="28"/>
          <w:lang w:bidi="en-US"/>
        </w:rPr>
        <w:t>/202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Par publisko ūdeņu izmantošanu un apsaimniekošanu Ādažu novadā</w:t>
      </w:r>
      <w:r w:rsidRPr="007A50EE">
        <w:rPr>
          <w:rFonts w:ascii="Times New Roman" w:eastAsia="Times New Roman" w:hAnsi="Times New Roman"/>
          <w:b/>
          <w:bCs/>
          <w:iCs/>
          <w:sz w:val="28"/>
          <w:szCs w:val="28"/>
          <w:lang w:bidi="en-US"/>
        </w:rPr>
        <w:t>”</w:t>
      </w:r>
    </w:p>
    <w:bookmarkEnd w:id="1"/>
    <w:p w14:paraId="0ED64E6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E8ACF36" w14:textId="77777777" w:rsidR="009E5435" w:rsidRDefault="003F53FA"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Pašvaldību likuma </w:t>
      </w:r>
    </w:p>
    <w:p w14:paraId="3E3C25E1" w14:textId="77777777" w:rsidR="00310BC7" w:rsidRDefault="003F53FA"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45</w:t>
      </w:r>
      <w:r w:rsidR="00032FCB">
        <w:rPr>
          <w:rFonts w:ascii="Times New Roman" w:eastAsia="Times New Roman" w:hAnsi="Times New Roman"/>
          <w:i/>
          <w:lang w:bidi="en-US"/>
        </w:rPr>
        <w:t xml:space="preserve">. panta </w:t>
      </w:r>
      <w:r>
        <w:rPr>
          <w:rFonts w:ascii="Times New Roman" w:eastAsia="Times New Roman" w:hAnsi="Times New Roman"/>
          <w:i/>
          <w:lang w:bidi="en-US"/>
        </w:rPr>
        <w:t>pirmās</w:t>
      </w:r>
      <w:r w:rsidR="00032FCB">
        <w:rPr>
          <w:rFonts w:ascii="Times New Roman" w:eastAsia="Times New Roman" w:hAnsi="Times New Roman"/>
          <w:i/>
          <w:lang w:bidi="en-US"/>
        </w:rPr>
        <w:t xml:space="preserve"> daļ</w:t>
      </w:r>
      <w:r>
        <w:rPr>
          <w:rFonts w:ascii="Times New Roman" w:eastAsia="Times New Roman" w:hAnsi="Times New Roman"/>
          <w:i/>
          <w:lang w:bidi="en-US"/>
        </w:rPr>
        <w:t>as 2. un 7. punktu</w:t>
      </w:r>
      <w:r w:rsidR="00480A90">
        <w:rPr>
          <w:rFonts w:ascii="Times New Roman" w:eastAsia="Times New Roman" w:hAnsi="Times New Roman"/>
          <w:i/>
          <w:lang w:bidi="en-US"/>
        </w:rPr>
        <w:t>, Jūrlietu pārvaldes un jūras drošības likuma 48.</w:t>
      </w:r>
      <w:r w:rsidR="00480A90" w:rsidRPr="00480A90">
        <w:rPr>
          <w:rFonts w:ascii="Times New Roman" w:eastAsia="Times New Roman" w:hAnsi="Times New Roman"/>
          <w:i/>
          <w:vertAlign w:val="superscript"/>
          <w:lang w:bidi="en-US"/>
        </w:rPr>
        <w:t>1</w:t>
      </w:r>
      <w:r w:rsidR="00480A90">
        <w:rPr>
          <w:rFonts w:ascii="Times New Roman" w:eastAsia="Times New Roman" w:hAnsi="Times New Roman"/>
          <w:i/>
          <w:lang w:bidi="en-US"/>
        </w:rPr>
        <w:t>panta otro daļu</w:t>
      </w:r>
    </w:p>
    <w:p w14:paraId="24860BB8"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457C69A9" w14:textId="77777777" w:rsidR="00032FCB" w:rsidRPr="00377AE2" w:rsidRDefault="003F53FA" w:rsidP="00032FCB">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Ādažu novada pašvaldības domes 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marta</w:t>
      </w:r>
      <w:r w:rsidRPr="00377AE2">
        <w:rPr>
          <w:rFonts w:ascii="Times New Roman" w:hAnsi="Times New Roman"/>
          <w:color w:val="000000"/>
          <w:sz w:val="24"/>
          <w:szCs w:val="24"/>
        </w:rPr>
        <w:t xml:space="preserve"> saistošajos noteikumos Nr. </w:t>
      </w:r>
      <w:r w:rsidR="008D512A">
        <w:rPr>
          <w:rFonts w:ascii="Times New Roman" w:hAnsi="Times New Roman"/>
          <w:color w:val="000000"/>
          <w:sz w:val="24"/>
          <w:szCs w:val="24"/>
        </w:rPr>
        <w:t>18</w:t>
      </w:r>
      <w:r w:rsidRPr="00377AE2">
        <w:rPr>
          <w:rFonts w:ascii="Times New Roman" w:hAnsi="Times New Roman"/>
          <w:color w:val="000000"/>
          <w:sz w:val="24"/>
          <w:szCs w:val="24"/>
        </w:rPr>
        <w:t>/202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Par publisko ūdeņu izmantošanu un apsaimniekošanu Ādažu novadā</w:t>
      </w:r>
      <w:r w:rsidRPr="00377AE2">
        <w:rPr>
          <w:rFonts w:ascii="Times New Roman" w:hAnsi="Times New Roman"/>
          <w:color w:val="000000"/>
          <w:sz w:val="24"/>
          <w:szCs w:val="24"/>
        </w:rPr>
        <w:t>”</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w:t>
      </w:r>
      <w:r w:rsidR="0042171D">
        <w:rPr>
          <w:rFonts w:ascii="Times New Roman" w:hAnsi="Times New Roman"/>
          <w:sz w:val="24"/>
          <w:szCs w:val="24"/>
        </w:rPr>
        <w:t>025</w:t>
      </w:r>
      <w:r w:rsidRPr="000F0BF4">
        <w:rPr>
          <w:rFonts w:ascii="Times New Roman" w:hAnsi="Times New Roman"/>
          <w:sz w:val="24"/>
          <w:szCs w:val="24"/>
        </w:rPr>
        <w:t xml:space="preserve">., Nr. </w:t>
      </w:r>
      <w:r w:rsidR="0042171D">
        <w:rPr>
          <w:rFonts w:ascii="Times New Roman" w:hAnsi="Times New Roman"/>
          <w:sz w:val="24"/>
          <w:szCs w:val="24"/>
        </w:rPr>
        <w:t>87</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50EE4DBD" w14:textId="77777777" w:rsidR="001903AA" w:rsidRDefault="003F53F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5.2.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punktu</w:t>
      </w:r>
      <w:r w:rsidR="00612D3A">
        <w:rPr>
          <w:rFonts w:ascii="Times New Roman" w:hAnsi="Times New Roman"/>
          <w:color w:val="000000"/>
          <w:sz w:val="24"/>
          <w:szCs w:val="24"/>
          <w:lang w:bidi="en-US"/>
        </w:rPr>
        <w:t xml:space="preserve">. </w:t>
      </w:r>
    </w:p>
    <w:p w14:paraId="6129213A" w14:textId="77777777" w:rsidR="004433C5" w:rsidRDefault="003F53F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5.3.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 xml:space="preserve">punktu. </w:t>
      </w:r>
    </w:p>
    <w:p w14:paraId="01EC988C" w14:textId="77777777" w:rsidR="00015B6D" w:rsidRDefault="003F53F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Izteikt 5.8. </w:t>
      </w:r>
      <w:r w:rsidR="00186BB3">
        <w:rPr>
          <w:rFonts w:ascii="Times New Roman" w:hAnsi="Times New Roman"/>
          <w:color w:val="000000"/>
          <w:sz w:val="24"/>
          <w:szCs w:val="24"/>
          <w:lang w:bidi="en-US"/>
        </w:rPr>
        <w:t>apakš</w:t>
      </w:r>
      <w:r>
        <w:rPr>
          <w:rFonts w:ascii="Times New Roman" w:hAnsi="Times New Roman"/>
          <w:color w:val="000000"/>
          <w:sz w:val="24"/>
          <w:szCs w:val="24"/>
          <w:lang w:bidi="en-US"/>
        </w:rPr>
        <w:t>punktu šādā redakcijā:</w:t>
      </w:r>
    </w:p>
    <w:p w14:paraId="6CA4EA9B" w14:textId="43FD7FD9" w:rsidR="00032FCB" w:rsidRPr="005B177C" w:rsidRDefault="003F53FA" w:rsidP="00907422">
      <w:pPr>
        <w:pStyle w:val="Sarakstarindkopa"/>
        <w:spacing w:after="120" w:line="240" w:lineRule="auto"/>
        <w:ind w:left="426"/>
        <w:contextualSpacing w:val="0"/>
        <w:jc w:val="both"/>
        <w:rPr>
          <w:rFonts w:ascii="Times New Roman" w:hAnsi="Times New Roman"/>
          <w:color w:val="000000"/>
          <w:sz w:val="24"/>
          <w:szCs w:val="24"/>
          <w:lang w:bidi="en-US"/>
        </w:rPr>
      </w:pPr>
      <w:r>
        <w:rPr>
          <w:rFonts w:ascii="Times New Roman" w:eastAsiaTheme="minorHAnsi" w:hAnsi="Times New Roman" w:cstheme="minorBidi"/>
          <w:color w:val="000000"/>
          <w:sz w:val="24"/>
          <w:szCs w:val="24"/>
          <w:lang w:eastAsia="en-US" w:bidi="en-US"/>
        </w:rPr>
        <w:t>“</w:t>
      </w:r>
      <w:r w:rsidRPr="00073732">
        <w:rPr>
          <w:rFonts w:ascii="Times New Roman" w:eastAsiaTheme="minorHAnsi" w:hAnsi="Times New Roman" w:cstheme="minorBidi"/>
          <w:color w:val="000000"/>
          <w:sz w:val="24"/>
          <w:szCs w:val="24"/>
          <w:lang w:eastAsia="en-US" w:bidi="en-US"/>
        </w:rPr>
        <w:t>5.8. iebraukt ar mehāniskajiem transportlīdzekļiem, izņemot apsaimniekošanas un glābšanas darbu transportlīdzekļus tam speciāli paredzētās vietās, ja atbildība par attiecīgu pārkāpumu nav paredzēta</w:t>
      </w:r>
      <w:r w:rsidR="00D44965">
        <w:rPr>
          <w:rFonts w:ascii="Times New Roman" w:eastAsiaTheme="minorHAnsi" w:hAnsi="Times New Roman" w:cstheme="minorBidi"/>
          <w:color w:val="000000"/>
          <w:sz w:val="24"/>
          <w:szCs w:val="24"/>
          <w:lang w:eastAsia="en-US" w:bidi="en-US"/>
        </w:rPr>
        <w:t xml:space="preserve"> </w:t>
      </w:r>
      <w:r w:rsidR="008B1E94">
        <w:rPr>
          <w:rFonts w:ascii="Times New Roman" w:eastAsiaTheme="minorHAnsi" w:hAnsi="Times New Roman" w:cstheme="minorBidi"/>
          <w:color w:val="000000"/>
          <w:sz w:val="24"/>
          <w:szCs w:val="24"/>
          <w:lang w:eastAsia="en-US" w:bidi="en-US"/>
        </w:rPr>
        <w:t>Ceļu satiksmes likumā</w:t>
      </w:r>
      <w:r w:rsidR="00CD132E">
        <w:rPr>
          <w:rFonts w:ascii="Times New Roman" w:eastAsiaTheme="minorHAnsi" w:hAnsi="Times New Roman" w:cstheme="minorBidi"/>
          <w:color w:val="000000"/>
          <w:sz w:val="24"/>
          <w:szCs w:val="24"/>
          <w:lang w:eastAsia="en-US" w:bidi="en-US"/>
        </w:rPr>
        <w:t>,</w:t>
      </w:r>
      <w:r w:rsidR="008B1E94">
        <w:rPr>
          <w:rFonts w:ascii="Times New Roman" w:eastAsiaTheme="minorHAnsi" w:hAnsi="Times New Roman" w:cstheme="minorBidi"/>
          <w:color w:val="000000"/>
          <w:sz w:val="24"/>
          <w:szCs w:val="24"/>
          <w:lang w:eastAsia="en-US" w:bidi="en-US"/>
        </w:rPr>
        <w:t xml:space="preserve"> </w:t>
      </w:r>
      <w:r w:rsidR="00D44965">
        <w:rPr>
          <w:rFonts w:ascii="Times New Roman" w:eastAsiaTheme="minorHAnsi" w:hAnsi="Times New Roman" w:cstheme="minorBidi"/>
          <w:color w:val="000000"/>
          <w:sz w:val="24"/>
          <w:szCs w:val="24"/>
          <w:lang w:eastAsia="en-US" w:bidi="en-US"/>
        </w:rPr>
        <w:t>Aizsargjoslu likumā</w:t>
      </w:r>
      <w:r w:rsidR="00CD132E">
        <w:rPr>
          <w:rFonts w:ascii="Times New Roman" w:eastAsiaTheme="minorHAnsi" w:hAnsi="Times New Roman" w:cstheme="minorBidi"/>
          <w:color w:val="000000"/>
          <w:sz w:val="24"/>
          <w:szCs w:val="24"/>
          <w:lang w:eastAsia="en-US" w:bidi="en-US"/>
        </w:rPr>
        <w:t xml:space="preserve"> vai Meža likumā</w:t>
      </w:r>
      <w:r>
        <w:rPr>
          <w:rFonts w:ascii="Times New Roman" w:eastAsiaTheme="minorHAnsi" w:hAnsi="Times New Roman" w:cstheme="minorBidi"/>
          <w:color w:val="000000"/>
          <w:sz w:val="24"/>
          <w:szCs w:val="24"/>
          <w:lang w:eastAsia="en-US" w:bidi="en-US"/>
        </w:rPr>
        <w:t xml:space="preserve">”. </w:t>
      </w:r>
    </w:p>
    <w:p w14:paraId="0DC91B8C" w14:textId="77777777" w:rsidR="00032FCB" w:rsidRDefault="00032FCB" w:rsidP="00032FCB">
      <w:pPr>
        <w:jc w:val="both"/>
        <w:rPr>
          <w:rFonts w:ascii="Times New Roman" w:hAnsi="Times New Roman" w:cs="Times New Roman"/>
          <w:noProof/>
        </w:rPr>
      </w:pPr>
    </w:p>
    <w:p w14:paraId="77328F2A" w14:textId="77777777" w:rsidR="00032FCB" w:rsidRDefault="00032FCB" w:rsidP="00032FCB">
      <w:pPr>
        <w:jc w:val="both"/>
        <w:rPr>
          <w:rFonts w:ascii="Times New Roman" w:hAnsi="Times New Roman" w:cs="Times New Roman"/>
          <w:noProof/>
        </w:rPr>
      </w:pPr>
    </w:p>
    <w:p w14:paraId="69AB3F22" w14:textId="77777777" w:rsidR="003F53FA" w:rsidRDefault="003F53FA" w:rsidP="00032FCB">
      <w:pPr>
        <w:jc w:val="both"/>
        <w:rPr>
          <w:rFonts w:ascii="Times New Roman" w:hAnsi="Times New Roman" w:cs="Times New Roman"/>
          <w:noProof/>
        </w:rPr>
      </w:pPr>
    </w:p>
    <w:p w14:paraId="69A1E55F"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02E96E8B"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attīstības jautājumos</w:t>
      </w:r>
    </w:p>
    <w:p w14:paraId="504275BB" w14:textId="77777777" w:rsidR="001E66CA" w:rsidRPr="00956697" w:rsidRDefault="001E66CA" w:rsidP="001E66CA">
      <w:pPr>
        <w:jc w:val="both"/>
        <w:rPr>
          <w:rFonts w:ascii="Times New Roman" w:hAnsi="Times New Roman" w:cs="Times New Roman"/>
          <w:noProof/>
        </w:rPr>
      </w:pPr>
    </w:p>
    <w:p w14:paraId="20AB595C" w14:textId="77777777" w:rsidR="001E66CA" w:rsidRPr="00956697" w:rsidRDefault="003F53FA" w:rsidP="001E66C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88FE168" w14:textId="77777777" w:rsidR="003F53FA" w:rsidRDefault="003F53FA">
      <w:pPr>
        <w:rPr>
          <w:rFonts w:ascii="Times New Roman" w:eastAsia="Calibri" w:hAnsi="Times New Roman"/>
        </w:rPr>
      </w:pPr>
      <w:r>
        <w:rPr>
          <w:rFonts w:ascii="Times New Roman" w:eastAsia="Calibri" w:hAnsi="Times New Roman"/>
        </w:rPr>
        <w:br w:type="page"/>
      </w:r>
    </w:p>
    <w:p w14:paraId="72C73B74" w14:textId="77777777" w:rsidR="002D665D" w:rsidRDefault="002D665D" w:rsidP="00202CD1">
      <w:pPr>
        <w:jc w:val="center"/>
        <w:rPr>
          <w:rFonts w:ascii="Times New Roman" w:eastAsia="Calibri" w:hAnsi="Times New Roman"/>
        </w:rPr>
      </w:pPr>
    </w:p>
    <w:p w14:paraId="6040C7D3" w14:textId="77777777" w:rsidR="002D665D" w:rsidRPr="003F53FA" w:rsidRDefault="003F53FA" w:rsidP="002D665D">
      <w:pPr>
        <w:jc w:val="center"/>
        <w:rPr>
          <w:rFonts w:ascii="Times New Roman" w:eastAsia="Calibri" w:hAnsi="Times New Roman"/>
          <w:b/>
        </w:rPr>
      </w:pPr>
      <w:bookmarkStart w:id="2" w:name="_Hlk213059277"/>
      <w:r w:rsidRPr="003F53FA">
        <w:rPr>
          <w:rFonts w:ascii="Times New Roman" w:eastAsia="Calibri" w:hAnsi="Times New Roman"/>
          <w:b/>
        </w:rPr>
        <w:t>PASKAIDROJUMA RAKSTS</w:t>
      </w:r>
    </w:p>
    <w:p w14:paraId="303EDF11" w14:textId="77777777" w:rsidR="002D665D" w:rsidRPr="002D665D" w:rsidRDefault="003F53FA" w:rsidP="00604574">
      <w:pPr>
        <w:jc w:val="center"/>
        <w:rPr>
          <w:rFonts w:ascii="Times New Roman" w:eastAsia="Calibri" w:hAnsi="Times New Roman"/>
          <w:b/>
        </w:rPr>
      </w:pPr>
      <w:r w:rsidRPr="002D665D">
        <w:rPr>
          <w:rFonts w:ascii="Times New Roman" w:eastAsia="Calibri" w:hAnsi="Times New Roman"/>
          <w:b/>
          <w:bCs/>
        </w:rPr>
        <w:t>Ādažu novada pašvaldības domes 2025. gada 2</w:t>
      </w:r>
      <w:r w:rsidR="0034561D">
        <w:rPr>
          <w:rFonts w:ascii="Times New Roman" w:eastAsia="Calibri" w:hAnsi="Times New Roman"/>
          <w:b/>
          <w:bCs/>
        </w:rPr>
        <w:t>7.</w:t>
      </w:r>
      <w:r w:rsidRPr="002D665D">
        <w:rPr>
          <w:rFonts w:ascii="Times New Roman" w:eastAsia="Calibri" w:hAnsi="Times New Roman"/>
          <w:b/>
          <w:bCs/>
        </w:rPr>
        <w:t xml:space="preserve"> </w:t>
      </w:r>
      <w:r w:rsidR="0034561D">
        <w:rPr>
          <w:rFonts w:ascii="Times New Roman" w:eastAsia="Calibri" w:hAnsi="Times New Roman"/>
          <w:b/>
          <w:bCs/>
        </w:rPr>
        <w:t>novembra</w:t>
      </w:r>
      <w:r w:rsidRPr="002D665D">
        <w:rPr>
          <w:rFonts w:ascii="Times New Roman" w:eastAsia="Calibri" w:hAnsi="Times New Roman"/>
          <w:b/>
          <w:bCs/>
        </w:rPr>
        <w:t xml:space="preserve"> saistošajiem noteikumiem Nr.</w:t>
      </w:r>
      <w:r>
        <w:rPr>
          <w:rFonts w:ascii="Times New Roman" w:eastAsia="Calibri" w:hAnsi="Times New Roman"/>
          <w:b/>
          <w:bCs/>
        </w:rPr>
        <w:t xml:space="preserve"> 41</w:t>
      </w:r>
      <w:r w:rsidRPr="002D665D">
        <w:rPr>
          <w:rFonts w:ascii="Times New Roman" w:eastAsia="Calibri" w:hAnsi="Times New Roman"/>
          <w:b/>
          <w:bCs/>
        </w:rPr>
        <w:t>/2025 “</w:t>
      </w:r>
      <w:r w:rsidR="00604574" w:rsidRPr="00604574">
        <w:rPr>
          <w:rFonts w:ascii="Times New Roman" w:eastAsia="Calibri" w:hAnsi="Times New Roman"/>
          <w:b/>
          <w:bCs/>
        </w:rPr>
        <w:t>Grozījumi Ādažu novada pašvaldības domes 2025. gada 27. marta saistošajos noteikumos Nr. 18/2025 “Par publisko ūdeņu izmantošanu un apsaimniekošanu Ādažu novadā”</w:t>
      </w:r>
      <w:r w:rsidR="00604574">
        <w:rPr>
          <w:rFonts w:ascii="Times New Roman" w:eastAsia="Calibri" w:hAnsi="Times New Roman"/>
          <w:b/>
          <w:bCs/>
        </w:rPr>
        <w:t>”</w:t>
      </w:r>
    </w:p>
    <w:p w14:paraId="77005ADA" w14:textId="77777777" w:rsidR="002D665D" w:rsidRPr="002D665D" w:rsidRDefault="002D665D" w:rsidP="002D665D">
      <w:pPr>
        <w:jc w:val="both"/>
        <w:rPr>
          <w:rFonts w:ascii="Times New Roman" w:eastAsia="Calibri" w:hAnsi="Times New Roman"/>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C61D9" w14:paraId="16AEC7C2" w14:textId="77777777" w:rsidTr="008139A2">
        <w:trPr>
          <w:trHeight w:val="180"/>
        </w:trPr>
        <w:tc>
          <w:tcPr>
            <w:tcW w:w="9351" w:type="dxa"/>
            <w:tcBorders>
              <w:top w:val="single" w:sz="4" w:space="0" w:color="auto"/>
              <w:left w:val="single" w:sz="4" w:space="0" w:color="auto"/>
              <w:bottom w:val="single" w:sz="4" w:space="0" w:color="auto"/>
              <w:right w:val="single" w:sz="4" w:space="0" w:color="auto"/>
            </w:tcBorders>
            <w:hideMark/>
          </w:tcPr>
          <w:p w14:paraId="63AA4891" w14:textId="77777777" w:rsidR="002D665D" w:rsidRPr="002D665D" w:rsidRDefault="003F53FA" w:rsidP="00907422">
            <w:pPr>
              <w:spacing w:before="60" w:after="60"/>
              <w:jc w:val="both"/>
              <w:rPr>
                <w:rFonts w:ascii="Times New Roman" w:eastAsia="Calibri" w:hAnsi="Times New Roman"/>
                <w:b/>
                <w:bCs/>
              </w:rPr>
            </w:pPr>
            <w:r w:rsidRPr="002D665D">
              <w:rPr>
                <w:rFonts w:ascii="Times New Roman" w:eastAsia="Calibri" w:hAnsi="Times New Roman"/>
                <w:b/>
                <w:bCs/>
              </w:rPr>
              <w:t>Paskaidrojuma raksta sadaļas un norādāmā informācija</w:t>
            </w:r>
          </w:p>
        </w:tc>
      </w:tr>
      <w:tr w:rsidR="009C61D9" w14:paraId="08924843" w14:textId="77777777" w:rsidTr="008139A2">
        <w:trPr>
          <w:trHeight w:val="771"/>
        </w:trPr>
        <w:tc>
          <w:tcPr>
            <w:tcW w:w="9351" w:type="dxa"/>
            <w:tcBorders>
              <w:top w:val="single" w:sz="4" w:space="0" w:color="auto"/>
              <w:left w:val="single" w:sz="4" w:space="0" w:color="auto"/>
              <w:bottom w:val="single" w:sz="4" w:space="0" w:color="auto"/>
              <w:right w:val="single" w:sz="4" w:space="0" w:color="auto"/>
            </w:tcBorders>
            <w:hideMark/>
          </w:tcPr>
          <w:p w14:paraId="4A32123A" w14:textId="77777777" w:rsidR="002D665D" w:rsidRPr="002D665D" w:rsidRDefault="003F53FA" w:rsidP="000A00D5">
            <w:pPr>
              <w:numPr>
                <w:ilvl w:val="1"/>
                <w:numId w:val="18"/>
              </w:numPr>
              <w:spacing w:before="60" w:after="60"/>
              <w:ind w:left="455" w:hanging="455"/>
              <w:jc w:val="both"/>
              <w:rPr>
                <w:rFonts w:ascii="Times New Roman" w:eastAsia="Calibri" w:hAnsi="Times New Roman"/>
                <w:b/>
              </w:rPr>
            </w:pPr>
            <w:r w:rsidRPr="002D665D">
              <w:rPr>
                <w:rFonts w:ascii="Times New Roman" w:eastAsia="Calibri" w:hAnsi="Times New Roman"/>
                <w:b/>
              </w:rPr>
              <w:t>Mērķis un nepieciešamības pamatojums</w:t>
            </w:r>
          </w:p>
          <w:p w14:paraId="7DF2101C" w14:textId="77777777" w:rsidR="001E59DC" w:rsidRPr="004A65FA" w:rsidRDefault="003F53FA" w:rsidP="000A00D5">
            <w:pPr>
              <w:numPr>
                <w:ilvl w:val="1"/>
                <w:numId w:val="22"/>
              </w:numPr>
              <w:spacing w:before="60" w:after="60"/>
              <w:ind w:left="455" w:hanging="455"/>
              <w:jc w:val="both"/>
              <w:rPr>
                <w:rFonts w:ascii="Times New Roman" w:eastAsia="Calibri" w:hAnsi="Times New Roman"/>
                <w:bCs/>
              </w:rPr>
            </w:pPr>
            <w:r w:rsidRPr="002D665D">
              <w:rPr>
                <w:rFonts w:ascii="Times New Roman" w:eastAsia="Calibri" w:hAnsi="Times New Roman"/>
                <w:bCs/>
              </w:rPr>
              <w:t xml:space="preserve">Ādažu novada pašvaldības dome </w:t>
            </w:r>
            <w:r w:rsidR="006F40E9">
              <w:rPr>
                <w:rFonts w:ascii="Times New Roman" w:eastAsia="Calibri" w:hAnsi="Times New Roman"/>
                <w:bCs/>
              </w:rPr>
              <w:t>27</w:t>
            </w:r>
            <w:r w:rsidRPr="002D665D">
              <w:rPr>
                <w:rFonts w:ascii="Times New Roman" w:eastAsia="Calibri" w:hAnsi="Times New Roman"/>
                <w:bCs/>
              </w:rPr>
              <w:t>.0</w:t>
            </w:r>
            <w:r w:rsidR="006F40E9">
              <w:rPr>
                <w:rFonts w:ascii="Times New Roman" w:eastAsia="Calibri" w:hAnsi="Times New Roman"/>
                <w:bCs/>
              </w:rPr>
              <w:t>3</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apstiprināja saistošos noteikumus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“Par publisko ūdeņu izmantošanu un apsaimniekošanu Ādažu novadā” (turpmāk – SN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w:t>
            </w:r>
            <w:r w:rsidRPr="004A65FA">
              <w:rPr>
                <w:rFonts w:ascii="Times New Roman" w:eastAsia="Calibri" w:hAnsi="Times New Roman"/>
                <w:bCs/>
              </w:rPr>
              <w:t>.</w:t>
            </w:r>
          </w:p>
          <w:p w14:paraId="4A610898" w14:textId="5638F4FF" w:rsidR="009C7621" w:rsidRPr="004A65FA" w:rsidRDefault="003F53FA" w:rsidP="000A00D5">
            <w:pPr>
              <w:numPr>
                <w:ilvl w:val="1"/>
                <w:numId w:val="22"/>
              </w:numPr>
              <w:spacing w:before="60" w:after="60"/>
              <w:ind w:left="455" w:hanging="455"/>
              <w:jc w:val="both"/>
              <w:rPr>
                <w:rFonts w:ascii="Times New Roman" w:eastAsia="Calibri" w:hAnsi="Times New Roman"/>
                <w:bCs/>
              </w:rPr>
            </w:pPr>
            <w:r w:rsidRPr="006F40E9">
              <w:rPr>
                <w:rFonts w:ascii="Times New Roman" w:eastAsia="Calibri" w:hAnsi="Times New Roman"/>
                <w:bCs/>
              </w:rPr>
              <w:t>SN Nr. 18/2025</w:t>
            </w:r>
            <w:r w:rsidR="00604574" w:rsidRPr="004A65FA">
              <w:rPr>
                <w:rFonts w:ascii="Times New Roman" w:eastAsia="Calibri" w:hAnsi="Times New Roman"/>
                <w:bCs/>
              </w:rPr>
              <w:t xml:space="preserve"> </w:t>
            </w:r>
            <w:r w:rsidR="00611E44" w:rsidRPr="004A65FA">
              <w:rPr>
                <w:rFonts w:ascii="Times New Roman" w:eastAsia="Calibri" w:hAnsi="Times New Roman"/>
                <w:bCs/>
              </w:rPr>
              <w:t>tiek izdarīti grozījumi, ievērojot</w:t>
            </w:r>
            <w:r w:rsidR="001E59DC" w:rsidRPr="004A65FA">
              <w:rPr>
                <w:rFonts w:ascii="Times New Roman" w:eastAsia="Calibri" w:hAnsi="Times New Roman"/>
                <w:bCs/>
              </w:rPr>
              <w:t xml:space="preserve"> V</w:t>
            </w:r>
            <w:r w:rsidR="00611E44" w:rsidRPr="004A65FA">
              <w:rPr>
                <w:rFonts w:ascii="Times New Roman" w:eastAsia="Calibri" w:hAnsi="Times New Roman"/>
                <w:bCs/>
              </w:rPr>
              <w:t>iedās administrācijas un reģionālās attīstības (turpmāk – V</w:t>
            </w:r>
            <w:r w:rsidR="001E59DC" w:rsidRPr="004A65FA">
              <w:rPr>
                <w:rFonts w:ascii="Times New Roman" w:eastAsia="Calibri" w:hAnsi="Times New Roman"/>
                <w:bCs/>
              </w:rPr>
              <w:t>ARAM</w:t>
            </w:r>
            <w:r w:rsidR="00611E44" w:rsidRPr="004A65FA">
              <w:rPr>
                <w:rFonts w:ascii="Times New Roman" w:eastAsia="Calibri" w:hAnsi="Times New Roman"/>
                <w:bCs/>
              </w:rPr>
              <w:t>)</w:t>
            </w:r>
            <w:r w:rsidR="001E59DC" w:rsidRPr="004A65FA">
              <w:rPr>
                <w:rFonts w:ascii="Times New Roman" w:eastAsia="Calibri" w:hAnsi="Times New Roman"/>
                <w:bCs/>
              </w:rPr>
              <w:t xml:space="preserve"> 10.05.2025. vēstul</w:t>
            </w:r>
            <w:r w:rsidR="00611E44" w:rsidRPr="004A65FA">
              <w:rPr>
                <w:rFonts w:ascii="Times New Roman" w:eastAsia="Calibri" w:hAnsi="Times New Roman"/>
                <w:bCs/>
              </w:rPr>
              <w:t>i</w:t>
            </w:r>
            <w:r w:rsidR="001E59DC" w:rsidRPr="004A65FA">
              <w:rPr>
                <w:rFonts w:ascii="Times New Roman" w:eastAsia="Calibri" w:hAnsi="Times New Roman"/>
                <w:bCs/>
              </w:rPr>
              <w:t xml:space="preserve"> Nr. 1-18/2345, kurā kontekstā ar Tieslietu ministrijas 01.02.2023. vēstuli Nr. 1-17/356 norād</w:t>
            </w:r>
            <w:r w:rsidR="000A00D5">
              <w:rPr>
                <w:rFonts w:ascii="Times New Roman" w:eastAsia="Calibri" w:hAnsi="Times New Roman"/>
                <w:bCs/>
              </w:rPr>
              <w:t>īts</w:t>
            </w:r>
            <w:r w:rsidR="001E59DC" w:rsidRPr="004A65FA">
              <w:rPr>
                <w:rFonts w:ascii="Times New Roman" w:eastAsia="Calibri" w:hAnsi="Times New Roman"/>
                <w:bCs/>
              </w:rPr>
              <w:t xml:space="preserve"> uz </w:t>
            </w:r>
            <w:r w:rsidRPr="004A65FA">
              <w:rPr>
                <w:rFonts w:ascii="Times New Roman" w:eastAsia="Calibri" w:hAnsi="Times New Roman"/>
                <w:bCs/>
              </w:rPr>
              <w:t xml:space="preserve">SN Nr. </w:t>
            </w:r>
            <w:r w:rsidRPr="006F40E9">
              <w:rPr>
                <w:rFonts w:ascii="Times New Roman" w:eastAsia="Calibri" w:hAnsi="Times New Roman"/>
                <w:bCs/>
              </w:rPr>
              <w:t xml:space="preserve">18/2025 </w:t>
            </w:r>
            <w:r w:rsidR="001E59DC" w:rsidRPr="004A65FA">
              <w:rPr>
                <w:rFonts w:ascii="Times New Roman" w:eastAsia="Calibri" w:hAnsi="Times New Roman"/>
                <w:bCs/>
              </w:rPr>
              <w:t>ietverto normu dublēšanos ar ārējiem normatīvajiem aktiem</w:t>
            </w:r>
            <w:r w:rsidRPr="004A65FA">
              <w:rPr>
                <w:rFonts w:ascii="Times New Roman" w:eastAsia="Calibri" w:hAnsi="Times New Roman"/>
                <w:bCs/>
              </w:rPr>
              <w:t>:</w:t>
            </w:r>
          </w:p>
          <w:p w14:paraId="079383F7" w14:textId="77777777" w:rsidR="009C7621" w:rsidRPr="004A65FA" w:rsidRDefault="003F53FA" w:rsidP="000A00D5">
            <w:pPr>
              <w:pStyle w:val="Sarakstarindkopa"/>
              <w:numPr>
                <w:ilvl w:val="2"/>
                <w:numId w:val="22"/>
              </w:numPr>
              <w:spacing w:before="60" w:after="60" w:line="240" w:lineRule="auto"/>
              <w:ind w:left="455" w:hanging="45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cstheme="minorBidi"/>
                <w:bCs/>
                <w:sz w:val="24"/>
                <w:szCs w:val="24"/>
                <w:lang w:eastAsia="en-US"/>
              </w:rPr>
              <w:t xml:space="preserve">SN </w:t>
            </w:r>
            <w:r w:rsidR="006F40E9" w:rsidRPr="006F40E9">
              <w:rPr>
                <w:rFonts w:ascii="Times New Roman" w:eastAsia="Calibri" w:hAnsi="Times New Roman" w:cstheme="minorBidi"/>
                <w:bCs/>
                <w:sz w:val="24"/>
                <w:szCs w:val="24"/>
                <w:lang w:eastAsia="en-US"/>
              </w:rPr>
              <w:t xml:space="preserve">18/2025 </w:t>
            </w:r>
            <w:r w:rsidRPr="004A65FA">
              <w:rPr>
                <w:rFonts w:ascii="Times New Roman" w:eastAsia="Calibri" w:hAnsi="Times New Roman" w:cstheme="minorBidi"/>
                <w:bCs/>
                <w:sz w:val="24"/>
                <w:szCs w:val="24"/>
                <w:lang w:eastAsia="en-US"/>
              </w:rPr>
              <w:t>t</w:t>
            </w:r>
            <w:r w:rsidR="001E59DC" w:rsidRPr="004A65FA">
              <w:rPr>
                <w:rFonts w:ascii="Times New Roman" w:eastAsia="Calibri" w:hAnsi="Times New Roman" w:cstheme="minorBidi"/>
                <w:bCs/>
                <w:sz w:val="24"/>
                <w:szCs w:val="24"/>
                <w:lang w:eastAsia="en-US"/>
              </w:rPr>
              <w:t>iek svītrots 5.2. punkts, kas nosaka atbildību par peldēšanu apreibinošo vai psihotropo vielu ietekmē.  Par alkoholisko dzērienu vai citu apreibinošo vielu lietošanu publiskā vietā, izņemot vietas, kur alkoholisko dzērienu mazumtirdzniecību patērēšanai uz vietas atļāvusi pašvaldība vai Valsts ieņēmumu dienests, vai par atrašanos publiskā vietā tādā reibuma stāvoklī, kas traucē sabiedrisko kārtību, vai drošību atbildība paredzēta Administratīvo sodu likuma par pārkāpumiem pārvaldes, sabiedriskās kārtības un valsts valodas lietošanas jomā 10. pantā</w:t>
            </w:r>
            <w:r w:rsidRPr="004A65FA">
              <w:rPr>
                <w:rFonts w:ascii="Times New Roman" w:eastAsia="Calibri" w:hAnsi="Times New Roman" w:cstheme="minorBidi"/>
                <w:bCs/>
                <w:sz w:val="24"/>
                <w:szCs w:val="24"/>
                <w:lang w:eastAsia="en-US"/>
              </w:rPr>
              <w:t>;</w:t>
            </w:r>
            <w:r w:rsidR="001E59DC" w:rsidRPr="004A65FA">
              <w:rPr>
                <w:rFonts w:ascii="Times New Roman" w:eastAsia="Calibri" w:hAnsi="Times New Roman" w:cstheme="minorBidi"/>
                <w:bCs/>
                <w:sz w:val="24"/>
                <w:szCs w:val="24"/>
                <w:lang w:eastAsia="en-US"/>
              </w:rPr>
              <w:t xml:space="preserve"> </w:t>
            </w:r>
          </w:p>
          <w:p w14:paraId="413A5EEA" w14:textId="77777777" w:rsidR="009C7621" w:rsidRPr="004A65FA" w:rsidRDefault="003F53FA" w:rsidP="000A00D5">
            <w:pPr>
              <w:pStyle w:val="Sarakstarindkopa"/>
              <w:numPr>
                <w:ilvl w:val="2"/>
                <w:numId w:val="22"/>
              </w:numPr>
              <w:spacing w:before="60" w:after="60" w:line="240" w:lineRule="auto"/>
              <w:ind w:left="455" w:hanging="45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w:t>
            </w:r>
            <w:r w:rsidR="001E59DC" w:rsidRPr="004A65FA">
              <w:rPr>
                <w:rFonts w:ascii="Times New Roman" w:eastAsia="Calibri" w:hAnsi="Times New Roman"/>
                <w:bCs/>
                <w:sz w:val="24"/>
                <w:szCs w:val="24"/>
              </w:rPr>
              <w:t>iek svītrots 5.3. punkts, kas nosaka aizliegumu smēķēt, izņemot speciāli ierīkotās smēķēšanas vietās. Tabakas izstrādājumu, tabakas aizstājējproduktu, augu smēķēšanas produktu, elektronisko smēķēšanas ierīču un to šķidrumu aprites likuma 10. panta otrās daļas 14. punkts paredz aizliegumu smēķēt parkos, skvēros un peldvietās, izņemot vietas, kas speciāli ierādītas smēķēšanai, savukārt administratīvā atbildība par to paredzēta šī likuma 14. panta pirmajā daļā</w:t>
            </w:r>
            <w:r w:rsidRPr="004A65FA">
              <w:rPr>
                <w:rFonts w:ascii="Times New Roman" w:eastAsia="Calibri" w:hAnsi="Times New Roman"/>
                <w:bCs/>
                <w:sz w:val="24"/>
                <w:szCs w:val="24"/>
              </w:rPr>
              <w:t>;</w:t>
            </w:r>
          </w:p>
          <w:p w14:paraId="77581C15" w14:textId="77777777" w:rsidR="001E59DC" w:rsidRPr="004A65FA" w:rsidRDefault="003F53FA" w:rsidP="000A00D5">
            <w:pPr>
              <w:pStyle w:val="Sarakstarindkopa"/>
              <w:numPr>
                <w:ilvl w:val="2"/>
                <w:numId w:val="22"/>
              </w:numPr>
              <w:spacing w:before="60" w:after="60" w:line="240" w:lineRule="auto"/>
              <w:ind w:left="455" w:hanging="45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tiek precizēts 5.8. punkta noteikums par aizliegumu mehānisko transportlīdzekļu novietošanai, papildinot, ka atbildība iestājas, ja tā nav paredzēta Aizsargjoslu likumā. Pašvaldības nedrīkst paredzēt administratīvo atbildību par pārkāpumiem kāpu zonā, jo administratīvo atbildību par to paredz Aizsargjoslu likuma 66.</w:t>
            </w:r>
            <w:r w:rsidRPr="0020544B">
              <w:rPr>
                <w:rFonts w:ascii="Times New Roman" w:eastAsia="Calibri" w:hAnsi="Times New Roman"/>
                <w:bCs/>
                <w:sz w:val="24"/>
                <w:szCs w:val="24"/>
                <w:vertAlign w:val="superscript"/>
              </w:rPr>
              <w:t xml:space="preserve">1 </w:t>
            </w:r>
            <w:r w:rsidRPr="004A65FA">
              <w:rPr>
                <w:rFonts w:ascii="Times New Roman" w:eastAsia="Calibri" w:hAnsi="Times New Roman"/>
                <w:bCs/>
                <w:sz w:val="24"/>
                <w:szCs w:val="24"/>
              </w:rPr>
              <w:t>pants par mehānisko transportlīdzekļu pārvietošanās, apstāšanās un stāvēšanas noteikumu pārkāpšanu Baltijas jūras un Rīgas līča piekrastes krasta kāpu aizsargjoslā un pludmalē. Ņemot vērā, ka 5.8. punktā paredzētais aizliegums mehānisko transportlīdzekļu novietošanai attiecas ne tikai uz krasta kāpu aizsargjoslām, un to, ka pašvaldības administratīvajā teritorijā nav izveidotas pludmales, attiecīgais punkts tiek precizēts.</w:t>
            </w:r>
          </w:p>
          <w:p w14:paraId="0A3A531C" w14:textId="77777777" w:rsidR="004A65FA" w:rsidRPr="004A65FA" w:rsidRDefault="003F53FA" w:rsidP="000A00D5">
            <w:pPr>
              <w:pStyle w:val="Sarakstarindkopa"/>
              <w:numPr>
                <w:ilvl w:val="1"/>
                <w:numId w:val="22"/>
              </w:numPr>
              <w:spacing w:before="60" w:after="60" w:line="240" w:lineRule="auto"/>
              <w:ind w:left="455" w:hanging="45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Atkārtoti izskatot SN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pašvaldība nesaskata tajos tiesību normu dublēšanos ar likumā vai Ministru kabineta noteikumos ietverto regulējumu, prettiesiskumu vai pazīmes, ka tās pārkāpj deleģējuma robežas.</w:t>
            </w:r>
          </w:p>
          <w:p w14:paraId="7A9307D9" w14:textId="77777777" w:rsidR="004A65FA" w:rsidRPr="004A65FA" w:rsidRDefault="003F53FA" w:rsidP="000A00D5">
            <w:pPr>
              <w:pStyle w:val="Sarakstarindkopa"/>
              <w:numPr>
                <w:ilvl w:val="1"/>
                <w:numId w:val="22"/>
              </w:numPr>
              <w:spacing w:before="60" w:after="60" w:line="240" w:lineRule="auto"/>
              <w:ind w:left="455" w:hanging="45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Vēstulē minēts, ka pašvaldības nedrīkst paredzēt administratīvo atbildību par dzīvnieku labturības prasību pārkāpšanu, jo par to administratīvo atbildību paredz Dzīvnieku aizsardzības likuma 57. pants. Taču </w:t>
            </w:r>
            <w:r w:rsidR="00C626FF">
              <w:rPr>
                <w:rFonts w:ascii="Times New Roman" w:eastAsia="Calibri" w:hAnsi="Times New Roman"/>
                <w:bCs/>
                <w:sz w:val="24"/>
                <w:szCs w:val="24"/>
              </w:rPr>
              <w:t>SN Nr.</w:t>
            </w:r>
            <w:r w:rsidR="006F40E9">
              <w:rPr>
                <w:rFonts w:ascii="Times New Roman" w:eastAsia="Calibri" w:hAnsi="Times New Roman"/>
                <w:bCs/>
                <w:sz w:val="24"/>
                <w:szCs w:val="24"/>
              </w:rPr>
              <w:t xml:space="preserve"> </w:t>
            </w:r>
            <w:r w:rsidR="006F40E9" w:rsidRPr="006F40E9">
              <w:rPr>
                <w:rFonts w:ascii="Times New Roman" w:eastAsia="Calibri" w:hAnsi="Times New Roman"/>
                <w:bCs/>
                <w:sz w:val="24"/>
                <w:szCs w:val="24"/>
              </w:rPr>
              <w:t>18/2025</w:t>
            </w:r>
            <w:r w:rsidR="006F40E9">
              <w:rPr>
                <w:rFonts w:ascii="Times New Roman" w:eastAsia="Calibri" w:hAnsi="Times New Roman"/>
                <w:bCs/>
                <w:sz w:val="24"/>
                <w:szCs w:val="24"/>
              </w:rPr>
              <w:t xml:space="preserve"> </w:t>
            </w:r>
            <w:r w:rsidRPr="004A65FA">
              <w:rPr>
                <w:rFonts w:ascii="Times New Roman" w:eastAsia="Calibri" w:hAnsi="Times New Roman"/>
                <w:bCs/>
                <w:sz w:val="24"/>
                <w:szCs w:val="24"/>
              </w:rPr>
              <w:t>noteiktās savvaļas dzīvnieku aizsardzības prasības nav paredzētas Dzīvnieku aizsardzības likumā un Ministru kabineta noteikumos, attiecīgi par to pārkāpšanu administratīvā atbildība Dzīvnieku aizsardzības likumā nav paredzēta.</w:t>
            </w:r>
          </w:p>
          <w:p w14:paraId="75A11640" w14:textId="77777777" w:rsidR="004A65FA" w:rsidRPr="004A65FA" w:rsidRDefault="003F53FA" w:rsidP="000A00D5">
            <w:pPr>
              <w:pStyle w:val="Sarakstarindkopa"/>
              <w:numPr>
                <w:ilvl w:val="1"/>
                <w:numId w:val="22"/>
              </w:numPr>
              <w:spacing w:before="60" w:after="60" w:line="240" w:lineRule="auto"/>
              <w:ind w:left="455" w:hanging="45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Tāpat vēstulē tiek minēts, ka pašvaldība nedrīkst paredzēt administratīvo atbildību par pārkāpumiem, kas saistīti ar piesārņojošu darbību, piemēram, atkritumu izmešanu, ūdens piesārņošanu, bērna atstāšanu bez uzraudzības, par drošības prasību neievērošanu attiecībā </w:t>
            </w:r>
            <w:r w:rsidRPr="004A65FA">
              <w:rPr>
                <w:rFonts w:ascii="Times New Roman" w:eastAsia="Calibri" w:hAnsi="Times New Roman"/>
                <w:bCs/>
                <w:sz w:val="24"/>
                <w:szCs w:val="24"/>
              </w:rPr>
              <w:lastRenderedPageBreak/>
              <w:t>uz bērna atrašanos publiskas izklaides, sporta vai atpūtas vietā, par bērna, kurš nav sasniedzis 16 gadu vecumu, atrašanos publiskā vietā nakts laikā bez pilngadīgas personas klātbūtnes, kura atbild par bērna uzraudzību, kā arī mantas bojāšanu, jo atbildība par to jau paredzēta Atkritumu apsaimniekošanas likumā, likumā "Par piesārņojumu", Ūdens apsaimniekošanas likumā un Bērnu tiesību aizsardzības likumā un Krimināllikumā.</w:t>
            </w:r>
          </w:p>
          <w:p w14:paraId="3FDF905C" w14:textId="77777777" w:rsidR="002D665D" w:rsidRDefault="003F53FA" w:rsidP="000A00D5">
            <w:pPr>
              <w:pStyle w:val="Sarakstarindkopa"/>
              <w:numPr>
                <w:ilvl w:val="1"/>
                <w:numId w:val="22"/>
              </w:numPr>
              <w:spacing w:before="60" w:after="60" w:line="240" w:lineRule="auto"/>
              <w:ind w:left="455" w:hanging="45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Minētie iebildumi pašvaldības ieskatā nav pamatoti, jo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nesatur normas, kas būtu saistītas ar bērnu tiesību aizsardzību, atkritumu apsaimniekošanu, piesārņojošu darbību vai kriminālatbildību. Ja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iepriekšējās redakcijās bija iekļautas šādas prasības, tad pamatojoties uz VARAM sniegtajiem atzinumiem tās vai nu tika svītrotas no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vai arī VARAM iebildumi netika ņemti vērā, sniedzot pamatojumu attiecīgos domes lēmumos (domes 27.03.2025. sēdes lēmums (protokols Nr. 7, 27.§) un 24.04.2025. sēdes lēmums (protokols Nr. 9, 50.§).</w:t>
            </w:r>
          </w:p>
          <w:p w14:paraId="7EB1DDAE" w14:textId="77777777" w:rsidR="00EF2B3C" w:rsidRPr="004A65FA" w:rsidRDefault="003F53FA" w:rsidP="000A00D5">
            <w:pPr>
              <w:pStyle w:val="Sarakstarindkopa"/>
              <w:numPr>
                <w:ilvl w:val="1"/>
                <w:numId w:val="22"/>
              </w:numPr>
              <w:spacing w:before="60" w:after="60" w:line="240" w:lineRule="auto"/>
              <w:ind w:left="455" w:hanging="455"/>
              <w:contextualSpacing w:val="0"/>
              <w:jc w:val="both"/>
              <w:rPr>
                <w:rFonts w:ascii="Times New Roman" w:eastAsia="Calibri" w:hAnsi="Times New Roman"/>
                <w:bCs/>
                <w:sz w:val="24"/>
                <w:szCs w:val="24"/>
              </w:rPr>
            </w:pPr>
            <w:bookmarkStart w:id="3" w:name="_Hlk209433778"/>
            <w:r>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EF2B3C">
              <w:rPr>
                <w:rFonts w:ascii="Times New Roman" w:eastAsia="Calibri" w:hAnsi="Times New Roman"/>
                <w:bCs/>
                <w:sz w:val="24"/>
                <w:szCs w:val="24"/>
              </w:rPr>
              <w:t>paskaidrojuma rakstā i</w:t>
            </w:r>
            <w:r>
              <w:rPr>
                <w:rFonts w:ascii="Times New Roman" w:eastAsia="Calibri" w:hAnsi="Times New Roman"/>
                <w:bCs/>
                <w:sz w:val="24"/>
                <w:szCs w:val="24"/>
              </w:rPr>
              <w:t>r i</w:t>
            </w:r>
            <w:r w:rsidRPr="00EF2B3C">
              <w:rPr>
                <w:rFonts w:ascii="Times New Roman" w:eastAsia="Calibri" w:hAnsi="Times New Roman"/>
                <w:bCs/>
                <w:sz w:val="24"/>
                <w:szCs w:val="24"/>
              </w:rPr>
              <w:t>ekļau</w:t>
            </w:r>
            <w:r>
              <w:rPr>
                <w:rFonts w:ascii="Times New Roman" w:eastAsia="Calibri" w:hAnsi="Times New Roman"/>
                <w:bCs/>
                <w:sz w:val="24"/>
                <w:szCs w:val="24"/>
              </w:rPr>
              <w:t xml:space="preserve">ts </w:t>
            </w:r>
            <w:r w:rsidRPr="00EF2B3C">
              <w:rPr>
                <w:rFonts w:ascii="Times New Roman" w:eastAsia="Calibri" w:hAnsi="Times New Roman"/>
                <w:bCs/>
                <w:sz w:val="24"/>
                <w:szCs w:val="24"/>
              </w:rPr>
              <w:t xml:space="preserve">administratīvās atbildības kritēriju izvērtējums par </w:t>
            </w:r>
            <w:r>
              <w:rPr>
                <w:rFonts w:ascii="Times New Roman" w:eastAsia="Calibri" w:hAnsi="Times New Roman"/>
                <w:bCs/>
                <w:sz w:val="24"/>
                <w:szCs w:val="24"/>
              </w:rPr>
              <w:t xml:space="preserve">SN Nr. </w:t>
            </w:r>
            <w:r w:rsidR="00685DC2" w:rsidRPr="00685DC2">
              <w:rPr>
                <w:rFonts w:ascii="Times New Roman" w:eastAsia="Calibri" w:hAnsi="Times New Roman"/>
                <w:bCs/>
                <w:sz w:val="24"/>
                <w:szCs w:val="24"/>
              </w:rPr>
              <w:t xml:space="preserve">18/2025 </w:t>
            </w:r>
            <w:r>
              <w:rPr>
                <w:rFonts w:ascii="Times New Roman" w:eastAsia="Calibri" w:hAnsi="Times New Roman"/>
                <w:bCs/>
                <w:sz w:val="24"/>
                <w:szCs w:val="24"/>
              </w:rPr>
              <w:t>paredzētajiem</w:t>
            </w:r>
            <w:r w:rsidRPr="00EF2B3C">
              <w:rPr>
                <w:rFonts w:ascii="Times New Roman" w:eastAsia="Calibri" w:hAnsi="Times New Roman"/>
                <w:bCs/>
                <w:sz w:val="24"/>
                <w:szCs w:val="24"/>
              </w:rPr>
              <w:t xml:space="preserve"> administratīv</w:t>
            </w:r>
            <w:r>
              <w:rPr>
                <w:rFonts w:ascii="Times New Roman" w:eastAsia="Calibri" w:hAnsi="Times New Roman"/>
                <w:bCs/>
                <w:sz w:val="24"/>
                <w:szCs w:val="24"/>
              </w:rPr>
              <w:t>ajiem</w:t>
            </w:r>
            <w:r w:rsidRPr="00EF2B3C">
              <w:rPr>
                <w:rFonts w:ascii="Times New Roman" w:eastAsia="Calibri" w:hAnsi="Times New Roman"/>
                <w:bCs/>
                <w:sz w:val="24"/>
                <w:szCs w:val="24"/>
              </w:rPr>
              <w:t xml:space="preserve"> pārkāpum</w:t>
            </w:r>
            <w:r>
              <w:rPr>
                <w:rFonts w:ascii="Times New Roman" w:eastAsia="Calibri" w:hAnsi="Times New Roman"/>
                <w:bCs/>
                <w:sz w:val="24"/>
                <w:szCs w:val="24"/>
              </w:rPr>
              <w:t>iem</w:t>
            </w:r>
            <w:r w:rsidRPr="00EF2B3C">
              <w:rPr>
                <w:rFonts w:ascii="Times New Roman" w:eastAsia="Calibri" w:hAnsi="Times New Roman"/>
                <w:bCs/>
                <w:sz w:val="24"/>
                <w:szCs w:val="24"/>
              </w:rPr>
              <w:t>: 1) administratīvā akta (procesa, rīkojuma) prioritātes princips; 2) sabiedriskās kārtības mērķa sasniegšanas efektivitāte; 3) problēmsituācijas attiecināmība uz publiski tiesiskajām attiecībām; 4) problēmsituācijas bīstamība un kaitīgums; 5) aizliegums paredzēt administratīvo atbildību par administratīvā akta labprātīgu neizpildīšanu</w:t>
            </w:r>
            <w:r>
              <w:rPr>
                <w:rFonts w:ascii="Times New Roman" w:eastAsia="Calibri" w:hAnsi="Times New Roman"/>
                <w:bCs/>
                <w:sz w:val="24"/>
                <w:szCs w:val="24"/>
              </w:rPr>
              <w:t xml:space="preserve"> (SN Nr. </w:t>
            </w:r>
            <w:r w:rsidR="006F40E9" w:rsidRPr="006F40E9">
              <w:rPr>
                <w:rFonts w:ascii="Times New Roman" w:eastAsia="Calibri" w:hAnsi="Times New Roman"/>
                <w:bCs/>
                <w:sz w:val="24"/>
                <w:szCs w:val="24"/>
              </w:rPr>
              <w:t xml:space="preserve">18/2025 </w:t>
            </w:r>
            <w:r>
              <w:rPr>
                <w:rFonts w:ascii="Times New Roman" w:eastAsia="Calibri" w:hAnsi="Times New Roman"/>
                <w:bCs/>
                <w:sz w:val="24"/>
                <w:szCs w:val="24"/>
              </w:rPr>
              <w:t>paskaidrojuma raksta 7.3. punkts).</w:t>
            </w:r>
            <w:bookmarkEnd w:id="3"/>
          </w:p>
        </w:tc>
      </w:tr>
      <w:tr w:rsidR="009C61D9" w14:paraId="2ADD6B45" w14:textId="77777777" w:rsidTr="008139A2">
        <w:trPr>
          <w:trHeight w:val="670"/>
        </w:trPr>
        <w:tc>
          <w:tcPr>
            <w:tcW w:w="9351" w:type="dxa"/>
            <w:tcBorders>
              <w:top w:val="single" w:sz="4" w:space="0" w:color="auto"/>
              <w:left w:val="single" w:sz="4" w:space="0" w:color="auto"/>
              <w:bottom w:val="single" w:sz="4" w:space="0" w:color="auto"/>
              <w:right w:val="single" w:sz="4" w:space="0" w:color="auto"/>
            </w:tcBorders>
            <w:hideMark/>
          </w:tcPr>
          <w:p w14:paraId="6EEAE31E" w14:textId="77777777" w:rsidR="002D665D" w:rsidRPr="002D665D" w:rsidRDefault="003F53FA" w:rsidP="00907422">
            <w:pPr>
              <w:numPr>
                <w:ilvl w:val="0"/>
                <w:numId w:val="22"/>
              </w:numPr>
              <w:spacing w:before="60" w:after="60"/>
              <w:ind w:left="459" w:hanging="459"/>
              <w:jc w:val="both"/>
              <w:rPr>
                <w:rFonts w:ascii="Times New Roman" w:eastAsia="Calibri" w:hAnsi="Times New Roman"/>
                <w:b/>
              </w:rPr>
            </w:pPr>
            <w:r w:rsidRPr="002D665D">
              <w:rPr>
                <w:rFonts w:ascii="Times New Roman" w:eastAsia="Calibri" w:hAnsi="Times New Roman"/>
                <w:b/>
              </w:rPr>
              <w:lastRenderedPageBreak/>
              <w:t xml:space="preserve">Fiskālā ietekme uz pašvaldības budžetu </w:t>
            </w:r>
          </w:p>
          <w:p w14:paraId="4417D941" w14:textId="77777777" w:rsidR="002D665D" w:rsidRPr="002D665D" w:rsidRDefault="003F53FA" w:rsidP="00907422">
            <w:pPr>
              <w:numPr>
                <w:ilvl w:val="1"/>
                <w:numId w:val="22"/>
              </w:numPr>
              <w:spacing w:before="60" w:after="60"/>
              <w:ind w:left="459" w:hanging="459"/>
              <w:jc w:val="both"/>
              <w:rPr>
                <w:rFonts w:ascii="Times New Roman" w:eastAsia="Calibri" w:hAnsi="Times New Roman"/>
                <w:b/>
              </w:rPr>
            </w:pPr>
            <w:r>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īstenošanas fiskālās ietekmes prognoze uz pašvaldības budžetu:</w:t>
            </w:r>
          </w:p>
          <w:p w14:paraId="61F6670E" w14:textId="77777777" w:rsidR="002D665D" w:rsidRPr="002D665D" w:rsidRDefault="003F53FA"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ieņēmumu daļu – nav attiecināms;</w:t>
            </w:r>
          </w:p>
          <w:p w14:paraId="44DC7920" w14:textId="77777777" w:rsidR="002D665D" w:rsidRPr="002D665D" w:rsidRDefault="003F53FA"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izdevumu daļu – nav attiecināms.</w:t>
            </w:r>
          </w:p>
          <w:p w14:paraId="591F8FD3" w14:textId="77777777"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Citas budžeta pozīcijas pašvaldībai netiks ietekmētas, jo nav nepieciešama jaunu institūciju vai darba vietu izveide vai esošo institūciju kompetences paplašināšanu, lai nodrošinātu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 izpildi.</w:t>
            </w:r>
          </w:p>
        </w:tc>
      </w:tr>
      <w:tr w:rsidR="009C61D9" w14:paraId="1200A717"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0B68F2D6" w14:textId="77777777" w:rsidR="002D665D" w:rsidRPr="002D665D" w:rsidRDefault="003F53FA" w:rsidP="00907422">
            <w:pPr>
              <w:numPr>
                <w:ilvl w:val="0"/>
                <w:numId w:val="22"/>
              </w:numPr>
              <w:spacing w:before="60" w:after="60"/>
              <w:ind w:left="459" w:hanging="459"/>
              <w:jc w:val="both"/>
              <w:rPr>
                <w:rFonts w:ascii="Times New Roman" w:eastAsia="Calibri" w:hAnsi="Times New Roman"/>
                <w:bCs/>
                <w:i/>
                <w:iCs/>
              </w:rPr>
            </w:pPr>
            <w:r w:rsidRPr="002D665D">
              <w:rPr>
                <w:rFonts w:ascii="Times New Roman" w:eastAsia="Calibri" w:hAnsi="Times New Roman"/>
                <w:b/>
              </w:rPr>
              <w:t>Sociālā ietekme, ietekme uz vidi, iedzīvotāju veselību, uzņēmējdarbības vidi pašvaldības teritorijā, kā arī uz konkurenci</w:t>
            </w:r>
          </w:p>
          <w:p w14:paraId="5438BB21" w14:textId="77777777"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Sociālā ietekme – </w:t>
            </w:r>
            <w:r w:rsidR="00C626FF">
              <w:rPr>
                <w:rFonts w:ascii="Times New Roman" w:eastAsia="Calibri" w:hAnsi="Times New Roman"/>
              </w:rPr>
              <w:t>ietekmes nav</w:t>
            </w:r>
            <w:r w:rsidRPr="002D665D">
              <w:rPr>
                <w:rFonts w:ascii="Times New Roman" w:eastAsia="Calibri" w:hAnsi="Times New Roman"/>
              </w:rPr>
              <w:t>.</w:t>
            </w:r>
          </w:p>
          <w:p w14:paraId="1F6FD475" w14:textId="77777777"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vidi – </w:t>
            </w:r>
            <w:r w:rsidR="00C626FF">
              <w:rPr>
                <w:rFonts w:ascii="Times New Roman" w:eastAsia="Calibri" w:hAnsi="Times New Roman"/>
              </w:rPr>
              <w:t>ietekmes nav</w:t>
            </w:r>
            <w:r w:rsidRPr="002D665D">
              <w:rPr>
                <w:rFonts w:ascii="Times New Roman" w:eastAsia="Calibri" w:hAnsi="Times New Roman"/>
              </w:rPr>
              <w:t>.</w:t>
            </w:r>
          </w:p>
          <w:p w14:paraId="20363C76" w14:textId="77777777"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uzņēmējdarbības vidi pašvaldības teritorijā – </w:t>
            </w:r>
            <w:r w:rsidR="00C626FF">
              <w:rPr>
                <w:rFonts w:ascii="Times New Roman" w:eastAsia="Calibri" w:hAnsi="Times New Roman"/>
              </w:rPr>
              <w:t>ietekmes nav</w:t>
            </w:r>
            <w:r w:rsidRPr="002D665D">
              <w:rPr>
                <w:rFonts w:ascii="Times New Roman" w:eastAsia="Calibri" w:hAnsi="Times New Roman"/>
              </w:rPr>
              <w:t>.</w:t>
            </w:r>
          </w:p>
          <w:p w14:paraId="5BBA37EF" w14:textId="77777777" w:rsidR="002D665D" w:rsidRPr="002D665D" w:rsidRDefault="003F53FA"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Ietekme uz konkurenci – nav ietekmes.</w:t>
            </w:r>
          </w:p>
        </w:tc>
      </w:tr>
      <w:tr w:rsidR="009C61D9" w14:paraId="0DB2F080" w14:textId="77777777" w:rsidTr="008139A2">
        <w:trPr>
          <w:trHeight w:val="552"/>
        </w:trPr>
        <w:tc>
          <w:tcPr>
            <w:tcW w:w="9351" w:type="dxa"/>
            <w:tcBorders>
              <w:top w:val="single" w:sz="4" w:space="0" w:color="auto"/>
              <w:left w:val="single" w:sz="4" w:space="0" w:color="auto"/>
              <w:bottom w:val="single" w:sz="4" w:space="0" w:color="auto"/>
              <w:right w:val="single" w:sz="4" w:space="0" w:color="auto"/>
            </w:tcBorders>
          </w:tcPr>
          <w:p w14:paraId="3E16D9F9" w14:textId="77777777" w:rsidR="002D665D" w:rsidRPr="002D665D" w:rsidRDefault="003F53FA" w:rsidP="00907422">
            <w:pPr>
              <w:numPr>
                <w:ilvl w:val="0"/>
                <w:numId w:val="21"/>
              </w:numPr>
              <w:spacing w:before="60" w:after="60"/>
              <w:ind w:left="459" w:hanging="459"/>
              <w:jc w:val="both"/>
              <w:rPr>
                <w:rFonts w:ascii="Times New Roman" w:eastAsia="Calibri" w:hAnsi="Times New Roman"/>
                <w:b/>
                <w:bCs/>
              </w:rPr>
            </w:pPr>
            <w:r w:rsidRPr="002D665D">
              <w:rPr>
                <w:rFonts w:ascii="Times New Roman" w:eastAsia="Calibri" w:hAnsi="Times New Roman"/>
                <w:b/>
                <w:bCs/>
              </w:rPr>
              <w:t>Ietekme uz administratīvajām procedūrām un to izmaksām</w:t>
            </w:r>
          </w:p>
          <w:p w14:paraId="0DB4FD47" w14:textId="77777777" w:rsidR="002D665D" w:rsidRPr="002D665D" w:rsidRDefault="003F53FA"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 xml:space="preserve">Institūcijas un amatpersonas, pie kuriem persona var vērsties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piemērošanā, ir pašvaldības aģentūra “Carnikavas komunālserviss” (turpmāk – Aģentūra), Ādažu novada būvvalde (turpmāk – Būvvalde), Ādažu novada pašvaldības policija, </w:t>
            </w:r>
            <w:r w:rsidRPr="002D665D">
              <w:rPr>
                <w:rFonts w:ascii="Times New Roman" w:eastAsia="Calibri" w:hAnsi="Times New Roman"/>
                <w:bCs/>
              </w:rPr>
              <w:t>Ādažu novada pašvaldības Administratīvā komisija</w:t>
            </w:r>
            <w:r w:rsidRPr="002D665D">
              <w:rPr>
                <w:rFonts w:ascii="Times New Roman" w:eastAsia="Calibri" w:hAnsi="Times New Roman"/>
              </w:rPr>
              <w:t xml:space="preserve"> (turpmāk – Administratīvā komisija), atbilstoši </w:t>
            </w:r>
            <w:r w:rsidR="00C626FF" w:rsidRP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73653BC5" w14:textId="77777777" w:rsidR="002D665D" w:rsidRPr="002D665D" w:rsidRDefault="003F53FA"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Administratīvo procedūru izmaksas – nav paredzētas.</w:t>
            </w:r>
          </w:p>
        </w:tc>
      </w:tr>
      <w:tr w:rsidR="009C61D9" w14:paraId="4FD212E7" w14:textId="77777777" w:rsidTr="008139A2">
        <w:trPr>
          <w:trHeight w:val="591"/>
        </w:trPr>
        <w:tc>
          <w:tcPr>
            <w:tcW w:w="9351" w:type="dxa"/>
            <w:tcBorders>
              <w:top w:val="single" w:sz="4" w:space="0" w:color="auto"/>
              <w:left w:val="single" w:sz="4" w:space="0" w:color="auto"/>
              <w:bottom w:val="single" w:sz="4" w:space="0" w:color="auto"/>
              <w:right w:val="single" w:sz="4" w:space="0" w:color="auto"/>
            </w:tcBorders>
            <w:hideMark/>
          </w:tcPr>
          <w:p w14:paraId="24C122C3" w14:textId="77777777" w:rsidR="002D665D" w:rsidRPr="002D665D" w:rsidRDefault="003F53FA" w:rsidP="00907422">
            <w:pPr>
              <w:numPr>
                <w:ilvl w:val="0"/>
                <w:numId w:val="21"/>
              </w:numPr>
              <w:spacing w:before="60" w:after="60"/>
              <w:ind w:left="459" w:hanging="459"/>
              <w:jc w:val="both"/>
              <w:rPr>
                <w:rFonts w:ascii="Times New Roman" w:eastAsia="Calibri" w:hAnsi="Times New Roman"/>
                <w:b/>
              </w:rPr>
            </w:pPr>
            <w:r w:rsidRPr="002D665D">
              <w:rPr>
                <w:rFonts w:ascii="Times New Roman" w:eastAsia="Calibri" w:hAnsi="Times New Roman"/>
                <w:b/>
              </w:rPr>
              <w:t>Ietekme uz pašvaldības funkcijām un cilvēkresursiem</w:t>
            </w:r>
          </w:p>
          <w:p w14:paraId="205F5887" w14:textId="77777777" w:rsidR="002D665D" w:rsidRPr="002D665D" w:rsidRDefault="003F53FA"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bCs/>
              </w:rPr>
              <w:t xml:space="preserve">SN Nr. </w:t>
            </w:r>
            <w:r w:rsidR="006F40E9" w:rsidRPr="006F40E9">
              <w:rPr>
                <w:rFonts w:ascii="Times New Roman" w:eastAsia="Calibri" w:hAnsi="Times New Roman"/>
                <w:bCs/>
              </w:rPr>
              <w:t xml:space="preserve">18/2025 </w:t>
            </w:r>
            <w:r w:rsidRPr="002D665D">
              <w:rPr>
                <w:rFonts w:ascii="Times New Roman" w:eastAsia="Calibri" w:hAnsi="Times New Roman"/>
              </w:rPr>
              <w:t>izpildei nav nepieciešams veidot pašvaldības jaunas institūcijas, darba vietas vai paplašināt esošo institūciju kompetenci.</w:t>
            </w:r>
          </w:p>
          <w:p w14:paraId="04D3E3AD" w14:textId="77777777" w:rsidR="002D665D" w:rsidRPr="002D665D" w:rsidRDefault="003F53FA"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izstrādāti, lai īstenotu pašvaldības autonomo funkciju, kas uzliek pienākumu noteikt pašvaldības īpašumā esošu un publiskā lietošanā nodotu ūdeņu uzturēšanu.</w:t>
            </w:r>
          </w:p>
        </w:tc>
      </w:tr>
      <w:tr w:rsidR="009C61D9" w14:paraId="270A1BB1"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492C0474" w14:textId="77777777" w:rsidR="002D665D" w:rsidRPr="002D665D" w:rsidRDefault="003F53FA" w:rsidP="00907422">
            <w:pPr>
              <w:numPr>
                <w:ilvl w:val="0"/>
                <w:numId w:val="19"/>
              </w:numPr>
              <w:spacing w:before="60" w:after="60"/>
              <w:jc w:val="both"/>
              <w:rPr>
                <w:rFonts w:ascii="Times New Roman" w:eastAsia="Calibri" w:hAnsi="Times New Roman"/>
                <w:b/>
              </w:rPr>
            </w:pPr>
            <w:r w:rsidRPr="002D665D">
              <w:rPr>
                <w:rFonts w:ascii="Times New Roman" w:eastAsia="Calibri" w:hAnsi="Times New Roman"/>
                <w:b/>
              </w:rPr>
              <w:t>Informācija par izpildes nodrošināšanu</w:t>
            </w:r>
          </w:p>
          <w:p w14:paraId="38B3BC7E" w14:textId="77777777" w:rsidR="002D665D" w:rsidRPr="002D665D" w:rsidRDefault="003F53FA"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lastRenderedPageBreak/>
              <w:t xml:space="preserve">Pašvaldības cilvēkresursi, kas tiks iesaistīti </w:t>
            </w:r>
            <w:r w:rsid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īstenošanā, ir Aģentūra, Būvvalde, Ādažu novada pašvaldības policija un Administratīvā komisija, atbilstoši </w:t>
            </w:r>
            <w:r w:rsidR="008E3597"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62530C42" w14:textId="77777777" w:rsidR="002D665D" w:rsidRPr="002D665D" w:rsidRDefault="003F53FA"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t>Nav paredzēta jaunu institūciju izveide vai esošo likvidācija, reorganizācija. Izpildei nepieciešami resursi tiek paredzēti pašvaldības budžeta ietvaros.</w:t>
            </w:r>
          </w:p>
        </w:tc>
      </w:tr>
      <w:tr w:rsidR="009C61D9" w14:paraId="704B818D"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49D5155D" w14:textId="77777777" w:rsidR="002D665D" w:rsidRPr="002D665D" w:rsidRDefault="003F53FA" w:rsidP="00907422">
            <w:pPr>
              <w:numPr>
                <w:ilvl w:val="0"/>
                <w:numId w:val="19"/>
              </w:numPr>
              <w:spacing w:before="60" w:after="60"/>
              <w:ind w:left="459" w:hanging="459"/>
              <w:jc w:val="both"/>
              <w:rPr>
                <w:rFonts w:ascii="Times New Roman" w:eastAsia="Calibri" w:hAnsi="Times New Roman"/>
                <w:b/>
                <w:bCs/>
              </w:rPr>
            </w:pPr>
            <w:r w:rsidRPr="002D665D">
              <w:rPr>
                <w:rFonts w:ascii="Times New Roman" w:eastAsia="Calibri" w:hAnsi="Times New Roman"/>
                <w:b/>
                <w:bCs/>
              </w:rPr>
              <w:lastRenderedPageBreak/>
              <w:t>Prasību un izmaksu samērīgums pret ieguvumiem, ko sniedz mērķa sasniegšana</w:t>
            </w:r>
          </w:p>
          <w:p w14:paraId="0EA1763E" w14:textId="77777777" w:rsidR="002D665D" w:rsidRPr="002D665D" w:rsidRDefault="003F53FA" w:rsidP="00907422">
            <w:pPr>
              <w:numPr>
                <w:ilvl w:val="0"/>
                <w:numId w:val="20"/>
              </w:numPr>
              <w:spacing w:before="60" w:after="60"/>
              <w:ind w:left="459" w:hanging="425"/>
              <w:jc w:val="both"/>
              <w:rPr>
                <w:rFonts w:ascii="Times New Roman" w:eastAsia="Calibri" w:hAnsi="Times New Roman"/>
              </w:rPr>
            </w:pP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ir atbilstoši iecerētā mērķa sasniegšanas nodrošināšanai un paredz tikai to, kas ir vajadzīgs minētā mērķa sasniegšanai, pašvaldības autonomās funkcijas izpildei. Mērķa sasniegšanai nosakot samērīgas prasības publisko ūdeņu izmantošanai, uzturēšanai un aizsargāšanai, kā arī samērīgu atbildību par </w:t>
            </w: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neievērošanu.</w:t>
            </w:r>
          </w:p>
          <w:p w14:paraId="6341D9C0" w14:textId="77777777" w:rsidR="002D665D" w:rsidRPr="002D665D" w:rsidRDefault="003F53FA" w:rsidP="00D2447C">
            <w:pPr>
              <w:numPr>
                <w:ilvl w:val="0"/>
                <w:numId w:val="20"/>
              </w:numPr>
              <w:spacing w:before="120"/>
              <w:ind w:left="459" w:hanging="425"/>
              <w:jc w:val="both"/>
              <w:rPr>
                <w:rFonts w:ascii="Times New Roman" w:eastAsia="Calibri" w:hAnsi="Times New Roman"/>
              </w:rPr>
            </w:pPr>
            <w:r w:rsidRPr="002D665D">
              <w:rPr>
                <w:rFonts w:ascii="Times New Roman" w:eastAsia="Calibri" w:hAnsi="Times New Roman"/>
              </w:rPr>
              <w:t xml:space="preserve">Pašvaldības izraudzītie līdzekļi ir leģitīmi, un rīcība ir atbilstoša augstākstāvošiem normatīviem aktiem. </w:t>
            </w:r>
          </w:p>
        </w:tc>
      </w:tr>
      <w:tr w:rsidR="009C61D9" w14:paraId="7B398A91"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1BB5E028" w14:textId="77777777" w:rsidR="002D665D" w:rsidRPr="002D665D" w:rsidRDefault="003F53FA" w:rsidP="00D2447C">
            <w:pPr>
              <w:numPr>
                <w:ilvl w:val="0"/>
                <w:numId w:val="19"/>
              </w:numPr>
              <w:spacing w:before="120"/>
              <w:ind w:left="459" w:hanging="459"/>
              <w:jc w:val="both"/>
              <w:rPr>
                <w:rFonts w:ascii="Times New Roman" w:eastAsia="Calibri" w:hAnsi="Times New Roman"/>
                <w:b/>
              </w:rPr>
            </w:pPr>
            <w:r w:rsidRPr="002D665D">
              <w:rPr>
                <w:rFonts w:ascii="Times New Roman" w:eastAsia="Calibri" w:hAnsi="Times New Roman"/>
                <w:b/>
              </w:rPr>
              <w:t>Izstrādes gaitā veiktās konsultācijas ar privātpersonām un institūcijām</w:t>
            </w:r>
          </w:p>
          <w:p w14:paraId="2B652198" w14:textId="77777777" w:rsidR="00E530BD" w:rsidRDefault="003F53FA" w:rsidP="00D2447C">
            <w:pPr>
              <w:pStyle w:val="Sarakstarindkopa"/>
              <w:numPr>
                <w:ilvl w:val="1"/>
                <w:numId w:val="19"/>
              </w:numPr>
              <w:tabs>
                <w:tab w:val="left" w:pos="459"/>
              </w:tabs>
              <w:spacing w:before="120" w:after="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S</w:t>
            </w:r>
            <w:r>
              <w:rPr>
                <w:rFonts w:ascii="Times New Roman" w:eastAsia="Calibri" w:hAnsi="Times New Roman"/>
                <w:sz w:val="24"/>
                <w:szCs w:val="24"/>
              </w:rPr>
              <w:t>N</w:t>
            </w:r>
            <w:r w:rsidRPr="00EF2B3C">
              <w:rPr>
                <w:rFonts w:ascii="Times New Roman" w:eastAsia="Calibri" w:hAnsi="Times New Roman"/>
                <w:sz w:val="24"/>
                <w:szCs w:val="24"/>
              </w:rPr>
              <w:t xml:space="preserve"> Nr. </w:t>
            </w:r>
            <w:r w:rsidR="006F40E9" w:rsidRPr="006F40E9">
              <w:rPr>
                <w:rFonts w:ascii="Times New Roman" w:eastAsia="Calibri" w:hAnsi="Times New Roman"/>
                <w:sz w:val="24"/>
                <w:szCs w:val="24"/>
              </w:rPr>
              <w:t xml:space="preserve">18/2025 </w:t>
            </w:r>
            <w:r w:rsidR="00EF2B3C" w:rsidRPr="00EF2B3C">
              <w:rPr>
                <w:rFonts w:ascii="Times New Roman" w:eastAsia="Calibri" w:hAnsi="Times New Roman"/>
                <w:sz w:val="24"/>
                <w:szCs w:val="24"/>
              </w:rPr>
              <w:t xml:space="preserve">grozījumu </w:t>
            </w:r>
            <w:r w:rsidRPr="00EF2B3C">
              <w:rPr>
                <w:rFonts w:ascii="Times New Roman" w:eastAsia="Calibri" w:hAnsi="Times New Roman"/>
                <w:sz w:val="24"/>
                <w:szCs w:val="24"/>
              </w:rPr>
              <w:t>izstrādes procesā</w:t>
            </w:r>
            <w:r w:rsidR="00EF2B3C" w:rsidRPr="00EF2B3C">
              <w:rPr>
                <w:rFonts w:ascii="Times New Roman" w:eastAsia="Calibri" w:hAnsi="Times New Roman"/>
                <w:sz w:val="24"/>
                <w:szCs w:val="24"/>
              </w:rPr>
              <w:t xml:space="preserve"> k</w:t>
            </w:r>
            <w:r w:rsidRPr="00EF2B3C">
              <w:rPr>
                <w:rFonts w:ascii="Times New Roman" w:eastAsia="Calibri" w:hAnsi="Times New Roman"/>
                <w:sz w:val="24"/>
                <w:szCs w:val="24"/>
              </w:rPr>
              <w:t>onsultācijas ar sabiedrības pārstāvjiem</w:t>
            </w:r>
            <w:r w:rsidR="00EF2B3C" w:rsidRPr="00EF2B3C">
              <w:rPr>
                <w:rFonts w:ascii="Times New Roman" w:eastAsia="Calibri" w:hAnsi="Times New Roman"/>
                <w:sz w:val="24"/>
                <w:szCs w:val="24"/>
              </w:rPr>
              <w:t xml:space="preserve"> nav notikušas, jo tas objektīvi nav nepieciešams</w:t>
            </w:r>
            <w:r w:rsidR="00EF2B3C">
              <w:rPr>
                <w:rFonts w:ascii="Times New Roman" w:eastAsia="Calibri" w:hAnsi="Times New Roman"/>
                <w:sz w:val="24"/>
                <w:szCs w:val="24"/>
              </w:rPr>
              <w:t xml:space="preserve"> – grozījumi saistīti ar normatīvo aktu dublēšanos</w:t>
            </w:r>
            <w:r w:rsidR="00EF2B3C" w:rsidRPr="00EF2B3C">
              <w:rPr>
                <w:rFonts w:ascii="Times New Roman" w:eastAsia="Calibri" w:hAnsi="Times New Roman"/>
                <w:sz w:val="24"/>
                <w:szCs w:val="24"/>
              </w:rPr>
              <w:t>.</w:t>
            </w:r>
          </w:p>
          <w:p w14:paraId="61C68D7F" w14:textId="212382EA" w:rsidR="000E0A4C" w:rsidRPr="00F03D98" w:rsidRDefault="003F53FA" w:rsidP="00D2447C">
            <w:pPr>
              <w:pStyle w:val="Sarakstarindkopa"/>
              <w:numPr>
                <w:ilvl w:val="1"/>
                <w:numId w:val="19"/>
              </w:numPr>
              <w:tabs>
                <w:tab w:val="left" w:pos="459"/>
              </w:tabs>
              <w:spacing w:before="120" w:after="0" w:line="240" w:lineRule="auto"/>
              <w:ind w:left="459" w:hanging="459"/>
              <w:contextualSpacing w:val="0"/>
              <w:jc w:val="both"/>
              <w:rPr>
                <w:rFonts w:ascii="Times New Roman" w:eastAsia="Calibri" w:hAnsi="Times New Roman"/>
                <w:sz w:val="24"/>
                <w:szCs w:val="24"/>
              </w:rPr>
            </w:pPr>
            <w:r w:rsidRPr="00F03D98">
              <w:rPr>
                <w:rFonts w:ascii="Times New Roman" w:hAnsi="Times New Roman"/>
                <w:color w:val="414142"/>
                <w:sz w:val="24"/>
                <w:szCs w:val="24"/>
              </w:rPr>
              <w:t>Ņemot vērā to, ka SN Nr. 18/2025 grozījumi neskar nosacījumus kuģošanas līdzekļu satiksmei Latvijas iekšējos ūdeņos, grozījumi netiek nosūtīti atzinuma sniegšanai Latvijas Jūras administrācijai</w:t>
            </w:r>
            <w:r w:rsidR="000A00D5">
              <w:rPr>
                <w:rFonts w:ascii="Times New Roman" w:hAnsi="Times New Roman"/>
                <w:color w:val="414142"/>
                <w:sz w:val="24"/>
                <w:szCs w:val="24"/>
              </w:rPr>
              <w:t xml:space="preserve">, jo </w:t>
            </w:r>
            <w:r w:rsidRPr="00F03D98">
              <w:rPr>
                <w:rFonts w:ascii="Times New Roman" w:eastAsia="Calibri" w:hAnsi="Times New Roman"/>
                <w:sz w:val="24"/>
                <w:szCs w:val="24"/>
              </w:rPr>
              <w:t>būtu formāla un neatbilstoša lietderības, efektivitātes un labas pārvaldības principam.</w:t>
            </w:r>
          </w:p>
          <w:p w14:paraId="192F33B4" w14:textId="77777777" w:rsidR="00EF2B3C" w:rsidRPr="000E0A4C" w:rsidRDefault="003F53FA" w:rsidP="00D2447C">
            <w:pPr>
              <w:pStyle w:val="Sarakstarindkopa"/>
              <w:numPr>
                <w:ilvl w:val="1"/>
                <w:numId w:val="19"/>
              </w:numPr>
              <w:tabs>
                <w:tab w:val="left" w:pos="459"/>
              </w:tabs>
              <w:spacing w:before="120" w:after="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P</w:t>
            </w:r>
            <w:r w:rsidR="002D665D" w:rsidRPr="000E0A4C">
              <w:rPr>
                <w:rFonts w:ascii="Times New Roman" w:eastAsia="Calibri" w:hAnsi="Times New Roman"/>
                <w:sz w:val="24"/>
                <w:szCs w:val="24"/>
              </w:rPr>
              <w:t xml:space="preserve">ēc izskatīšanas domes Attīstības komitejā </w:t>
            </w:r>
            <w:r w:rsidRPr="000E0A4C">
              <w:rPr>
                <w:rFonts w:ascii="Times New Roman" w:eastAsia="Calibri" w:hAnsi="Times New Roman"/>
                <w:sz w:val="24"/>
                <w:szCs w:val="24"/>
              </w:rPr>
              <w:t>08</w:t>
            </w:r>
            <w:r w:rsidR="002D665D" w:rsidRPr="000E0A4C">
              <w:rPr>
                <w:rFonts w:ascii="Times New Roman" w:eastAsia="Calibri" w:hAnsi="Times New Roman"/>
                <w:sz w:val="24"/>
                <w:szCs w:val="24"/>
              </w:rPr>
              <w:t>.</w:t>
            </w:r>
            <w:r w:rsidRPr="000E0A4C">
              <w:rPr>
                <w:rFonts w:ascii="Times New Roman" w:eastAsia="Calibri" w:hAnsi="Times New Roman"/>
                <w:sz w:val="24"/>
                <w:szCs w:val="24"/>
              </w:rPr>
              <w:t>10</w:t>
            </w:r>
            <w:r w:rsidR="002D665D" w:rsidRPr="000E0A4C">
              <w:rPr>
                <w:rFonts w:ascii="Times New Roman" w:eastAsia="Calibri" w:hAnsi="Times New Roman"/>
                <w:sz w:val="24"/>
                <w:szCs w:val="24"/>
              </w:rPr>
              <w:t xml:space="preserve">.2025. to projekts tika publicēts pašvaldības oficiālajā tīmekļvietnē </w:t>
            </w:r>
            <w:hyperlink r:id="rId9" w:history="1">
              <w:r w:rsidR="002D665D" w:rsidRPr="000E0A4C">
                <w:rPr>
                  <w:rFonts w:ascii="Times New Roman" w:eastAsia="Calibri" w:hAnsi="Times New Roman"/>
                  <w:sz w:val="24"/>
                  <w:szCs w:val="24"/>
                </w:rPr>
                <w:t>www.adazunovads.lv</w:t>
              </w:r>
            </w:hyperlink>
            <w:r w:rsidR="002D665D" w:rsidRPr="000E0A4C">
              <w:rPr>
                <w:rFonts w:ascii="Times New Roman" w:eastAsia="Calibri" w:hAnsi="Times New Roman"/>
                <w:sz w:val="24"/>
                <w:szCs w:val="24"/>
              </w:rPr>
              <w:t>, kā arī informācija par projektu tika publicēta sociālās vietnes Facebook pašvaldības kontā, lai sasniegtu mērķgrupu, kā arī noskaidrotu pēc iespējas plašākas sabiedrības viedokli.</w:t>
            </w:r>
          </w:p>
          <w:p w14:paraId="42DF4FD1" w14:textId="77777777" w:rsidR="00EF2B3C" w:rsidRDefault="003F53FA" w:rsidP="00D2447C">
            <w:pPr>
              <w:pStyle w:val="Sarakstarindkopa"/>
              <w:numPr>
                <w:ilvl w:val="1"/>
                <w:numId w:val="19"/>
              </w:numPr>
              <w:tabs>
                <w:tab w:val="left" w:pos="459"/>
              </w:tabs>
              <w:spacing w:before="120" w:after="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 xml:space="preserve">Sabiedriskās apspriešanas laikā no </w:t>
            </w:r>
            <w:r w:rsidR="008B1BBC">
              <w:rPr>
                <w:rFonts w:ascii="Times New Roman" w:eastAsia="Calibri" w:hAnsi="Times New Roman"/>
                <w:sz w:val="24"/>
                <w:szCs w:val="24"/>
              </w:rPr>
              <w:t>16</w:t>
            </w:r>
            <w:r w:rsidRPr="00EF2B3C">
              <w:rPr>
                <w:rFonts w:ascii="Times New Roman" w:eastAsia="Calibri" w:hAnsi="Times New Roman"/>
                <w:sz w:val="24"/>
                <w:szCs w:val="24"/>
              </w:rPr>
              <w:t>.10.2025.-2</w:t>
            </w:r>
            <w:r w:rsidR="008B1BBC">
              <w:rPr>
                <w:rFonts w:ascii="Times New Roman" w:eastAsia="Calibri" w:hAnsi="Times New Roman"/>
                <w:sz w:val="24"/>
                <w:szCs w:val="24"/>
              </w:rPr>
              <w:t>9</w:t>
            </w:r>
            <w:r w:rsidRPr="00EF2B3C">
              <w:rPr>
                <w:rFonts w:ascii="Times New Roman" w:eastAsia="Calibri" w:hAnsi="Times New Roman"/>
                <w:sz w:val="24"/>
                <w:szCs w:val="24"/>
              </w:rPr>
              <w:t>.10.2025. netika saņemti</w:t>
            </w:r>
            <w:r w:rsidR="0034561D">
              <w:rPr>
                <w:rFonts w:ascii="Times New Roman" w:eastAsia="Calibri" w:hAnsi="Times New Roman"/>
                <w:sz w:val="24"/>
                <w:szCs w:val="24"/>
              </w:rPr>
              <w:t xml:space="preserve"> </w:t>
            </w:r>
            <w:r w:rsidRPr="00EF2B3C">
              <w:rPr>
                <w:rFonts w:ascii="Times New Roman" w:eastAsia="Calibri" w:hAnsi="Times New Roman"/>
                <w:sz w:val="24"/>
                <w:szCs w:val="24"/>
              </w:rPr>
              <w:t>priekšlikumi</w:t>
            </w:r>
            <w:r w:rsidRPr="000E0A4C">
              <w:rPr>
                <w:rFonts w:ascii="Times New Roman" w:eastAsia="Calibri" w:hAnsi="Times New Roman"/>
                <w:sz w:val="24"/>
                <w:szCs w:val="24"/>
              </w:rPr>
              <w:t>.</w:t>
            </w:r>
          </w:p>
          <w:p w14:paraId="6862208D" w14:textId="7C855521" w:rsidR="00D2447C" w:rsidRPr="00D36702" w:rsidRDefault="00D2447C" w:rsidP="000A00D5">
            <w:pPr>
              <w:pStyle w:val="Sarakstarindkopa"/>
              <w:numPr>
                <w:ilvl w:val="1"/>
                <w:numId w:val="19"/>
              </w:numPr>
              <w:tabs>
                <w:tab w:val="left" w:pos="455"/>
              </w:tabs>
              <w:spacing w:before="120" w:after="0" w:line="240" w:lineRule="auto"/>
              <w:ind w:left="455" w:hanging="455"/>
              <w:contextualSpacing w:val="0"/>
              <w:jc w:val="both"/>
              <w:rPr>
                <w:rFonts w:ascii="Times New Roman" w:eastAsia="Calibri" w:hAnsi="Times New Roman"/>
                <w:sz w:val="24"/>
                <w:szCs w:val="24"/>
              </w:rPr>
            </w:pPr>
            <w:r w:rsidRPr="00D36702">
              <w:rPr>
                <w:rFonts w:ascii="Times New Roman" w:eastAsia="Calibri" w:hAnsi="Times New Roman"/>
                <w:sz w:val="24"/>
                <w:szCs w:val="24"/>
              </w:rPr>
              <w:t xml:space="preserve">Pašvaldība nepiekrita </w:t>
            </w:r>
            <w:r w:rsidR="000A00D5">
              <w:rPr>
                <w:rFonts w:ascii="Times New Roman" w:eastAsia="Calibri" w:hAnsi="Times New Roman"/>
                <w:sz w:val="24"/>
                <w:szCs w:val="24"/>
              </w:rPr>
              <w:t>VARAM</w:t>
            </w:r>
            <w:r w:rsidRPr="00D36702">
              <w:rPr>
                <w:rFonts w:ascii="Times New Roman" w:eastAsia="Calibri" w:hAnsi="Times New Roman"/>
                <w:sz w:val="24"/>
                <w:szCs w:val="24"/>
              </w:rPr>
              <w:t xml:space="preserve"> atzinumā izteiktajam iebildumam svītrot Noteikumu 3. punktu</w:t>
            </w:r>
            <w:r w:rsidR="007F4DE8">
              <w:rPr>
                <w:rFonts w:ascii="Times New Roman" w:eastAsia="Calibri" w:hAnsi="Times New Roman"/>
                <w:sz w:val="24"/>
                <w:szCs w:val="24"/>
              </w:rPr>
              <w:t xml:space="preserve"> 5.8. punkts)</w:t>
            </w:r>
            <w:r w:rsidRPr="00D36702">
              <w:rPr>
                <w:rFonts w:ascii="Times New Roman" w:eastAsia="Calibri" w:hAnsi="Times New Roman"/>
                <w:sz w:val="24"/>
                <w:szCs w:val="24"/>
              </w:rPr>
              <w:t>, jo dublē Ceļu satiksmes likuma 54. panta astotajā daļā un Meža likuma 5. panta pirmajā daļā noteikto administratīvo atbildību. Noteikumu 5.8. punkta svītrošana tiesību piemērošanas praksē rada būtiskus, tajā skaitā, interpretācijas riskus, samazinot regulējuma skaidrību un kontroles un sankciju piemērošanas efektivitāti publiskajās peldvietās, atpūtas vietās pie publiskajiem ūdeņiem un krasta kāpu aizsargjoslās.</w:t>
            </w:r>
            <w:r w:rsidR="00D36702">
              <w:rPr>
                <w:rFonts w:ascii="Times New Roman" w:eastAsia="Calibri" w:hAnsi="Times New Roman"/>
                <w:sz w:val="24"/>
                <w:szCs w:val="24"/>
              </w:rPr>
              <w:t xml:space="preserve"> </w:t>
            </w:r>
            <w:r w:rsidRPr="00D36702">
              <w:rPr>
                <w:rFonts w:ascii="Times New Roman" w:eastAsia="Calibri" w:hAnsi="Times New Roman"/>
                <w:sz w:val="24"/>
                <w:szCs w:val="24"/>
              </w:rPr>
              <w:t xml:space="preserve">Ceļu satiksmes likuma 54. panta astotā daļa prasa katrā gadījumā interpretēt, vai konkrētā teritorija ir paredzēta transportlīdzekļu braukšanai, kas praksē var radīt strīdus. </w:t>
            </w:r>
            <w:r w:rsidR="00D36702">
              <w:rPr>
                <w:rFonts w:ascii="Times New Roman" w:eastAsia="Calibri" w:hAnsi="Times New Roman"/>
                <w:sz w:val="24"/>
                <w:szCs w:val="24"/>
              </w:rPr>
              <w:t>Turpretī</w:t>
            </w:r>
            <w:r w:rsidRPr="00D36702">
              <w:rPr>
                <w:rFonts w:ascii="Times New Roman" w:eastAsia="Calibri" w:hAnsi="Times New Roman"/>
                <w:sz w:val="24"/>
                <w:szCs w:val="24"/>
              </w:rPr>
              <w:t xml:space="preserve"> Noteikumu 5.8. punkts nodrošina nepārprotamu aizliegumu, novēršot nepieciešamību juridiski kvalificēt teritoriju kā ceļu, nomali vai apstādījumus. </w:t>
            </w:r>
            <w:r w:rsidR="00D36702">
              <w:rPr>
                <w:rFonts w:ascii="Times New Roman" w:eastAsia="Calibri" w:hAnsi="Times New Roman"/>
                <w:sz w:val="24"/>
                <w:szCs w:val="24"/>
              </w:rPr>
              <w:t>Savukārt</w:t>
            </w:r>
            <w:r w:rsidRPr="00D36702">
              <w:rPr>
                <w:rFonts w:ascii="Times New Roman" w:eastAsia="Calibri" w:hAnsi="Times New Roman"/>
                <w:sz w:val="24"/>
                <w:szCs w:val="24"/>
              </w:rPr>
              <w:t xml:space="preserve"> Meža likuma 5. panta pirmajā daļā noteiktais regulējums attiecas tikai uz meža zemēm Meža likuma izpratnē, kamēr publiskās peldvietas un atpūtas vietas nereti atrodas ārpus meža zemēm, tostarp krasta kāpu aizsargjoslās un labiekārtotās pašvaldību teritorijās.</w:t>
            </w:r>
          </w:p>
          <w:p w14:paraId="71E06DC6" w14:textId="6B94786E" w:rsidR="00D2447C" w:rsidRPr="00EF2B3C" w:rsidRDefault="000A00D5" w:rsidP="000A00D5">
            <w:pPr>
              <w:pStyle w:val="Sarakstarindkopa"/>
              <w:numPr>
                <w:ilvl w:val="1"/>
                <w:numId w:val="19"/>
              </w:numPr>
              <w:tabs>
                <w:tab w:val="left" w:pos="459"/>
              </w:tabs>
              <w:spacing w:before="120" w:after="0" w:line="240" w:lineRule="auto"/>
              <w:ind w:left="455" w:hanging="455"/>
              <w:contextualSpacing w:val="0"/>
              <w:jc w:val="both"/>
              <w:rPr>
                <w:rFonts w:ascii="Times New Roman" w:eastAsia="Calibri" w:hAnsi="Times New Roman"/>
                <w:sz w:val="24"/>
                <w:szCs w:val="24"/>
              </w:rPr>
            </w:pPr>
            <w:r>
              <w:rPr>
                <w:rFonts w:ascii="Times New Roman" w:eastAsia="Calibri" w:hAnsi="Times New Roman"/>
                <w:sz w:val="24"/>
                <w:szCs w:val="24"/>
              </w:rPr>
              <w:t>Noteikumi</w:t>
            </w:r>
            <w:r w:rsidR="00D2447C" w:rsidRPr="00D2447C">
              <w:rPr>
                <w:rFonts w:ascii="Times New Roman" w:eastAsia="Calibri" w:hAnsi="Times New Roman"/>
                <w:sz w:val="24"/>
                <w:szCs w:val="24"/>
              </w:rPr>
              <w:t xml:space="preserve"> ir </w:t>
            </w:r>
            <w:r w:rsidR="00D36702">
              <w:rPr>
                <w:rFonts w:ascii="Times New Roman" w:eastAsia="Calibri" w:hAnsi="Times New Roman"/>
                <w:sz w:val="24"/>
                <w:szCs w:val="24"/>
              </w:rPr>
              <w:t>p</w:t>
            </w:r>
            <w:r w:rsidR="00D2447C" w:rsidRPr="00D2447C">
              <w:rPr>
                <w:rFonts w:ascii="Times New Roman" w:eastAsia="Calibri" w:hAnsi="Times New Roman"/>
                <w:sz w:val="24"/>
                <w:szCs w:val="24"/>
              </w:rPr>
              <w:t>apildināt</w:t>
            </w:r>
            <w:r>
              <w:rPr>
                <w:rFonts w:ascii="Times New Roman" w:eastAsia="Calibri" w:hAnsi="Times New Roman"/>
                <w:sz w:val="24"/>
                <w:szCs w:val="24"/>
              </w:rPr>
              <w:t>i ar</w:t>
            </w:r>
            <w:r w:rsidR="00D36702">
              <w:rPr>
                <w:rFonts w:ascii="Times New Roman" w:eastAsia="Calibri" w:hAnsi="Times New Roman"/>
                <w:sz w:val="24"/>
                <w:szCs w:val="24"/>
              </w:rPr>
              <w:t xml:space="preserve"> 5.8. punkt</w:t>
            </w:r>
            <w:r>
              <w:rPr>
                <w:rFonts w:ascii="Times New Roman" w:eastAsia="Calibri" w:hAnsi="Times New Roman"/>
                <w:sz w:val="24"/>
                <w:szCs w:val="24"/>
              </w:rPr>
              <w:t>u</w:t>
            </w:r>
            <w:r w:rsidR="00D36702">
              <w:rPr>
                <w:rFonts w:ascii="Times New Roman" w:eastAsia="Calibri" w:hAnsi="Times New Roman"/>
                <w:sz w:val="24"/>
                <w:szCs w:val="24"/>
              </w:rPr>
              <w:t xml:space="preserve">, </w:t>
            </w:r>
            <w:r w:rsidR="00D2447C" w:rsidRPr="00D2447C">
              <w:rPr>
                <w:rFonts w:ascii="Times New Roman" w:eastAsia="Calibri" w:hAnsi="Times New Roman"/>
                <w:sz w:val="24"/>
                <w:szCs w:val="24"/>
              </w:rPr>
              <w:t>nosakot, ka atbildība par šī punkta prasību pārkāpšanu iestājas, ja tā nav paredzēta arī Meža likumā.</w:t>
            </w:r>
          </w:p>
          <w:p w14:paraId="55997565" w14:textId="182B835F" w:rsidR="002D665D" w:rsidRPr="000A00D5" w:rsidRDefault="003F53FA" w:rsidP="000A00D5">
            <w:pPr>
              <w:pStyle w:val="Sarakstarindkopa"/>
              <w:numPr>
                <w:ilvl w:val="1"/>
                <w:numId w:val="19"/>
              </w:numPr>
              <w:tabs>
                <w:tab w:val="left" w:pos="459"/>
              </w:tabs>
              <w:spacing w:before="120" w:after="0" w:line="240" w:lineRule="auto"/>
              <w:ind w:left="455" w:hanging="455"/>
              <w:contextualSpacing w:val="0"/>
              <w:jc w:val="both"/>
              <w:rPr>
                <w:rFonts w:ascii="Times New Roman" w:eastAsia="Calibri" w:hAnsi="Times New Roman"/>
                <w:sz w:val="24"/>
                <w:szCs w:val="24"/>
              </w:rPr>
            </w:pPr>
            <w:r w:rsidRPr="000E0A4C">
              <w:rPr>
                <w:rFonts w:ascii="Times New Roman" w:eastAsia="Calibri" w:hAnsi="Times New Roman"/>
                <w:sz w:val="24"/>
                <w:szCs w:val="24"/>
              </w:rPr>
              <w:t>Cita veida saziņa un konsultācijas nav notikušas.</w:t>
            </w:r>
          </w:p>
        </w:tc>
      </w:tr>
    </w:tbl>
    <w:p w14:paraId="3D55728A" w14:textId="77777777" w:rsidR="002D665D" w:rsidRPr="002D665D" w:rsidRDefault="002D665D" w:rsidP="002D665D">
      <w:pPr>
        <w:jc w:val="both"/>
        <w:rPr>
          <w:rFonts w:ascii="Times New Roman" w:eastAsia="Calibri" w:hAnsi="Times New Roman"/>
        </w:rPr>
      </w:pPr>
    </w:p>
    <w:bookmarkEnd w:id="2"/>
    <w:p w14:paraId="1217E4F0" w14:textId="77777777"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2A316567" w14:textId="624D7A0E" w:rsidR="001E66CA" w:rsidRPr="00956697" w:rsidRDefault="003F53FA" w:rsidP="001E66CA">
      <w:pPr>
        <w:jc w:val="both"/>
        <w:rPr>
          <w:rFonts w:ascii="Times New Roman" w:hAnsi="Times New Roman" w:cs="Times New Roman"/>
          <w:noProof/>
        </w:rPr>
      </w:pPr>
      <w:r w:rsidRPr="00956697">
        <w:rPr>
          <w:rFonts w:ascii="Times New Roman" w:hAnsi="Times New Roman" w:cs="Times New Roman"/>
          <w:noProof/>
        </w:rPr>
        <w:t>attīstības jautājumos</w:t>
      </w:r>
    </w:p>
    <w:p w14:paraId="4F4F6B7B" w14:textId="77777777" w:rsidR="000A00D5" w:rsidRDefault="000A00D5" w:rsidP="001E66CA">
      <w:pPr>
        <w:jc w:val="center"/>
        <w:rPr>
          <w:rFonts w:ascii="Times New Roman" w:eastAsia="Calibri" w:hAnsi="Times New Roman" w:cs="Times New Roman"/>
        </w:rPr>
      </w:pPr>
    </w:p>
    <w:p w14:paraId="1A89A7C8" w14:textId="45B2FE1D" w:rsidR="002D665D" w:rsidRPr="0054370A" w:rsidRDefault="003F53FA" w:rsidP="0054370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sectPr w:rsidR="002D665D" w:rsidRPr="0054370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EA6E" w14:textId="77777777" w:rsidR="003F53FA" w:rsidRDefault="003F53FA">
      <w:r>
        <w:separator/>
      </w:r>
    </w:p>
  </w:endnote>
  <w:endnote w:type="continuationSeparator" w:id="0">
    <w:p w14:paraId="6A2B3392" w14:textId="77777777" w:rsidR="003F53FA" w:rsidRDefault="003F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135512"/>
      <w:docPartObj>
        <w:docPartGallery w:val="Page Numbers (Bottom of Page)"/>
        <w:docPartUnique/>
      </w:docPartObj>
    </w:sdtPr>
    <w:sdtEndPr>
      <w:rPr>
        <w:rFonts w:ascii="Times New Roman" w:hAnsi="Times New Roman" w:cs="Times New Roman"/>
        <w:noProof/>
      </w:rPr>
    </w:sdtEndPr>
    <w:sdtContent>
      <w:p w14:paraId="2773F661" w14:textId="77777777" w:rsidR="005C7FA1" w:rsidRPr="005C7FA1" w:rsidRDefault="003F53F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26BFB3D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13B6" w14:textId="77777777" w:rsidR="005C7FA1" w:rsidRPr="005C7FA1" w:rsidRDefault="005C7FA1">
    <w:pPr>
      <w:pStyle w:val="Kjene"/>
      <w:jc w:val="right"/>
      <w:rPr>
        <w:rFonts w:ascii="Times New Roman" w:hAnsi="Times New Roman" w:cs="Times New Roman"/>
      </w:rPr>
    </w:pPr>
  </w:p>
  <w:p w14:paraId="4F90221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D933" w14:textId="77777777" w:rsidR="003F53FA" w:rsidRDefault="003F53FA">
      <w:r>
        <w:separator/>
      </w:r>
    </w:p>
  </w:footnote>
  <w:footnote w:type="continuationSeparator" w:id="0">
    <w:p w14:paraId="091665E7" w14:textId="77777777" w:rsidR="003F53FA" w:rsidRDefault="003F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A1C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B2E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2C70A4"/>
    <w:multiLevelType w:val="hybridMultilevel"/>
    <w:tmpl w:val="17E89884"/>
    <w:lvl w:ilvl="0" w:tplc="041E38EE">
      <w:start w:val="1"/>
      <w:numFmt w:val="decimal"/>
      <w:lvlText w:val="%1."/>
      <w:lvlJc w:val="left"/>
      <w:pPr>
        <w:ind w:left="1440" w:hanging="360"/>
      </w:pPr>
      <w:rPr>
        <w:rFonts w:hint="default"/>
      </w:rPr>
    </w:lvl>
    <w:lvl w:ilvl="1" w:tplc="62001CE8" w:tentative="1">
      <w:start w:val="1"/>
      <w:numFmt w:val="lowerLetter"/>
      <w:lvlText w:val="%2."/>
      <w:lvlJc w:val="left"/>
      <w:pPr>
        <w:ind w:left="2160" w:hanging="360"/>
      </w:pPr>
    </w:lvl>
    <w:lvl w:ilvl="2" w:tplc="769C9ED2" w:tentative="1">
      <w:start w:val="1"/>
      <w:numFmt w:val="lowerRoman"/>
      <w:lvlText w:val="%3."/>
      <w:lvlJc w:val="right"/>
      <w:pPr>
        <w:ind w:left="2880" w:hanging="180"/>
      </w:pPr>
    </w:lvl>
    <w:lvl w:ilvl="3" w:tplc="64A230EA" w:tentative="1">
      <w:start w:val="1"/>
      <w:numFmt w:val="decimal"/>
      <w:lvlText w:val="%4."/>
      <w:lvlJc w:val="left"/>
      <w:pPr>
        <w:ind w:left="3600" w:hanging="360"/>
      </w:pPr>
    </w:lvl>
    <w:lvl w:ilvl="4" w:tplc="0DE4543E" w:tentative="1">
      <w:start w:val="1"/>
      <w:numFmt w:val="lowerLetter"/>
      <w:lvlText w:val="%5."/>
      <w:lvlJc w:val="left"/>
      <w:pPr>
        <w:ind w:left="4320" w:hanging="360"/>
      </w:pPr>
    </w:lvl>
    <w:lvl w:ilvl="5" w:tplc="56B6154C" w:tentative="1">
      <w:start w:val="1"/>
      <w:numFmt w:val="lowerRoman"/>
      <w:lvlText w:val="%6."/>
      <w:lvlJc w:val="right"/>
      <w:pPr>
        <w:ind w:left="5040" w:hanging="180"/>
      </w:pPr>
    </w:lvl>
    <w:lvl w:ilvl="6" w:tplc="59DE304C" w:tentative="1">
      <w:start w:val="1"/>
      <w:numFmt w:val="decimal"/>
      <w:lvlText w:val="%7."/>
      <w:lvlJc w:val="left"/>
      <w:pPr>
        <w:ind w:left="5760" w:hanging="360"/>
      </w:pPr>
    </w:lvl>
    <w:lvl w:ilvl="7" w:tplc="46D273B0" w:tentative="1">
      <w:start w:val="1"/>
      <w:numFmt w:val="lowerLetter"/>
      <w:lvlText w:val="%8."/>
      <w:lvlJc w:val="left"/>
      <w:pPr>
        <w:ind w:left="6480" w:hanging="360"/>
      </w:pPr>
    </w:lvl>
    <w:lvl w:ilvl="8" w:tplc="BFE44002" w:tentative="1">
      <w:start w:val="1"/>
      <w:numFmt w:val="lowerRoman"/>
      <w:lvlText w:val="%9."/>
      <w:lvlJc w:val="right"/>
      <w:pPr>
        <w:ind w:left="7200" w:hanging="180"/>
      </w:pPr>
    </w:lvl>
  </w:abstractNum>
  <w:abstractNum w:abstractNumId="2" w15:restartNumberingAfterBreak="0">
    <w:nsid w:val="0D506B94"/>
    <w:multiLevelType w:val="hybridMultilevel"/>
    <w:tmpl w:val="9B28C0AA"/>
    <w:lvl w:ilvl="0" w:tplc="E4F088D4">
      <w:start w:val="1"/>
      <w:numFmt w:val="decimal"/>
      <w:lvlText w:val="%1."/>
      <w:lvlJc w:val="left"/>
      <w:pPr>
        <w:ind w:left="1440" w:hanging="360"/>
      </w:pPr>
      <w:rPr>
        <w:rFonts w:hint="default"/>
      </w:rPr>
    </w:lvl>
    <w:lvl w:ilvl="1" w:tplc="9AE6E7C8" w:tentative="1">
      <w:start w:val="1"/>
      <w:numFmt w:val="lowerLetter"/>
      <w:lvlText w:val="%2."/>
      <w:lvlJc w:val="left"/>
      <w:pPr>
        <w:ind w:left="2160" w:hanging="360"/>
      </w:pPr>
    </w:lvl>
    <w:lvl w:ilvl="2" w:tplc="83E8017A" w:tentative="1">
      <w:start w:val="1"/>
      <w:numFmt w:val="lowerRoman"/>
      <w:lvlText w:val="%3."/>
      <w:lvlJc w:val="right"/>
      <w:pPr>
        <w:ind w:left="2880" w:hanging="180"/>
      </w:pPr>
    </w:lvl>
    <w:lvl w:ilvl="3" w:tplc="146E42BE" w:tentative="1">
      <w:start w:val="1"/>
      <w:numFmt w:val="decimal"/>
      <w:lvlText w:val="%4."/>
      <w:lvlJc w:val="left"/>
      <w:pPr>
        <w:ind w:left="3600" w:hanging="360"/>
      </w:pPr>
    </w:lvl>
    <w:lvl w:ilvl="4" w:tplc="0344C970" w:tentative="1">
      <w:start w:val="1"/>
      <w:numFmt w:val="lowerLetter"/>
      <w:lvlText w:val="%5."/>
      <w:lvlJc w:val="left"/>
      <w:pPr>
        <w:ind w:left="4320" w:hanging="360"/>
      </w:pPr>
    </w:lvl>
    <w:lvl w:ilvl="5" w:tplc="68AAB4E0" w:tentative="1">
      <w:start w:val="1"/>
      <w:numFmt w:val="lowerRoman"/>
      <w:lvlText w:val="%6."/>
      <w:lvlJc w:val="right"/>
      <w:pPr>
        <w:ind w:left="5040" w:hanging="180"/>
      </w:pPr>
    </w:lvl>
    <w:lvl w:ilvl="6" w:tplc="987EC3DE" w:tentative="1">
      <w:start w:val="1"/>
      <w:numFmt w:val="decimal"/>
      <w:lvlText w:val="%7."/>
      <w:lvlJc w:val="left"/>
      <w:pPr>
        <w:ind w:left="5760" w:hanging="360"/>
      </w:pPr>
    </w:lvl>
    <w:lvl w:ilvl="7" w:tplc="9BC441EC" w:tentative="1">
      <w:start w:val="1"/>
      <w:numFmt w:val="lowerLetter"/>
      <w:lvlText w:val="%8."/>
      <w:lvlJc w:val="left"/>
      <w:pPr>
        <w:ind w:left="6480" w:hanging="360"/>
      </w:pPr>
    </w:lvl>
    <w:lvl w:ilvl="8" w:tplc="64CA0682" w:tentative="1">
      <w:start w:val="1"/>
      <w:numFmt w:val="lowerRoman"/>
      <w:lvlText w:val="%9."/>
      <w:lvlJc w:val="right"/>
      <w:pPr>
        <w:ind w:left="7200" w:hanging="180"/>
      </w:pPr>
    </w:lvl>
  </w:abstractNum>
  <w:abstractNum w:abstractNumId="3" w15:restartNumberingAfterBreak="0">
    <w:nsid w:val="107752F3"/>
    <w:multiLevelType w:val="hybridMultilevel"/>
    <w:tmpl w:val="63841CA0"/>
    <w:lvl w:ilvl="0" w:tplc="FE7EB478">
      <w:start w:val="1"/>
      <w:numFmt w:val="decimal"/>
      <w:lvlText w:val="%1."/>
      <w:lvlJc w:val="left"/>
      <w:pPr>
        <w:ind w:left="720" w:hanging="360"/>
      </w:pPr>
      <w:rPr>
        <w:rFonts w:hint="default"/>
      </w:rPr>
    </w:lvl>
    <w:lvl w:ilvl="1" w:tplc="F482B8EA" w:tentative="1">
      <w:start w:val="1"/>
      <w:numFmt w:val="lowerLetter"/>
      <w:lvlText w:val="%2."/>
      <w:lvlJc w:val="left"/>
      <w:pPr>
        <w:ind w:left="1440" w:hanging="360"/>
      </w:pPr>
    </w:lvl>
    <w:lvl w:ilvl="2" w:tplc="677C63FA" w:tentative="1">
      <w:start w:val="1"/>
      <w:numFmt w:val="lowerRoman"/>
      <w:lvlText w:val="%3."/>
      <w:lvlJc w:val="right"/>
      <w:pPr>
        <w:ind w:left="2160" w:hanging="180"/>
      </w:pPr>
    </w:lvl>
    <w:lvl w:ilvl="3" w:tplc="EDA80D2C" w:tentative="1">
      <w:start w:val="1"/>
      <w:numFmt w:val="decimal"/>
      <w:lvlText w:val="%4."/>
      <w:lvlJc w:val="left"/>
      <w:pPr>
        <w:ind w:left="2880" w:hanging="360"/>
      </w:pPr>
    </w:lvl>
    <w:lvl w:ilvl="4" w:tplc="9314CB8A" w:tentative="1">
      <w:start w:val="1"/>
      <w:numFmt w:val="lowerLetter"/>
      <w:lvlText w:val="%5."/>
      <w:lvlJc w:val="left"/>
      <w:pPr>
        <w:ind w:left="3600" w:hanging="360"/>
      </w:pPr>
    </w:lvl>
    <w:lvl w:ilvl="5" w:tplc="21BA2C30" w:tentative="1">
      <w:start w:val="1"/>
      <w:numFmt w:val="lowerRoman"/>
      <w:lvlText w:val="%6."/>
      <w:lvlJc w:val="right"/>
      <w:pPr>
        <w:ind w:left="4320" w:hanging="180"/>
      </w:pPr>
    </w:lvl>
    <w:lvl w:ilvl="6" w:tplc="99223E18" w:tentative="1">
      <w:start w:val="1"/>
      <w:numFmt w:val="decimal"/>
      <w:lvlText w:val="%7."/>
      <w:lvlJc w:val="left"/>
      <w:pPr>
        <w:ind w:left="5040" w:hanging="360"/>
      </w:pPr>
    </w:lvl>
    <w:lvl w:ilvl="7" w:tplc="67B03F9E" w:tentative="1">
      <w:start w:val="1"/>
      <w:numFmt w:val="lowerLetter"/>
      <w:lvlText w:val="%8."/>
      <w:lvlJc w:val="left"/>
      <w:pPr>
        <w:ind w:left="5760" w:hanging="360"/>
      </w:pPr>
    </w:lvl>
    <w:lvl w:ilvl="8" w:tplc="FA62324E" w:tentative="1">
      <w:start w:val="1"/>
      <w:numFmt w:val="lowerRoman"/>
      <w:lvlText w:val="%9."/>
      <w:lvlJc w:val="right"/>
      <w:pPr>
        <w:ind w:left="6480" w:hanging="180"/>
      </w:pPr>
    </w:lvl>
  </w:abstractNum>
  <w:abstractNum w:abstractNumId="4" w15:restartNumberingAfterBreak="0">
    <w:nsid w:val="13DE642D"/>
    <w:multiLevelType w:val="multilevel"/>
    <w:tmpl w:val="BAEA2CBA"/>
    <w:lvl w:ilvl="0">
      <w:start w:val="8"/>
      <w:numFmt w:val="decimal"/>
      <w:lvlText w:val="%1."/>
      <w:lvlJc w:val="left"/>
      <w:pPr>
        <w:ind w:left="660" w:hanging="660"/>
      </w:pPr>
      <w:rPr>
        <w:rFonts w:hint="default"/>
      </w:rPr>
    </w:lvl>
    <w:lvl w:ilvl="1">
      <w:start w:val="1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A3B0985"/>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B5268"/>
    <w:multiLevelType w:val="hybridMultilevel"/>
    <w:tmpl w:val="5D90CB3A"/>
    <w:lvl w:ilvl="0" w:tplc="1166BB44">
      <w:start w:val="1"/>
      <w:numFmt w:val="decimal"/>
      <w:lvlText w:val="%1."/>
      <w:lvlJc w:val="left"/>
      <w:pPr>
        <w:ind w:left="1440" w:hanging="360"/>
      </w:pPr>
      <w:rPr>
        <w:rFonts w:hint="default"/>
      </w:rPr>
    </w:lvl>
    <w:lvl w:ilvl="1" w:tplc="A7CCE1F0" w:tentative="1">
      <w:start w:val="1"/>
      <w:numFmt w:val="lowerLetter"/>
      <w:lvlText w:val="%2."/>
      <w:lvlJc w:val="left"/>
      <w:pPr>
        <w:ind w:left="2160" w:hanging="360"/>
      </w:pPr>
    </w:lvl>
    <w:lvl w:ilvl="2" w:tplc="4484DC5C" w:tentative="1">
      <w:start w:val="1"/>
      <w:numFmt w:val="lowerRoman"/>
      <w:lvlText w:val="%3."/>
      <w:lvlJc w:val="right"/>
      <w:pPr>
        <w:ind w:left="2880" w:hanging="180"/>
      </w:pPr>
    </w:lvl>
    <w:lvl w:ilvl="3" w:tplc="4CB424A4" w:tentative="1">
      <w:start w:val="1"/>
      <w:numFmt w:val="decimal"/>
      <w:lvlText w:val="%4."/>
      <w:lvlJc w:val="left"/>
      <w:pPr>
        <w:ind w:left="3600" w:hanging="360"/>
      </w:pPr>
    </w:lvl>
    <w:lvl w:ilvl="4" w:tplc="09F6949E" w:tentative="1">
      <w:start w:val="1"/>
      <w:numFmt w:val="lowerLetter"/>
      <w:lvlText w:val="%5."/>
      <w:lvlJc w:val="left"/>
      <w:pPr>
        <w:ind w:left="4320" w:hanging="360"/>
      </w:pPr>
    </w:lvl>
    <w:lvl w:ilvl="5" w:tplc="1638E01C" w:tentative="1">
      <w:start w:val="1"/>
      <w:numFmt w:val="lowerRoman"/>
      <w:lvlText w:val="%6."/>
      <w:lvlJc w:val="right"/>
      <w:pPr>
        <w:ind w:left="5040" w:hanging="180"/>
      </w:pPr>
    </w:lvl>
    <w:lvl w:ilvl="6" w:tplc="1A5ECE70" w:tentative="1">
      <w:start w:val="1"/>
      <w:numFmt w:val="decimal"/>
      <w:lvlText w:val="%7."/>
      <w:lvlJc w:val="left"/>
      <w:pPr>
        <w:ind w:left="5760" w:hanging="360"/>
      </w:pPr>
    </w:lvl>
    <w:lvl w:ilvl="7" w:tplc="2A5C8886" w:tentative="1">
      <w:start w:val="1"/>
      <w:numFmt w:val="lowerLetter"/>
      <w:lvlText w:val="%8."/>
      <w:lvlJc w:val="left"/>
      <w:pPr>
        <w:ind w:left="6480" w:hanging="360"/>
      </w:pPr>
    </w:lvl>
    <w:lvl w:ilvl="8" w:tplc="1794F864" w:tentative="1">
      <w:start w:val="1"/>
      <w:numFmt w:val="lowerRoman"/>
      <w:lvlText w:val="%9."/>
      <w:lvlJc w:val="right"/>
      <w:pPr>
        <w:ind w:left="7200" w:hanging="180"/>
      </w:pPr>
    </w:lvl>
  </w:abstractNum>
  <w:abstractNum w:abstractNumId="8"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EC7617C0"/>
    <w:lvl w:ilvl="0">
      <w:start w:val="1"/>
      <w:numFmt w:val="decimal"/>
      <w:lvlText w:val="%1."/>
      <w:lvlJc w:val="left"/>
      <w:pPr>
        <w:ind w:left="792" w:hanging="432"/>
      </w:pPr>
      <w:rPr>
        <w:rFonts w:hint="default"/>
        <w:b w:val="0"/>
        <w:bCs/>
        <w:i w:val="0"/>
        <w:iCs w:val="0"/>
        <w:color w:val="auto"/>
      </w:rPr>
    </w:lvl>
    <w:lvl w:ilvl="1">
      <w:start w:val="1"/>
      <w:numFmt w:val="decimal"/>
      <w:isLgl/>
      <w:lvlText w:val="%2."/>
      <w:lvlJc w:val="left"/>
      <w:pPr>
        <w:ind w:left="988" w:hanging="420"/>
      </w:pPr>
      <w:rPr>
        <w:rFonts w:ascii="Times New Roman" w:eastAsia="Calibri" w:hAnsi="Times New Roman" w:cs="Times New Roman" w:hint="default"/>
        <w:b/>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8E20D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E570D"/>
    <w:multiLevelType w:val="hybridMultilevel"/>
    <w:tmpl w:val="9D208214"/>
    <w:lvl w:ilvl="0" w:tplc="FDF076DA">
      <w:start w:val="1"/>
      <w:numFmt w:val="decimal"/>
      <w:lvlText w:val="%1."/>
      <w:lvlJc w:val="left"/>
      <w:pPr>
        <w:ind w:left="1440" w:hanging="360"/>
      </w:pPr>
      <w:rPr>
        <w:rFonts w:hint="default"/>
      </w:rPr>
    </w:lvl>
    <w:lvl w:ilvl="1" w:tplc="00FC4330" w:tentative="1">
      <w:start w:val="1"/>
      <w:numFmt w:val="lowerLetter"/>
      <w:lvlText w:val="%2."/>
      <w:lvlJc w:val="left"/>
      <w:pPr>
        <w:ind w:left="2160" w:hanging="360"/>
      </w:pPr>
    </w:lvl>
    <w:lvl w:ilvl="2" w:tplc="FB22D05C" w:tentative="1">
      <w:start w:val="1"/>
      <w:numFmt w:val="lowerRoman"/>
      <w:lvlText w:val="%3."/>
      <w:lvlJc w:val="right"/>
      <w:pPr>
        <w:ind w:left="2880" w:hanging="180"/>
      </w:pPr>
    </w:lvl>
    <w:lvl w:ilvl="3" w:tplc="13B4682C" w:tentative="1">
      <w:start w:val="1"/>
      <w:numFmt w:val="decimal"/>
      <w:lvlText w:val="%4."/>
      <w:lvlJc w:val="left"/>
      <w:pPr>
        <w:ind w:left="3600" w:hanging="360"/>
      </w:pPr>
    </w:lvl>
    <w:lvl w:ilvl="4" w:tplc="C8C47BF4" w:tentative="1">
      <w:start w:val="1"/>
      <w:numFmt w:val="lowerLetter"/>
      <w:lvlText w:val="%5."/>
      <w:lvlJc w:val="left"/>
      <w:pPr>
        <w:ind w:left="4320" w:hanging="360"/>
      </w:pPr>
    </w:lvl>
    <w:lvl w:ilvl="5" w:tplc="E2D0040C" w:tentative="1">
      <w:start w:val="1"/>
      <w:numFmt w:val="lowerRoman"/>
      <w:lvlText w:val="%6."/>
      <w:lvlJc w:val="right"/>
      <w:pPr>
        <w:ind w:left="5040" w:hanging="180"/>
      </w:pPr>
    </w:lvl>
    <w:lvl w:ilvl="6" w:tplc="9700754E" w:tentative="1">
      <w:start w:val="1"/>
      <w:numFmt w:val="decimal"/>
      <w:lvlText w:val="%7."/>
      <w:lvlJc w:val="left"/>
      <w:pPr>
        <w:ind w:left="5760" w:hanging="360"/>
      </w:pPr>
    </w:lvl>
    <w:lvl w:ilvl="7" w:tplc="9490C3DA" w:tentative="1">
      <w:start w:val="1"/>
      <w:numFmt w:val="lowerLetter"/>
      <w:lvlText w:val="%8."/>
      <w:lvlJc w:val="left"/>
      <w:pPr>
        <w:ind w:left="6480" w:hanging="360"/>
      </w:pPr>
    </w:lvl>
    <w:lvl w:ilvl="8" w:tplc="26840B60" w:tentative="1">
      <w:start w:val="1"/>
      <w:numFmt w:val="lowerRoman"/>
      <w:lvlText w:val="%9."/>
      <w:lvlJc w:val="right"/>
      <w:pPr>
        <w:ind w:left="7200" w:hanging="180"/>
      </w:pPr>
    </w:lvl>
  </w:abstractNum>
  <w:abstractNum w:abstractNumId="12"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24E61"/>
    <w:multiLevelType w:val="hybridMultilevel"/>
    <w:tmpl w:val="38AC7430"/>
    <w:lvl w:ilvl="0" w:tplc="7B3C095A">
      <w:start w:val="1"/>
      <w:numFmt w:val="decimal"/>
      <w:lvlText w:val="7.%1."/>
      <w:lvlJc w:val="left"/>
      <w:pPr>
        <w:ind w:left="2880" w:hanging="360"/>
      </w:pPr>
      <w:rPr>
        <w:rFonts w:hint="default"/>
      </w:rPr>
    </w:lvl>
    <w:lvl w:ilvl="1" w:tplc="1F0A3C54">
      <w:start w:val="1"/>
      <w:numFmt w:val="decimal"/>
      <w:lvlText w:val="%2)"/>
      <w:lvlJc w:val="left"/>
      <w:pPr>
        <w:ind w:left="1440" w:hanging="360"/>
      </w:pPr>
      <w:rPr>
        <w:rFonts w:hint="default"/>
      </w:rPr>
    </w:lvl>
    <w:lvl w:ilvl="2" w:tplc="C240C33A" w:tentative="1">
      <w:start w:val="1"/>
      <w:numFmt w:val="lowerRoman"/>
      <w:lvlText w:val="%3."/>
      <w:lvlJc w:val="right"/>
      <w:pPr>
        <w:ind w:left="2160" w:hanging="180"/>
      </w:pPr>
    </w:lvl>
    <w:lvl w:ilvl="3" w:tplc="0114CA0E" w:tentative="1">
      <w:start w:val="1"/>
      <w:numFmt w:val="decimal"/>
      <w:lvlText w:val="%4."/>
      <w:lvlJc w:val="left"/>
      <w:pPr>
        <w:ind w:left="2880" w:hanging="360"/>
      </w:pPr>
    </w:lvl>
    <w:lvl w:ilvl="4" w:tplc="28F48A1E" w:tentative="1">
      <w:start w:val="1"/>
      <w:numFmt w:val="lowerLetter"/>
      <w:lvlText w:val="%5."/>
      <w:lvlJc w:val="left"/>
      <w:pPr>
        <w:ind w:left="3600" w:hanging="360"/>
      </w:pPr>
    </w:lvl>
    <w:lvl w:ilvl="5" w:tplc="3232FACA" w:tentative="1">
      <w:start w:val="1"/>
      <w:numFmt w:val="lowerRoman"/>
      <w:lvlText w:val="%6."/>
      <w:lvlJc w:val="right"/>
      <w:pPr>
        <w:ind w:left="4320" w:hanging="180"/>
      </w:pPr>
    </w:lvl>
    <w:lvl w:ilvl="6" w:tplc="E15E9380" w:tentative="1">
      <w:start w:val="1"/>
      <w:numFmt w:val="decimal"/>
      <w:lvlText w:val="%7."/>
      <w:lvlJc w:val="left"/>
      <w:pPr>
        <w:ind w:left="5040" w:hanging="360"/>
      </w:pPr>
    </w:lvl>
    <w:lvl w:ilvl="7" w:tplc="361073D6" w:tentative="1">
      <w:start w:val="1"/>
      <w:numFmt w:val="lowerLetter"/>
      <w:lvlText w:val="%8."/>
      <w:lvlJc w:val="left"/>
      <w:pPr>
        <w:ind w:left="5760" w:hanging="360"/>
      </w:pPr>
    </w:lvl>
    <w:lvl w:ilvl="8" w:tplc="7BE8D022" w:tentative="1">
      <w:start w:val="1"/>
      <w:numFmt w:val="lowerRoman"/>
      <w:lvlText w:val="%9."/>
      <w:lvlJc w:val="right"/>
      <w:pPr>
        <w:ind w:left="6480" w:hanging="180"/>
      </w:pPr>
    </w:lvl>
  </w:abstractNum>
  <w:abstractNum w:abstractNumId="14" w15:restartNumberingAfterBreak="0">
    <w:nsid w:val="39623166"/>
    <w:multiLevelType w:val="hybridMultilevel"/>
    <w:tmpl w:val="969E9662"/>
    <w:lvl w:ilvl="0" w:tplc="0002A710">
      <w:start w:val="1"/>
      <w:numFmt w:val="decimal"/>
      <w:lvlText w:val="%1."/>
      <w:lvlJc w:val="left"/>
      <w:pPr>
        <w:ind w:left="720" w:hanging="360"/>
      </w:pPr>
      <w:rPr>
        <w:rFonts w:hint="default"/>
      </w:rPr>
    </w:lvl>
    <w:lvl w:ilvl="1" w:tplc="86F01EE6">
      <w:start w:val="1"/>
      <w:numFmt w:val="decimal"/>
      <w:lvlText w:val="%2."/>
      <w:lvlJc w:val="left"/>
      <w:pPr>
        <w:ind w:left="1440" w:hanging="360"/>
      </w:pPr>
      <w:rPr>
        <w:rFonts w:hint="default"/>
      </w:rPr>
    </w:lvl>
    <w:lvl w:ilvl="2" w:tplc="C2CA5860" w:tentative="1">
      <w:start w:val="1"/>
      <w:numFmt w:val="lowerRoman"/>
      <w:lvlText w:val="%3."/>
      <w:lvlJc w:val="right"/>
      <w:pPr>
        <w:ind w:left="2160" w:hanging="180"/>
      </w:pPr>
    </w:lvl>
    <w:lvl w:ilvl="3" w:tplc="BDBC6802" w:tentative="1">
      <w:start w:val="1"/>
      <w:numFmt w:val="decimal"/>
      <w:lvlText w:val="%4."/>
      <w:lvlJc w:val="left"/>
      <w:pPr>
        <w:ind w:left="2880" w:hanging="360"/>
      </w:pPr>
    </w:lvl>
    <w:lvl w:ilvl="4" w:tplc="A524096E" w:tentative="1">
      <w:start w:val="1"/>
      <w:numFmt w:val="lowerLetter"/>
      <w:lvlText w:val="%5."/>
      <w:lvlJc w:val="left"/>
      <w:pPr>
        <w:ind w:left="3600" w:hanging="360"/>
      </w:pPr>
    </w:lvl>
    <w:lvl w:ilvl="5" w:tplc="3D36A6E2" w:tentative="1">
      <w:start w:val="1"/>
      <w:numFmt w:val="lowerRoman"/>
      <w:lvlText w:val="%6."/>
      <w:lvlJc w:val="right"/>
      <w:pPr>
        <w:ind w:left="4320" w:hanging="180"/>
      </w:pPr>
    </w:lvl>
    <w:lvl w:ilvl="6" w:tplc="BDAC08DC" w:tentative="1">
      <w:start w:val="1"/>
      <w:numFmt w:val="decimal"/>
      <w:lvlText w:val="%7."/>
      <w:lvlJc w:val="left"/>
      <w:pPr>
        <w:ind w:left="5040" w:hanging="360"/>
      </w:pPr>
    </w:lvl>
    <w:lvl w:ilvl="7" w:tplc="40544172" w:tentative="1">
      <w:start w:val="1"/>
      <w:numFmt w:val="lowerLetter"/>
      <w:lvlText w:val="%8."/>
      <w:lvlJc w:val="left"/>
      <w:pPr>
        <w:ind w:left="5760" w:hanging="360"/>
      </w:pPr>
    </w:lvl>
    <w:lvl w:ilvl="8" w:tplc="37E6DA44" w:tentative="1">
      <w:start w:val="1"/>
      <w:numFmt w:val="lowerRoman"/>
      <w:lvlText w:val="%9."/>
      <w:lvlJc w:val="right"/>
      <w:pPr>
        <w:ind w:left="6480" w:hanging="180"/>
      </w:pPr>
    </w:lvl>
  </w:abstractNum>
  <w:abstractNum w:abstractNumId="15"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8A2353"/>
    <w:multiLevelType w:val="multilevel"/>
    <w:tmpl w:val="9E6647B8"/>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F592645"/>
    <w:multiLevelType w:val="multilevel"/>
    <w:tmpl w:val="DA44177C"/>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60E75C3E"/>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3"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0B5139"/>
    <w:multiLevelType w:val="hybridMultilevel"/>
    <w:tmpl w:val="ECBA4B7A"/>
    <w:lvl w:ilvl="0" w:tplc="FE8C0B3C">
      <w:start w:val="1"/>
      <w:numFmt w:val="decimal"/>
      <w:lvlText w:val="%1."/>
      <w:lvlJc w:val="left"/>
      <w:pPr>
        <w:ind w:left="720" w:hanging="360"/>
      </w:pPr>
      <w:rPr>
        <w:rFonts w:cstheme="minorBidi" w:hint="default"/>
      </w:rPr>
    </w:lvl>
    <w:lvl w:ilvl="1" w:tplc="65AE54DC" w:tentative="1">
      <w:start w:val="1"/>
      <w:numFmt w:val="lowerLetter"/>
      <w:lvlText w:val="%2."/>
      <w:lvlJc w:val="left"/>
      <w:pPr>
        <w:ind w:left="1440" w:hanging="360"/>
      </w:pPr>
    </w:lvl>
    <w:lvl w:ilvl="2" w:tplc="06E6054C" w:tentative="1">
      <w:start w:val="1"/>
      <w:numFmt w:val="lowerRoman"/>
      <w:lvlText w:val="%3."/>
      <w:lvlJc w:val="right"/>
      <w:pPr>
        <w:ind w:left="2160" w:hanging="180"/>
      </w:pPr>
    </w:lvl>
    <w:lvl w:ilvl="3" w:tplc="A1687EC4" w:tentative="1">
      <w:start w:val="1"/>
      <w:numFmt w:val="decimal"/>
      <w:lvlText w:val="%4."/>
      <w:lvlJc w:val="left"/>
      <w:pPr>
        <w:ind w:left="2880" w:hanging="360"/>
      </w:pPr>
    </w:lvl>
    <w:lvl w:ilvl="4" w:tplc="91945738" w:tentative="1">
      <w:start w:val="1"/>
      <w:numFmt w:val="lowerLetter"/>
      <w:lvlText w:val="%5."/>
      <w:lvlJc w:val="left"/>
      <w:pPr>
        <w:ind w:left="3600" w:hanging="360"/>
      </w:pPr>
    </w:lvl>
    <w:lvl w:ilvl="5" w:tplc="7BB2DA3C" w:tentative="1">
      <w:start w:val="1"/>
      <w:numFmt w:val="lowerRoman"/>
      <w:lvlText w:val="%6."/>
      <w:lvlJc w:val="right"/>
      <w:pPr>
        <w:ind w:left="4320" w:hanging="180"/>
      </w:pPr>
    </w:lvl>
    <w:lvl w:ilvl="6" w:tplc="AF5E2292" w:tentative="1">
      <w:start w:val="1"/>
      <w:numFmt w:val="decimal"/>
      <w:lvlText w:val="%7."/>
      <w:lvlJc w:val="left"/>
      <w:pPr>
        <w:ind w:left="5040" w:hanging="360"/>
      </w:pPr>
    </w:lvl>
    <w:lvl w:ilvl="7" w:tplc="A7DE974A" w:tentative="1">
      <w:start w:val="1"/>
      <w:numFmt w:val="lowerLetter"/>
      <w:lvlText w:val="%8."/>
      <w:lvlJc w:val="left"/>
      <w:pPr>
        <w:ind w:left="5760" w:hanging="360"/>
      </w:pPr>
    </w:lvl>
    <w:lvl w:ilvl="8" w:tplc="7B56F634" w:tentative="1">
      <w:start w:val="1"/>
      <w:numFmt w:val="lowerRoman"/>
      <w:lvlText w:val="%9."/>
      <w:lvlJc w:val="right"/>
      <w:pPr>
        <w:ind w:left="6480" w:hanging="180"/>
      </w:pPr>
    </w:lvl>
  </w:abstractNum>
  <w:abstractNum w:abstractNumId="25" w15:restartNumberingAfterBreak="0">
    <w:nsid w:val="787B571D"/>
    <w:multiLevelType w:val="hybridMultilevel"/>
    <w:tmpl w:val="592C42B2"/>
    <w:lvl w:ilvl="0" w:tplc="331AED68">
      <w:start w:val="1"/>
      <w:numFmt w:val="decimal"/>
      <w:lvlText w:val="%1."/>
      <w:lvlJc w:val="left"/>
      <w:pPr>
        <w:ind w:left="1440" w:hanging="360"/>
      </w:pPr>
      <w:rPr>
        <w:rFonts w:hint="default"/>
      </w:rPr>
    </w:lvl>
    <w:lvl w:ilvl="1" w:tplc="3946A052" w:tentative="1">
      <w:start w:val="1"/>
      <w:numFmt w:val="lowerLetter"/>
      <w:lvlText w:val="%2."/>
      <w:lvlJc w:val="left"/>
      <w:pPr>
        <w:ind w:left="2160" w:hanging="360"/>
      </w:pPr>
    </w:lvl>
    <w:lvl w:ilvl="2" w:tplc="023E3FD4" w:tentative="1">
      <w:start w:val="1"/>
      <w:numFmt w:val="lowerRoman"/>
      <w:lvlText w:val="%3."/>
      <w:lvlJc w:val="right"/>
      <w:pPr>
        <w:ind w:left="2880" w:hanging="180"/>
      </w:pPr>
    </w:lvl>
    <w:lvl w:ilvl="3" w:tplc="09848614" w:tentative="1">
      <w:start w:val="1"/>
      <w:numFmt w:val="decimal"/>
      <w:lvlText w:val="%4."/>
      <w:lvlJc w:val="left"/>
      <w:pPr>
        <w:ind w:left="3600" w:hanging="360"/>
      </w:pPr>
    </w:lvl>
    <w:lvl w:ilvl="4" w:tplc="1302B998" w:tentative="1">
      <w:start w:val="1"/>
      <w:numFmt w:val="lowerLetter"/>
      <w:lvlText w:val="%5."/>
      <w:lvlJc w:val="left"/>
      <w:pPr>
        <w:ind w:left="4320" w:hanging="360"/>
      </w:pPr>
    </w:lvl>
    <w:lvl w:ilvl="5" w:tplc="76507498" w:tentative="1">
      <w:start w:val="1"/>
      <w:numFmt w:val="lowerRoman"/>
      <w:lvlText w:val="%6."/>
      <w:lvlJc w:val="right"/>
      <w:pPr>
        <w:ind w:left="5040" w:hanging="180"/>
      </w:pPr>
    </w:lvl>
    <w:lvl w:ilvl="6" w:tplc="5DD654AA" w:tentative="1">
      <w:start w:val="1"/>
      <w:numFmt w:val="decimal"/>
      <w:lvlText w:val="%7."/>
      <w:lvlJc w:val="left"/>
      <w:pPr>
        <w:ind w:left="5760" w:hanging="360"/>
      </w:pPr>
    </w:lvl>
    <w:lvl w:ilvl="7" w:tplc="82AEB14A" w:tentative="1">
      <w:start w:val="1"/>
      <w:numFmt w:val="lowerLetter"/>
      <w:lvlText w:val="%8."/>
      <w:lvlJc w:val="left"/>
      <w:pPr>
        <w:ind w:left="6480" w:hanging="360"/>
      </w:pPr>
    </w:lvl>
    <w:lvl w:ilvl="8" w:tplc="FAC64044" w:tentative="1">
      <w:start w:val="1"/>
      <w:numFmt w:val="lowerRoman"/>
      <w:lvlText w:val="%9."/>
      <w:lvlJc w:val="right"/>
      <w:pPr>
        <w:ind w:left="7200" w:hanging="180"/>
      </w:pPr>
    </w:lvl>
  </w:abstractNum>
  <w:num w:numId="1" w16cid:durableId="1080567416">
    <w:abstractNumId w:val="22"/>
  </w:num>
  <w:num w:numId="2" w16cid:durableId="1964530278">
    <w:abstractNumId w:val="3"/>
  </w:num>
  <w:num w:numId="3" w16cid:durableId="1884442053">
    <w:abstractNumId w:val="0"/>
  </w:num>
  <w:num w:numId="4" w16cid:durableId="1274290402">
    <w:abstractNumId w:val="24"/>
  </w:num>
  <w:num w:numId="5" w16cid:durableId="1243369372">
    <w:abstractNumId w:val="23"/>
  </w:num>
  <w:num w:numId="6" w16cid:durableId="2058813949">
    <w:abstractNumId w:val="15"/>
  </w:num>
  <w:num w:numId="7" w16cid:durableId="1283732210">
    <w:abstractNumId w:val="12"/>
  </w:num>
  <w:num w:numId="8" w16cid:durableId="1910457865">
    <w:abstractNumId w:val="6"/>
  </w:num>
  <w:num w:numId="9" w16cid:durableId="695811660">
    <w:abstractNumId w:val="8"/>
  </w:num>
  <w:num w:numId="10" w16cid:durableId="2139495264">
    <w:abstractNumId w:val="20"/>
  </w:num>
  <w:num w:numId="11" w16cid:durableId="463157664">
    <w:abstractNumId w:val="21"/>
  </w:num>
  <w:num w:numId="12" w16cid:durableId="2141612319">
    <w:abstractNumId w:val="14"/>
  </w:num>
  <w:num w:numId="13" w16cid:durableId="596406890">
    <w:abstractNumId w:val="7"/>
  </w:num>
  <w:num w:numId="14" w16cid:durableId="1783188198">
    <w:abstractNumId w:val="11"/>
  </w:num>
  <w:num w:numId="15" w16cid:durableId="323556456">
    <w:abstractNumId w:val="2"/>
  </w:num>
  <w:num w:numId="16" w16cid:durableId="1416324693">
    <w:abstractNumId w:val="1"/>
  </w:num>
  <w:num w:numId="17" w16cid:durableId="1467042416">
    <w:abstractNumId w:val="25"/>
  </w:num>
  <w:num w:numId="18" w16cid:durableId="1023173298">
    <w:abstractNumId w:val="9"/>
  </w:num>
  <w:num w:numId="19" w16cid:durableId="66269586">
    <w:abstractNumId w:val="10"/>
  </w:num>
  <w:num w:numId="20" w16cid:durableId="1972133834">
    <w:abstractNumId w:val="13"/>
  </w:num>
  <w:num w:numId="21" w16cid:durableId="586576746">
    <w:abstractNumId w:val="19"/>
  </w:num>
  <w:num w:numId="22" w16cid:durableId="1123384482">
    <w:abstractNumId w:val="5"/>
  </w:num>
  <w:num w:numId="23" w16cid:durableId="814297214">
    <w:abstractNumId w:val="17"/>
  </w:num>
  <w:num w:numId="24" w16cid:durableId="1890455972">
    <w:abstractNumId w:val="16"/>
  </w:num>
  <w:num w:numId="25" w16cid:durableId="429156511">
    <w:abstractNumId w:val="4"/>
  </w:num>
  <w:num w:numId="26" w16cid:durableId="1373021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B6D"/>
    <w:rsid w:val="00032FCB"/>
    <w:rsid w:val="00063D3A"/>
    <w:rsid w:val="00070BD2"/>
    <w:rsid w:val="00070E3F"/>
    <w:rsid w:val="00073732"/>
    <w:rsid w:val="000876CB"/>
    <w:rsid w:val="000A00D5"/>
    <w:rsid w:val="000E0A4C"/>
    <w:rsid w:val="000F0BF4"/>
    <w:rsid w:val="00110953"/>
    <w:rsid w:val="00116995"/>
    <w:rsid w:val="001307B4"/>
    <w:rsid w:val="00135D4B"/>
    <w:rsid w:val="00177BF6"/>
    <w:rsid w:val="00186BB3"/>
    <w:rsid w:val="001903AA"/>
    <w:rsid w:val="00194E10"/>
    <w:rsid w:val="00195A73"/>
    <w:rsid w:val="00195FB5"/>
    <w:rsid w:val="001A7B10"/>
    <w:rsid w:val="001E59DC"/>
    <w:rsid w:val="001E66CA"/>
    <w:rsid w:val="00202CD1"/>
    <w:rsid w:val="0020544B"/>
    <w:rsid w:val="0021016D"/>
    <w:rsid w:val="00220299"/>
    <w:rsid w:val="00224324"/>
    <w:rsid w:val="0025391B"/>
    <w:rsid w:val="00267BB6"/>
    <w:rsid w:val="00284CF2"/>
    <w:rsid w:val="002929F0"/>
    <w:rsid w:val="00297558"/>
    <w:rsid w:val="002D665D"/>
    <w:rsid w:val="002E0663"/>
    <w:rsid w:val="002F63CA"/>
    <w:rsid w:val="00310BC7"/>
    <w:rsid w:val="00324902"/>
    <w:rsid w:val="00337F3E"/>
    <w:rsid w:val="0034561D"/>
    <w:rsid w:val="00350BC6"/>
    <w:rsid w:val="00351D48"/>
    <w:rsid w:val="00363040"/>
    <w:rsid w:val="00377AE2"/>
    <w:rsid w:val="00384818"/>
    <w:rsid w:val="003F53FA"/>
    <w:rsid w:val="003F7DB3"/>
    <w:rsid w:val="004115EE"/>
    <w:rsid w:val="0042171D"/>
    <w:rsid w:val="004433C5"/>
    <w:rsid w:val="00470211"/>
    <w:rsid w:val="00480A90"/>
    <w:rsid w:val="00492BDF"/>
    <w:rsid w:val="004A65FA"/>
    <w:rsid w:val="004C33B2"/>
    <w:rsid w:val="004D4D2C"/>
    <w:rsid w:val="004D516C"/>
    <w:rsid w:val="005003D7"/>
    <w:rsid w:val="0051017F"/>
    <w:rsid w:val="0053073B"/>
    <w:rsid w:val="00543508"/>
    <w:rsid w:val="0054370A"/>
    <w:rsid w:val="00557D97"/>
    <w:rsid w:val="00564A42"/>
    <w:rsid w:val="00564CA6"/>
    <w:rsid w:val="005B177C"/>
    <w:rsid w:val="005C7FA1"/>
    <w:rsid w:val="005D0673"/>
    <w:rsid w:val="005D4E4E"/>
    <w:rsid w:val="005E4BAA"/>
    <w:rsid w:val="00601A3B"/>
    <w:rsid w:val="00604574"/>
    <w:rsid w:val="00611E44"/>
    <w:rsid w:val="00612D3A"/>
    <w:rsid w:val="00617AAC"/>
    <w:rsid w:val="00677A84"/>
    <w:rsid w:val="0068381F"/>
    <w:rsid w:val="00685DC2"/>
    <w:rsid w:val="00693F05"/>
    <w:rsid w:val="0069474B"/>
    <w:rsid w:val="00694F0B"/>
    <w:rsid w:val="006B6C4B"/>
    <w:rsid w:val="006D3451"/>
    <w:rsid w:val="006D7846"/>
    <w:rsid w:val="006F40E9"/>
    <w:rsid w:val="0074092B"/>
    <w:rsid w:val="007519A0"/>
    <w:rsid w:val="00760BEF"/>
    <w:rsid w:val="007663AD"/>
    <w:rsid w:val="007A50EE"/>
    <w:rsid w:val="007B4DDB"/>
    <w:rsid w:val="007C1A81"/>
    <w:rsid w:val="007D318A"/>
    <w:rsid w:val="007D443E"/>
    <w:rsid w:val="007D5414"/>
    <w:rsid w:val="007F4DE8"/>
    <w:rsid w:val="008257F8"/>
    <w:rsid w:val="00830B3C"/>
    <w:rsid w:val="008857F0"/>
    <w:rsid w:val="008A0E4B"/>
    <w:rsid w:val="008B1BBC"/>
    <w:rsid w:val="008B1E94"/>
    <w:rsid w:val="008D512A"/>
    <w:rsid w:val="008E3597"/>
    <w:rsid w:val="00907422"/>
    <w:rsid w:val="009139A1"/>
    <w:rsid w:val="00934187"/>
    <w:rsid w:val="00956697"/>
    <w:rsid w:val="00960DB0"/>
    <w:rsid w:val="009737CA"/>
    <w:rsid w:val="0099076A"/>
    <w:rsid w:val="00996740"/>
    <w:rsid w:val="009C1F6A"/>
    <w:rsid w:val="009C3412"/>
    <w:rsid w:val="009C61D9"/>
    <w:rsid w:val="009C7621"/>
    <w:rsid w:val="009E353D"/>
    <w:rsid w:val="009E5435"/>
    <w:rsid w:val="009F1705"/>
    <w:rsid w:val="009F4FC5"/>
    <w:rsid w:val="00A10C18"/>
    <w:rsid w:val="00A3002D"/>
    <w:rsid w:val="00A52B04"/>
    <w:rsid w:val="00A609AE"/>
    <w:rsid w:val="00AA60B4"/>
    <w:rsid w:val="00AF1CFB"/>
    <w:rsid w:val="00B05D46"/>
    <w:rsid w:val="00B112B8"/>
    <w:rsid w:val="00B36CD4"/>
    <w:rsid w:val="00B66CE9"/>
    <w:rsid w:val="00B71BBB"/>
    <w:rsid w:val="00B71C32"/>
    <w:rsid w:val="00BB16A4"/>
    <w:rsid w:val="00C2334F"/>
    <w:rsid w:val="00C626FF"/>
    <w:rsid w:val="00C9477C"/>
    <w:rsid w:val="00CD132E"/>
    <w:rsid w:val="00D21662"/>
    <w:rsid w:val="00D2447C"/>
    <w:rsid w:val="00D36702"/>
    <w:rsid w:val="00D44965"/>
    <w:rsid w:val="00D57DD1"/>
    <w:rsid w:val="00D86969"/>
    <w:rsid w:val="00DA0F79"/>
    <w:rsid w:val="00DB6875"/>
    <w:rsid w:val="00DC022C"/>
    <w:rsid w:val="00DC4FDE"/>
    <w:rsid w:val="00DD67D5"/>
    <w:rsid w:val="00E06EE0"/>
    <w:rsid w:val="00E16DF3"/>
    <w:rsid w:val="00E52DA2"/>
    <w:rsid w:val="00E530BD"/>
    <w:rsid w:val="00E66DBE"/>
    <w:rsid w:val="00E75D8D"/>
    <w:rsid w:val="00E835C1"/>
    <w:rsid w:val="00E949A0"/>
    <w:rsid w:val="00EF2B3C"/>
    <w:rsid w:val="00F03D98"/>
    <w:rsid w:val="00F85893"/>
    <w:rsid w:val="00FA29A3"/>
    <w:rsid w:val="00FB3E34"/>
    <w:rsid w:val="00FD4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1B4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1"/>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9E5435"/>
  </w:style>
  <w:style w:type="character" w:styleId="Hipersaite">
    <w:name w:val="Hyperlink"/>
    <w:basedOn w:val="Noklusjumarindkopasfonts"/>
    <w:uiPriority w:val="99"/>
    <w:unhideWhenUsed/>
    <w:rsid w:val="00E949A0"/>
    <w:rPr>
      <w:color w:val="0563C1" w:themeColor="hyperlink"/>
      <w:u w:val="single"/>
    </w:rPr>
  </w:style>
  <w:style w:type="character" w:styleId="Neatrisintapieminana">
    <w:name w:val="Unresolved Mention"/>
    <w:basedOn w:val="Noklusjumarindkopasfonts"/>
    <w:uiPriority w:val="99"/>
    <w:semiHidden/>
    <w:unhideWhenUsed/>
    <w:rsid w:val="00E949A0"/>
    <w:rPr>
      <w:color w:val="605E5C"/>
      <w:shd w:val="clear" w:color="auto" w:fill="E1DFDD"/>
    </w:rPr>
  </w:style>
  <w:style w:type="character" w:styleId="Komentraatsauce">
    <w:name w:val="annotation reference"/>
    <w:basedOn w:val="Noklusjumarindkopasfonts"/>
    <w:uiPriority w:val="99"/>
    <w:semiHidden/>
    <w:unhideWhenUsed/>
    <w:rsid w:val="00677A84"/>
    <w:rPr>
      <w:sz w:val="16"/>
      <w:szCs w:val="16"/>
    </w:rPr>
  </w:style>
  <w:style w:type="paragraph" w:styleId="Komentrateksts">
    <w:name w:val="annotation text"/>
    <w:basedOn w:val="Parasts"/>
    <w:link w:val="KomentratekstsRakstz"/>
    <w:uiPriority w:val="99"/>
    <w:unhideWhenUsed/>
    <w:rsid w:val="00677A84"/>
    <w:rPr>
      <w:sz w:val="20"/>
      <w:szCs w:val="20"/>
    </w:rPr>
  </w:style>
  <w:style w:type="character" w:customStyle="1" w:styleId="KomentratekstsRakstz">
    <w:name w:val="Komentāra teksts Rakstz."/>
    <w:basedOn w:val="Noklusjumarindkopasfonts"/>
    <w:link w:val="Komentrateksts"/>
    <w:uiPriority w:val="99"/>
    <w:rsid w:val="00677A84"/>
    <w:rPr>
      <w:sz w:val="20"/>
      <w:szCs w:val="20"/>
    </w:rPr>
  </w:style>
  <w:style w:type="paragraph" w:styleId="Komentratma">
    <w:name w:val="annotation subject"/>
    <w:basedOn w:val="Komentrateksts"/>
    <w:next w:val="Komentrateksts"/>
    <w:link w:val="KomentratmaRakstz"/>
    <w:uiPriority w:val="99"/>
    <w:semiHidden/>
    <w:unhideWhenUsed/>
    <w:rsid w:val="00677A84"/>
    <w:rPr>
      <w:b/>
      <w:bCs/>
    </w:rPr>
  </w:style>
  <w:style w:type="character" w:customStyle="1" w:styleId="KomentratmaRakstz">
    <w:name w:val="Komentāra tēma Rakstz."/>
    <w:basedOn w:val="KomentratekstsRakstz"/>
    <w:link w:val="Komentratma"/>
    <w:uiPriority w:val="99"/>
    <w:semiHidden/>
    <w:rsid w:val="00677A84"/>
    <w:rPr>
      <w:b/>
      <w:bCs/>
      <w:sz w:val="20"/>
      <w:szCs w:val="20"/>
    </w:rPr>
  </w:style>
  <w:style w:type="paragraph" w:customStyle="1" w:styleId="tv213">
    <w:name w:val="tv213"/>
    <w:basedOn w:val="Parasts"/>
    <w:rsid w:val="00E530BD"/>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7319</Words>
  <Characters>4172</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cp:lastPrinted>2025-07-01T12:31:00Z</cp:lastPrinted>
  <dcterms:created xsi:type="dcterms:W3CDTF">2026-01-29T17:12:00Z</dcterms:created>
  <dcterms:modified xsi:type="dcterms:W3CDTF">2026-01-30T09:59:00Z</dcterms:modified>
</cp:coreProperties>
</file>