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68B17C58" w:rsidR="004D516C" w:rsidRDefault="00686D72" w:rsidP="00564CA6">
      <w:r>
        <w:t>,</w:t>
      </w:r>
      <w:r w:rsidR="002B2EB8">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E6D86EC" w14:textId="6E95E993" w:rsidR="00FB323F" w:rsidRPr="00564CA6" w:rsidRDefault="00FB323F" w:rsidP="00FB323F">
      <w:pPr>
        <w:jc w:val="right"/>
        <w:rPr>
          <w:rFonts w:ascii="Times New Roman" w:hAnsi="Times New Roman" w:cs="Times New Roman"/>
          <w:noProof/>
        </w:rPr>
      </w:pPr>
      <w:r w:rsidRPr="00564CA6">
        <w:rPr>
          <w:rFonts w:ascii="Times New Roman" w:hAnsi="Times New Roman" w:cs="Times New Roman"/>
          <w:noProof/>
        </w:rPr>
        <w:t>PRO</w:t>
      </w:r>
      <w:r w:rsidRPr="004A3135">
        <w:rPr>
          <w:rFonts w:ascii="Times New Roman" w:hAnsi="Times New Roman" w:cs="Times New Roman"/>
          <w:noProof/>
        </w:rPr>
        <w:t xml:space="preserve">JEKTS uz </w:t>
      </w:r>
      <w:r>
        <w:rPr>
          <w:rFonts w:ascii="Times New Roman" w:hAnsi="Times New Roman" w:cs="Times New Roman"/>
          <w:noProof/>
        </w:rPr>
        <w:t>08.12</w:t>
      </w:r>
      <w:r w:rsidRPr="004A3135">
        <w:rPr>
          <w:rFonts w:ascii="Times New Roman" w:hAnsi="Times New Roman" w:cs="Times New Roman"/>
          <w:noProof/>
        </w:rPr>
        <w:t>.202</w:t>
      </w:r>
      <w:r>
        <w:rPr>
          <w:rFonts w:ascii="Times New Roman" w:hAnsi="Times New Roman" w:cs="Times New Roman"/>
          <w:noProof/>
        </w:rPr>
        <w:t>5</w:t>
      </w:r>
      <w:r w:rsidRPr="004A3135">
        <w:rPr>
          <w:rFonts w:ascii="Times New Roman" w:hAnsi="Times New Roman" w:cs="Times New Roman"/>
          <w:noProof/>
        </w:rPr>
        <w:t>.</w:t>
      </w:r>
    </w:p>
    <w:p w14:paraId="5ADDDB88" w14:textId="77777777" w:rsidR="00FB323F" w:rsidRPr="00564CA6" w:rsidRDefault="00FB323F" w:rsidP="00FB323F">
      <w:pPr>
        <w:jc w:val="right"/>
        <w:rPr>
          <w:rFonts w:ascii="Times New Roman" w:hAnsi="Times New Roman" w:cs="Times New Roman"/>
          <w:noProof/>
          <w:color w:val="FF0000"/>
        </w:rPr>
      </w:pPr>
    </w:p>
    <w:p w14:paraId="0C3BDB68" w14:textId="77777777" w:rsidR="00FB323F" w:rsidRPr="00564CA6" w:rsidRDefault="00FB323F" w:rsidP="00FB323F">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Pr>
          <w:rFonts w:ascii="Times New Roman" w:hAnsi="Times New Roman" w:cs="Times New Roman"/>
          <w:noProof/>
        </w:rPr>
        <w:t>F</w:t>
      </w:r>
      <w:r w:rsidRPr="004A3135">
        <w:rPr>
          <w:rFonts w:ascii="Times New Roman" w:hAnsi="Times New Roman" w:cs="Times New Roman"/>
          <w:noProof/>
        </w:rPr>
        <w:t xml:space="preserve">K – </w:t>
      </w:r>
      <w:r>
        <w:rPr>
          <w:rFonts w:ascii="Times New Roman" w:hAnsi="Times New Roman" w:cs="Times New Roman"/>
          <w:noProof/>
        </w:rPr>
        <w:t>10.12</w:t>
      </w:r>
      <w:r w:rsidRPr="004A3135">
        <w:rPr>
          <w:rFonts w:ascii="Times New Roman" w:hAnsi="Times New Roman" w:cs="Times New Roman"/>
          <w:noProof/>
        </w:rPr>
        <w:t>.202</w:t>
      </w:r>
      <w:r>
        <w:rPr>
          <w:rFonts w:ascii="Times New Roman" w:hAnsi="Times New Roman" w:cs="Times New Roman"/>
          <w:noProof/>
        </w:rPr>
        <w:t>5</w:t>
      </w:r>
      <w:r w:rsidRPr="004A3135">
        <w:rPr>
          <w:rFonts w:ascii="Times New Roman" w:hAnsi="Times New Roman" w:cs="Times New Roman"/>
          <w:noProof/>
        </w:rPr>
        <w:t>.</w:t>
      </w:r>
    </w:p>
    <w:p w14:paraId="6F5CE6F1" w14:textId="06CA75DB" w:rsidR="00FB323F" w:rsidRPr="004A3135" w:rsidRDefault="00FB323F" w:rsidP="00FB323F">
      <w:pPr>
        <w:jc w:val="right"/>
        <w:rPr>
          <w:rFonts w:ascii="Times New Roman" w:hAnsi="Times New Roman" w:cs="Times New Roman"/>
          <w:noProof/>
        </w:rPr>
      </w:pPr>
      <w:r w:rsidRPr="004A3135">
        <w:rPr>
          <w:rFonts w:ascii="Times New Roman" w:hAnsi="Times New Roman" w:cs="Times New Roman"/>
          <w:noProof/>
        </w:rPr>
        <w:t xml:space="preserve">domē: </w:t>
      </w:r>
      <w:r w:rsidR="00D51C8B">
        <w:rPr>
          <w:rFonts w:ascii="Times New Roman" w:hAnsi="Times New Roman" w:cs="Times New Roman"/>
          <w:noProof/>
        </w:rPr>
        <w:t>22</w:t>
      </w:r>
      <w:r>
        <w:rPr>
          <w:rFonts w:ascii="Times New Roman" w:hAnsi="Times New Roman" w:cs="Times New Roman"/>
          <w:noProof/>
        </w:rPr>
        <w:t>.12</w:t>
      </w:r>
      <w:r w:rsidRPr="004A3135">
        <w:rPr>
          <w:rFonts w:ascii="Times New Roman" w:hAnsi="Times New Roman" w:cs="Times New Roman"/>
          <w:noProof/>
        </w:rPr>
        <w:t>.202</w:t>
      </w:r>
      <w:r>
        <w:rPr>
          <w:rFonts w:ascii="Times New Roman" w:hAnsi="Times New Roman" w:cs="Times New Roman"/>
          <w:noProof/>
        </w:rPr>
        <w:t>5</w:t>
      </w:r>
      <w:r w:rsidRPr="004A3135">
        <w:rPr>
          <w:rFonts w:ascii="Times New Roman" w:hAnsi="Times New Roman" w:cs="Times New Roman"/>
          <w:noProof/>
        </w:rPr>
        <w:t>.</w:t>
      </w:r>
    </w:p>
    <w:p w14:paraId="5A14944D" w14:textId="77777777" w:rsidR="00FB323F" w:rsidRPr="004A3135" w:rsidRDefault="00FB323F" w:rsidP="00FB323F">
      <w:pPr>
        <w:jc w:val="right"/>
        <w:rPr>
          <w:rFonts w:ascii="Times New Roman" w:hAnsi="Times New Roman" w:cs="Times New Roman"/>
          <w:noProof/>
        </w:rPr>
      </w:pPr>
      <w:r w:rsidRPr="004A3135">
        <w:rPr>
          <w:rFonts w:ascii="Times New Roman" w:hAnsi="Times New Roman" w:cs="Times New Roman"/>
          <w:noProof/>
        </w:rPr>
        <w:t>sagatavotājs:</w:t>
      </w:r>
      <w:r>
        <w:rPr>
          <w:rFonts w:ascii="Times New Roman" w:hAnsi="Times New Roman" w:cs="Times New Roman"/>
          <w:noProof/>
        </w:rPr>
        <w:t xml:space="preserve"> Inga Pērkone,</w:t>
      </w:r>
      <w:r w:rsidRPr="004A3135">
        <w:rPr>
          <w:rFonts w:ascii="Times New Roman" w:hAnsi="Times New Roman" w:cs="Times New Roman"/>
          <w:noProof/>
        </w:rPr>
        <w:t xml:space="preserve"> </w:t>
      </w:r>
      <w:r>
        <w:rPr>
          <w:rFonts w:ascii="Times New Roman" w:hAnsi="Times New Roman" w:cs="Times New Roman"/>
          <w:noProof/>
        </w:rPr>
        <w:t>Juris Krūze</w:t>
      </w:r>
    </w:p>
    <w:p w14:paraId="2E27ACB6" w14:textId="628A256A" w:rsidR="00564CA6" w:rsidRPr="00564CA6" w:rsidRDefault="00FB323F" w:rsidP="00FB323F">
      <w:pPr>
        <w:jc w:val="right"/>
        <w:rPr>
          <w:rFonts w:ascii="Times New Roman" w:hAnsi="Times New Roman" w:cs="Times New Roman"/>
          <w:noProof/>
          <w:color w:val="FF0000"/>
        </w:rPr>
      </w:pPr>
      <w:r w:rsidRPr="004A3135">
        <w:rPr>
          <w:rFonts w:ascii="Times New Roman" w:hAnsi="Times New Roman" w:cs="Times New Roman"/>
          <w:noProof/>
        </w:rPr>
        <w:t xml:space="preserve">ziņotājs: </w:t>
      </w:r>
      <w:r>
        <w:rPr>
          <w:rFonts w:ascii="Times New Roman" w:hAnsi="Times New Roman" w:cs="Times New Roman"/>
          <w:noProof/>
        </w:rPr>
        <w:t>Juris Krūze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2B2EB8"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2B2EB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2B2EB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5DA4494" w:rsidR="00564CA6" w:rsidRPr="00564CA6" w:rsidRDefault="00FB323F" w:rsidP="00564CA6">
      <w:pPr>
        <w:rPr>
          <w:rFonts w:ascii="Times New Roman" w:hAnsi="Times New Roman" w:cs="Times New Roman"/>
        </w:rPr>
      </w:pPr>
      <w:r w:rsidRPr="004A3135">
        <w:rPr>
          <w:rFonts w:ascii="Times New Roman" w:hAnsi="Times New Roman" w:cs="Times New Roman"/>
        </w:rPr>
        <w:t>202</w:t>
      </w:r>
      <w:r>
        <w:rPr>
          <w:rFonts w:ascii="Times New Roman" w:hAnsi="Times New Roman" w:cs="Times New Roman"/>
        </w:rPr>
        <w:t>5</w:t>
      </w:r>
      <w:r w:rsidRPr="004A3135">
        <w:rPr>
          <w:rFonts w:ascii="Times New Roman" w:hAnsi="Times New Roman" w:cs="Times New Roman"/>
        </w:rPr>
        <w:t xml:space="preserve">. gada </w:t>
      </w:r>
      <w:r w:rsidR="00D51C8B">
        <w:rPr>
          <w:rFonts w:ascii="Times New Roman" w:hAnsi="Times New Roman" w:cs="Times New Roman"/>
        </w:rPr>
        <w:t>22</w:t>
      </w:r>
      <w:r>
        <w:rPr>
          <w:rFonts w:ascii="Times New Roman" w:hAnsi="Times New Roman" w:cs="Times New Roman"/>
        </w:rPr>
        <w:t>. decembrī</w:t>
      </w:r>
      <w:r w:rsidR="002B2EB8" w:rsidRPr="00564CA6">
        <w:rPr>
          <w:rFonts w:ascii="Times New Roman" w:hAnsi="Times New Roman" w:cs="Times New Roman"/>
        </w:rPr>
        <w:t xml:space="preserve"> </w:t>
      </w:r>
      <w:r w:rsidR="002B2EB8" w:rsidRPr="00564CA6">
        <w:rPr>
          <w:rFonts w:ascii="Times New Roman" w:hAnsi="Times New Roman" w:cs="Times New Roman"/>
        </w:rPr>
        <w:tab/>
      </w:r>
      <w:r w:rsidR="002B2EB8" w:rsidRPr="00564CA6">
        <w:rPr>
          <w:rFonts w:ascii="Times New Roman" w:hAnsi="Times New Roman" w:cs="Times New Roman"/>
        </w:rPr>
        <w:tab/>
      </w:r>
      <w:r w:rsidR="002B2EB8" w:rsidRPr="00564CA6">
        <w:rPr>
          <w:rFonts w:ascii="Times New Roman" w:hAnsi="Times New Roman" w:cs="Times New Roman"/>
        </w:rPr>
        <w:tab/>
      </w:r>
      <w:r w:rsidR="002B2EB8" w:rsidRPr="00564CA6">
        <w:rPr>
          <w:rFonts w:ascii="Times New Roman" w:hAnsi="Times New Roman" w:cs="Times New Roman"/>
        </w:rPr>
        <w:tab/>
      </w:r>
      <w:r w:rsidR="002B2EB8" w:rsidRPr="00564CA6">
        <w:rPr>
          <w:rFonts w:ascii="Times New Roman" w:hAnsi="Times New Roman" w:cs="Times New Roman"/>
        </w:rPr>
        <w:tab/>
      </w:r>
      <w:r w:rsidR="002B2EB8" w:rsidRPr="00564CA6">
        <w:rPr>
          <w:rFonts w:ascii="Times New Roman" w:hAnsi="Times New Roman" w:cs="Times New Roman"/>
          <w:b/>
        </w:rPr>
        <w:t>Nr.</w:t>
      </w:r>
      <w:r w:rsidR="002B2EB8" w:rsidRPr="00564CA6">
        <w:rPr>
          <w:rFonts w:ascii="Times New Roman" w:hAnsi="Times New Roman" w:cs="Times New Roman"/>
          <w:noProof/>
        </w:rPr>
        <w:fldChar w:fldCharType="begin"/>
      </w:r>
      <w:r w:rsidR="002B2EB8" w:rsidRPr="00564CA6">
        <w:rPr>
          <w:rFonts w:ascii="Times New Roman" w:hAnsi="Times New Roman" w:cs="Times New Roman"/>
          <w:noProof/>
        </w:rPr>
        <w:instrText>MERGEFIELD DOKREGNUMURS</w:instrText>
      </w:r>
      <w:r w:rsidR="002B2EB8" w:rsidRPr="00564CA6">
        <w:rPr>
          <w:rFonts w:ascii="Times New Roman" w:hAnsi="Times New Roman" w:cs="Times New Roman"/>
          <w:noProof/>
        </w:rPr>
        <w:fldChar w:fldCharType="separate"/>
      </w:r>
      <w:r w:rsidR="002B2EB8" w:rsidRPr="00564CA6">
        <w:rPr>
          <w:rFonts w:ascii="Times New Roman" w:hAnsi="Times New Roman" w:cs="Times New Roman"/>
          <w:noProof/>
        </w:rPr>
        <w:t>«DOKREGNUMURS»</w:t>
      </w:r>
      <w:r w:rsidR="002B2EB8" w:rsidRPr="00564CA6">
        <w:rPr>
          <w:rFonts w:ascii="Times New Roman" w:hAnsi="Times New Roman" w:cs="Times New Roman"/>
          <w:noProof/>
        </w:rPr>
        <w:fldChar w:fldCharType="end"/>
      </w:r>
      <w:r w:rsidR="002B2EB8"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75512B19" w14:textId="77777777" w:rsidR="00FB323F" w:rsidRPr="00564CA6" w:rsidRDefault="00FB323F" w:rsidP="00FB323F">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dalību pasākuma “</w:t>
      </w:r>
      <w:r w:rsidRPr="007B4522">
        <w:rPr>
          <w:rFonts w:ascii="Times New Roman" w:hAnsi="Times New Roman" w:cs="Times New Roman"/>
          <w:b/>
        </w:rPr>
        <w:t>2.1.1.3. AER izmantošana un energoefektivitātes paaugstināšana centralizētajā siltumapgādē un aukstumapgādē</w:t>
      </w:r>
      <w:r>
        <w:rPr>
          <w:rFonts w:ascii="Times New Roman" w:hAnsi="Times New Roman" w:cs="Times New Roman"/>
          <w:b/>
        </w:rPr>
        <w:t>” otrajā kārtā</w:t>
      </w:r>
    </w:p>
    <w:p w14:paraId="45EF41AA" w14:textId="77777777" w:rsidR="00FB323F" w:rsidRDefault="00FB323F" w:rsidP="00FB323F">
      <w:pPr>
        <w:spacing w:before="120"/>
        <w:jc w:val="both"/>
        <w:rPr>
          <w:rFonts w:ascii="Times New Roman" w:hAnsi="Times New Roman" w:cs="Times New Roman"/>
          <w:bCs/>
        </w:rPr>
      </w:pPr>
    </w:p>
    <w:p w14:paraId="06B6F09A" w14:textId="5342A138" w:rsidR="00FB323F" w:rsidRDefault="00FB323F" w:rsidP="00FB323F">
      <w:pPr>
        <w:spacing w:before="120"/>
        <w:jc w:val="both"/>
        <w:rPr>
          <w:rFonts w:ascii="Times New Roman" w:hAnsi="Times New Roman" w:cs="Times New Roman"/>
          <w:bCs/>
        </w:rPr>
      </w:pPr>
      <w:r w:rsidRPr="007C2AA8">
        <w:rPr>
          <w:rFonts w:ascii="Times New Roman" w:hAnsi="Times New Roman" w:cs="Times New Roman"/>
          <w:bCs/>
        </w:rPr>
        <w:t>Klimata un enerģētikas ministrija un AS “Attīstības finanšu institūcija Altum” (turpmāk – sabiedrība “Altum”) aicina komersantus, centralizētās siltumapgādes vai aukstumapgādes pakalpojuma sniedzējus, kuri sniedz siltumenerģijas vai aukstumenerģijas pārvades un sadales pakalpojumus vai ir centralizētās siltumenerģijas ražotāji, iesniegt atbalsta pieteikumus Eiropas Savienības kohēzijas politikas programmas 2021.–2027. gadam 2.1.1. specifiskā atbalsta mērķa “Energoefektivitātes veicināšana un siltumnīcefekta gāzu emisiju samazināšana” 2.1.1.3.</w:t>
      </w:r>
      <w:r w:rsidR="00A23EB7">
        <w:rPr>
          <w:rFonts w:ascii="Times New Roman" w:hAnsi="Times New Roman" w:cs="Times New Roman"/>
          <w:bCs/>
        </w:rPr>
        <w:t> </w:t>
      </w:r>
      <w:r w:rsidRPr="007C2AA8">
        <w:rPr>
          <w:rFonts w:ascii="Times New Roman" w:hAnsi="Times New Roman" w:cs="Times New Roman"/>
          <w:bCs/>
        </w:rPr>
        <w:t>pasākuma “AER izmantošana un energoefektivitātes paaugstināšana centralizētajā siltumapgādē un aukstumapgādē” (turpmāk – 2.1.1.3. pasākums) ietvaros. 2.1.1.3. pasākuma mērķis ir veikt ieguldījumus energoefektivitātes paaugstināšanā un atjaunīgo energoresursu tehnoloģiju izmantošanā un veicināt atjaunīgo energoresursu izmantošanu centralizētajā siltumapgādē un aukstumapgādē, tādējādi samazinot siltumnīcefekta gāzu emisijas un virzoties uz Eiropas Savienības klimatneitralitātes mērķa līdz 2050. gadam sasniegšanu</w:t>
      </w:r>
      <w:r w:rsidRPr="00F36DD6">
        <w:rPr>
          <w:rFonts w:ascii="Times New Roman" w:hAnsi="Times New Roman" w:cs="Times New Roman"/>
          <w:bCs/>
        </w:rPr>
        <w:t>.</w:t>
      </w:r>
    </w:p>
    <w:p w14:paraId="3338EF41" w14:textId="77777777" w:rsidR="00FB323F" w:rsidRDefault="00FB323F" w:rsidP="00FB323F">
      <w:pPr>
        <w:spacing w:before="120"/>
        <w:jc w:val="both"/>
        <w:rPr>
          <w:rFonts w:ascii="Times New Roman" w:hAnsi="Times New Roman" w:cs="Times New Roman"/>
          <w:bCs/>
        </w:rPr>
      </w:pPr>
      <w:r w:rsidRPr="007C2AA8">
        <w:rPr>
          <w:rFonts w:ascii="Times New Roman" w:hAnsi="Times New Roman" w:cs="Times New Roman"/>
          <w:bCs/>
        </w:rPr>
        <w:t xml:space="preserve">Atbalsta programmu īsteno sabiedrība “Altum”. Saskaņā ar Ministru kabineta </w:t>
      </w:r>
      <w:r>
        <w:rPr>
          <w:rFonts w:ascii="Times New Roman" w:hAnsi="Times New Roman" w:cs="Times New Roman"/>
          <w:bCs/>
        </w:rPr>
        <w:t>07.01.</w:t>
      </w:r>
      <w:r w:rsidRPr="007C2AA8">
        <w:rPr>
          <w:rFonts w:ascii="Times New Roman" w:hAnsi="Times New Roman" w:cs="Times New Roman"/>
          <w:bCs/>
        </w:rPr>
        <w:t>2025. noteikumiem Nr. 20 “Eiropas Savienības kohēzijas politikas programmas 2021.–2027. gadam 2.1.1. specifiskā atbalsta mērķa “Energoefektivitātes veicināšana un siltumnīcefekta gāzu emisiju samazināšana” 2.1.1.3. pasākuma “AER izmantošana un energoefektivitātes paaugstināšana centralizētajā siltumapgādē un aukstumapgādē” otrās kārtas īstenošanas noteikumi” (turpmāk – MK noteikumi Nr. 20) atbalsts ir pieejams darbībām, kas saistītas ar centralizētās siltumapgādes tīklu izbūvi un paplašināšanu, esošo siltumtīklu pārvades un sadales sistēmu rekonstrukciju un modernizāciju, jaunu siltumenerģijas pieslēgumu izbūvi līdz ēku ievadiem, siltummezglu būvniecību un pārbūvi, siltuma uzskaites sistēmu uzlabošanu vai ieviešanu, kā arī siltumapgādes tīklu hidraulisko balansēšanu, lai panāktu pārvades un sadales sistēmas efektīvu darbību, un citām ar centralizētās siltumapgādes sistēmas energoefektivitātes paaugstināšanu un atjaunīgo energoresursu īpatsvara palielināšanu saistītām aktivitātēm, kas atbilst MK noteikumos Nr. 20 noteiktajam.</w:t>
      </w:r>
    </w:p>
    <w:p w14:paraId="2A3F6A01" w14:textId="77777777" w:rsidR="00FB323F" w:rsidRDefault="00FB323F" w:rsidP="00FB323F">
      <w:pPr>
        <w:spacing w:before="120"/>
        <w:jc w:val="both"/>
        <w:rPr>
          <w:rFonts w:ascii="Times New Roman" w:hAnsi="Times New Roman" w:cs="Times New Roman"/>
          <w:bCs/>
        </w:rPr>
      </w:pPr>
      <w:r w:rsidRPr="007C2AA8">
        <w:rPr>
          <w:rFonts w:ascii="Times New Roman" w:hAnsi="Times New Roman" w:cs="Times New Roman"/>
          <w:bCs/>
        </w:rPr>
        <w:lastRenderedPageBreak/>
        <w:t xml:space="preserve">2.1.1.3. pasākuma ietvaros atbalstu nodrošina sabiedrība “Altum” finanšu instrumenta veidā – aizdevuma veidā ar kapitāla atlaidi aizdevuma pamatsummas daļējam samazinājumam, ja ir izpildīti MK noteikumos Nr. 20 noteiktie nosacījumi. Atbalsta pieteikumus sabiedrība “Altum” pieņem, kamēr ir pieejams finansējums, bet ne vēlāk kā līdz </w:t>
      </w:r>
      <w:r>
        <w:rPr>
          <w:rFonts w:ascii="Times New Roman" w:hAnsi="Times New Roman" w:cs="Times New Roman"/>
          <w:bCs/>
        </w:rPr>
        <w:t>30.06.</w:t>
      </w:r>
      <w:r w:rsidRPr="007C2AA8">
        <w:rPr>
          <w:rFonts w:ascii="Times New Roman" w:hAnsi="Times New Roman" w:cs="Times New Roman"/>
          <w:bCs/>
        </w:rPr>
        <w:t>2027.</w:t>
      </w:r>
    </w:p>
    <w:p w14:paraId="5DD27696" w14:textId="77777777" w:rsidR="00FB323F" w:rsidRDefault="00FB323F" w:rsidP="00FB323F">
      <w:pPr>
        <w:spacing w:before="120"/>
        <w:jc w:val="both"/>
        <w:rPr>
          <w:rFonts w:ascii="Times New Roman" w:hAnsi="Times New Roman" w:cs="Times New Roman"/>
          <w:bCs/>
        </w:rPr>
      </w:pPr>
      <w:r w:rsidRPr="007C2AA8">
        <w:rPr>
          <w:rFonts w:ascii="Times New Roman" w:hAnsi="Times New Roman" w:cs="Times New Roman"/>
          <w:bCs/>
        </w:rPr>
        <w:t>Lai pretendētu uz atbalstu, komersants – centralizētās siltumapgādes vai aukstumapgādes pakalpojuma sniedzējs – sabiedrības “Altum” elektroniskajā pieteikumu sistēmā iesniedz noteikumos noteiktās formas atbalsta pieteikumu, kas vienlaikus ir arī aizdevuma pieteikums (ja plānots saņemt sabiedrības “Altum” aizdevumu), kura sastāvā iekļauj: atbalsta projekta tehniski ekonomisko pamatojumu; dokumentus, kas pamato atbalsta projekta ietvaros sasniedzamos energoefektivitātes un emisiju samazinājuma rādītājus; atbalsta projekta īstenošanai nepieciešamo tehnisko dokumentāciju (būvprojektu, tehniskos noteikumus u.c.); kā arī sabiedrības “Altum” noteiktos apliecinājumus un citus dokumentus.</w:t>
      </w:r>
    </w:p>
    <w:p w14:paraId="6E1C4A9B" w14:textId="77777777" w:rsidR="00FB323F" w:rsidRDefault="00FB323F" w:rsidP="00FB323F">
      <w:pPr>
        <w:spacing w:before="120"/>
        <w:jc w:val="both"/>
        <w:rPr>
          <w:rFonts w:ascii="Times New Roman" w:hAnsi="Times New Roman" w:cs="Times New Roman"/>
          <w:bCs/>
        </w:rPr>
      </w:pPr>
      <w:r w:rsidRPr="007C2AA8">
        <w:rPr>
          <w:rFonts w:ascii="Times New Roman" w:hAnsi="Times New Roman" w:cs="Times New Roman"/>
          <w:bCs/>
        </w:rPr>
        <w:t>Lai nodrošinātu finansējumu aizdevuma piešķiršanai, sabiedrība “Altum” var piesaistīt valsts aizdevumu līdz 20 000 000 euro saskaņā ar normatīvajiem aktiem par kārtību, kādā ministrijas un citas centrālās valsts iestādes iekļauj gadskārtējā valsts budžeta likumprojektā valsts aizdevumu pieprasījumus un par valsts aizdevuma izsniegšanas un apkalpošanas kārtību, kā arī, nepieciešamības gadījumā, aizņemties finansējumu no starptautiskajām finanšu institūcijām. Kapitāla atlaidi sedz no 2.1.1.3. pasākumam piešķirtā publiskā finansējuma. Valsts aizdevumu sabiedrībai “Altum” piešķir kredītlīnijas veidā uz 20 gadiem, tam nepiemēro riska procenta likmi, un valsts aizdevumu nodrošina ar komercķīlu, ieķīlājot sabiedrības “Altum” prasījuma tiesības un to nākamās sastāvdaļas kā lietu kopību, kas izriet no sabiedrības “Altum” izsniegtajiem aizdevumiem atbalsta saņēmējiem.</w:t>
      </w:r>
    </w:p>
    <w:p w14:paraId="4E670EA6" w14:textId="77777777" w:rsidR="00FB323F" w:rsidRDefault="00FB323F" w:rsidP="00FB323F">
      <w:pPr>
        <w:spacing w:before="120"/>
        <w:jc w:val="both"/>
        <w:rPr>
          <w:rFonts w:ascii="Times New Roman" w:hAnsi="Times New Roman" w:cs="Times New Roman"/>
          <w:bCs/>
        </w:rPr>
      </w:pPr>
      <w:r w:rsidRPr="007C2AA8">
        <w:rPr>
          <w:rFonts w:ascii="Times New Roman" w:hAnsi="Times New Roman" w:cs="Times New Roman"/>
          <w:bCs/>
        </w:rPr>
        <w:t>Lēmumu par kapitāla atlaides piešķiršanu, nosakot maksimāli pieļaujamo kapitāla atlaides apmēru un intensitāti, sabiedrība “Altum” pieņem vienlaikus ar lēmumu par aizdevuma vai garantijas piešķiršanu. Cita finansētāja vai sabiedrības “Altum” attiecināmo izmaksu aizdevuma kapitāla atlaides apmērs vienam atbalsta saņēmējam nepārsniedz 9 000 000 euro, saistīto personu grupai – 12 000 000 euro. Lielajam komersantam kapitāla atlaides intensitāte ir līdz 45 %, vidējam, mazajam un mikrouzņēmumam – līdz 50 % no attiecināmajām izmaksām, ievērojot MK noteikumos Nr. 20 noteiktos nosacījumus par komercdarbības atbalstu un kumulāciju ar citiem atbalsta instrumentiem.</w:t>
      </w:r>
    </w:p>
    <w:p w14:paraId="62A9D756" w14:textId="77777777" w:rsidR="00FB323F" w:rsidRDefault="00FB323F" w:rsidP="00FB323F">
      <w:pPr>
        <w:spacing w:before="120"/>
        <w:jc w:val="both"/>
        <w:rPr>
          <w:rFonts w:ascii="Times New Roman" w:hAnsi="Times New Roman" w:cs="Times New Roman"/>
          <w:bCs/>
        </w:rPr>
      </w:pPr>
      <w:r w:rsidRPr="007C2AA8">
        <w:rPr>
          <w:rFonts w:ascii="Times New Roman" w:hAnsi="Times New Roman" w:cs="Times New Roman"/>
          <w:bCs/>
        </w:rPr>
        <w:t>Sabiedrība “Altum” kapitāla atlaidi piemēro pēc atbalsta projekta īstenošanas, ja atbalsta saņēmējs ir izmantojis aizdevumu vai cita finansētāja aizdevumu noteiktajam mērķim, nodrošinājis atbilstību MK noteikumu Nr. 20 nosacījumiem, noteiktajos termiņos iesniedzis dokumentus, kas apliecina atbalsta projekta rādītāju (enerģijas ietaupījums, AER īpatsvars, CO₂ emisiju samazinājums u.c.) sasniegšanu, kā arī izpildījis citus līguma nosacījumus. Ja atbalsta projekta īstenošanai piesaistīts sabiedrības “Altum” aizdevums, kapitāla atlaide tiek piemērota, samazinot atmaksājamo aizdevuma pamatsummu kapitāla atlaides apmērā.</w:t>
      </w:r>
    </w:p>
    <w:p w14:paraId="28B6E0B3" w14:textId="77777777" w:rsidR="00FB323F" w:rsidRDefault="00FB323F" w:rsidP="00FB323F">
      <w:pPr>
        <w:spacing w:before="120"/>
        <w:jc w:val="both"/>
        <w:rPr>
          <w:rFonts w:ascii="Times New Roman" w:hAnsi="Times New Roman" w:cs="Times New Roman"/>
          <w:bCs/>
        </w:rPr>
      </w:pPr>
      <w:r w:rsidRPr="007C2AA8">
        <w:rPr>
          <w:rFonts w:ascii="Times New Roman" w:hAnsi="Times New Roman" w:cs="Times New Roman"/>
          <w:bCs/>
        </w:rPr>
        <w:t>Atbalstu piešķir, ja būves, kurās tiek veiktas atbalstāmās darbības, ir komersanta īpašumā vai komersantam ir ilgtermiņa nomas tiesības vai apbūves tiesības uz nekustamo īpašumu (kas nav īsāks par aizdevuma atmaksas vai garantijas termiņu), kurā tiek veiktas atbalsta projektā paredzētās darbības, un šīs tiesības ir nostiprinātas zemesgrāmatā līdz brīdim, kad sabiedrībā “Altum” iesniegts pirmais pieprasījums naudas līdzekļu izmaksai.</w:t>
      </w:r>
    </w:p>
    <w:p w14:paraId="0AD7006F" w14:textId="777D87F1" w:rsidR="00FB323F" w:rsidRDefault="00FB323F" w:rsidP="00FB323F">
      <w:pPr>
        <w:spacing w:before="120"/>
        <w:jc w:val="both"/>
        <w:rPr>
          <w:rFonts w:ascii="Times New Roman" w:hAnsi="Times New Roman" w:cs="Times New Roman"/>
          <w:bCs/>
        </w:rPr>
      </w:pPr>
      <w:r w:rsidRPr="007C2AA8">
        <w:rPr>
          <w:rFonts w:ascii="Times New Roman" w:hAnsi="Times New Roman" w:cs="Times New Roman"/>
          <w:bCs/>
        </w:rPr>
        <w:t xml:space="preserve">Lai sekmētu plašāku atjaunīgo energoresursu (turpmāk – AER) īpatsvara palielināšanu gan pašvaldības ēkās un kopējā infrastruktūrā, gan centralizētajā siltumapgādes sistēmā (turpmāk – CSS), tika izstrādāts tehniski ekonomiskais pamatojums (turpmāk – TEP) AER izmantošanai Ādažu novadā 2022.–2023. gadam. TEP ietvaros tika izvērtēti dažādi scenāriji tam, kā pašvaldība varētu virzīties uz plašāku AER izmantošanu katrā no sektoriem, ņemot vērā ekspluatācijas izmaksas, investīciju apjomu, siltumenerģijas gala tarifu un siltumnīcefekta gāzu emisiju samazinājumu. Izvērtējot katru scenāriju, dome ar 26.04.2023. sēdes protokollēmumu atbalstīja vairākas rīcības siltumapgādes sistēmas turpmākai attīstībai Ādažu novadā, t.sk. </w:t>
      </w:r>
      <w:r w:rsidRPr="007C2AA8">
        <w:rPr>
          <w:rFonts w:ascii="Times New Roman" w:hAnsi="Times New Roman" w:cs="Times New Roman"/>
          <w:bCs/>
        </w:rPr>
        <w:lastRenderedPageBreak/>
        <w:t xml:space="preserve">pašvaldību ēku – Ādažu vidusskolas, Ādažu novada kultūras centra, biroju ēkas Pirmā iela 42A un ēkas Gaujas iela 16 – pieslēgšanu </w:t>
      </w:r>
      <w:r w:rsidRPr="00B0000F">
        <w:rPr>
          <w:rFonts w:ascii="Times New Roman" w:hAnsi="Times New Roman" w:cs="Times New Roman"/>
          <w:bCs/>
        </w:rPr>
        <w:t>CSS</w:t>
      </w:r>
      <w:r w:rsidRPr="007C2AA8">
        <w:rPr>
          <w:rFonts w:ascii="Times New Roman" w:hAnsi="Times New Roman" w:cs="Times New Roman"/>
          <w:bCs/>
        </w:rPr>
        <w:t>.</w:t>
      </w:r>
    </w:p>
    <w:p w14:paraId="753847C9" w14:textId="33DEC978" w:rsidR="00FB323F" w:rsidRDefault="00FB323F" w:rsidP="00FB323F">
      <w:pPr>
        <w:spacing w:before="120"/>
        <w:jc w:val="both"/>
        <w:rPr>
          <w:rFonts w:ascii="Times New Roman" w:hAnsi="Times New Roman" w:cs="Times New Roman"/>
          <w:bCs/>
        </w:rPr>
      </w:pPr>
      <w:r w:rsidRPr="007C2AA8">
        <w:rPr>
          <w:rFonts w:ascii="Times New Roman" w:hAnsi="Times New Roman" w:cs="Times New Roman"/>
          <w:bCs/>
        </w:rPr>
        <w:t>Ādažu novada dome ar 28.06.2023. lēmumu Nr. 255 “Par centralizētās siltumapgādes sistēmas paplašināšanu Ādažu novadā” un 25.04.202</w:t>
      </w:r>
      <w:r w:rsidR="00761EC4">
        <w:rPr>
          <w:rFonts w:ascii="Times New Roman" w:hAnsi="Times New Roman" w:cs="Times New Roman"/>
          <w:bCs/>
        </w:rPr>
        <w:t>4</w:t>
      </w:r>
      <w:r w:rsidRPr="007C2AA8">
        <w:rPr>
          <w:rFonts w:ascii="Times New Roman" w:hAnsi="Times New Roman" w:cs="Times New Roman"/>
          <w:bCs/>
        </w:rPr>
        <w:t>. lēmumu Nr. 166 “Par grozījumiem Ādažu novada pašvaldības domes 28.06.2023. lēmumā Nr. 255 “Par centralizētās siltumapgādes sistēmas paplašināšanu Ādažu novadā”” konceptuāli atbalstīja Ādažu pilsētas centralizētās siltumapgādes sistēmas paplašināšanas projekta 1. kārtu, paredzot šādas aktivitātes:</w:t>
      </w:r>
    </w:p>
    <w:p w14:paraId="0B26E355" w14:textId="77777777" w:rsidR="00FB323F" w:rsidRPr="00F46E7E" w:rsidRDefault="00FB323F" w:rsidP="00FB323F">
      <w:pPr>
        <w:pStyle w:val="Sarakstarindkopa"/>
        <w:numPr>
          <w:ilvl w:val="0"/>
          <w:numId w:val="6"/>
        </w:numPr>
        <w:spacing w:before="120"/>
        <w:rPr>
          <w:bCs/>
        </w:rPr>
      </w:pPr>
      <w:r w:rsidRPr="00660BED">
        <w:rPr>
          <w:bCs/>
        </w:rPr>
        <w:t>Ādažu vidusskolas ēkas (Gaujas iela 30, Ādaži) un Ādažu novada kultūras centra ēkas (Gaujas iela 33A, Ādaži) pieslēgšana CSS</w:t>
      </w:r>
      <w:r w:rsidRPr="00F46E7E">
        <w:rPr>
          <w:bCs/>
        </w:rPr>
        <w:t>;</w:t>
      </w:r>
    </w:p>
    <w:p w14:paraId="6DEBEA59" w14:textId="77777777" w:rsidR="00FB323F" w:rsidRPr="00F46E7E" w:rsidRDefault="00FB323F" w:rsidP="00FB323F">
      <w:pPr>
        <w:pStyle w:val="Sarakstarindkopa"/>
        <w:numPr>
          <w:ilvl w:val="0"/>
          <w:numId w:val="6"/>
        </w:numPr>
        <w:spacing w:before="120"/>
        <w:rPr>
          <w:bCs/>
        </w:rPr>
      </w:pPr>
      <w:r w:rsidRPr="00F46E7E">
        <w:rPr>
          <w:bCs/>
        </w:rPr>
        <w:t xml:space="preserve">biroju ēkas </w:t>
      </w:r>
      <w:r w:rsidRPr="00246197">
        <w:t xml:space="preserve">(Pirmā iela 42A, Ādaži) </w:t>
      </w:r>
      <w:r w:rsidRPr="00F46E7E">
        <w:rPr>
          <w:bCs/>
        </w:rPr>
        <w:t>pieslēgšana CSS;</w:t>
      </w:r>
    </w:p>
    <w:p w14:paraId="0E8A5A90" w14:textId="77777777" w:rsidR="00FB323F" w:rsidRDefault="00FB323F" w:rsidP="00FB323F">
      <w:pPr>
        <w:pStyle w:val="Sarakstarindkopa"/>
        <w:numPr>
          <w:ilvl w:val="0"/>
          <w:numId w:val="6"/>
        </w:numPr>
        <w:spacing w:before="120"/>
        <w:rPr>
          <w:bCs/>
        </w:rPr>
      </w:pPr>
      <w:r w:rsidRPr="00F46E7E">
        <w:rPr>
          <w:bCs/>
        </w:rPr>
        <w:t xml:space="preserve">ēkas </w:t>
      </w:r>
      <w:r>
        <w:rPr>
          <w:bCs/>
        </w:rPr>
        <w:t>(</w:t>
      </w:r>
      <w:r w:rsidRPr="00F46E7E">
        <w:rPr>
          <w:bCs/>
        </w:rPr>
        <w:t>Gaujas iela 16, Ādaži</w:t>
      </w:r>
      <w:r>
        <w:rPr>
          <w:bCs/>
        </w:rPr>
        <w:t>)</w:t>
      </w:r>
      <w:r w:rsidRPr="00F46E7E">
        <w:rPr>
          <w:bCs/>
        </w:rPr>
        <w:t xml:space="preserve"> pieslēgšana CSS</w:t>
      </w:r>
      <w:r>
        <w:rPr>
          <w:bCs/>
        </w:rPr>
        <w:t>;</w:t>
      </w:r>
    </w:p>
    <w:p w14:paraId="6CC0EE19" w14:textId="77777777" w:rsidR="00FB323F" w:rsidRDefault="00FB323F" w:rsidP="00FB323F">
      <w:pPr>
        <w:spacing w:before="120"/>
        <w:jc w:val="both"/>
        <w:rPr>
          <w:rFonts w:ascii="Times New Roman" w:hAnsi="Times New Roman" w:cs="Times New Roman"/>
          <w:bCs/>
        </w:rPr>
      </w:pPr>
      <w:r w:rsidRPr="007C2AA8">
        <w:rPr>
          <w:rFonts w:ascii="Times New Roman" w:hAnsi="Times New Roman" w:cs="Times New Roman"/>
          <w:bCs/>
        </w:rPr>
        <w:t>kā arī uzdodot SIA “Ādažu Namsaimnieks” izstrādāt būvprojektu CSS paplašināšanai no Ādažu centra katlu mājas līdz ēkām Pirmā iela 42A, Gaujas iela 16, Gaujas iela 33A un Gaujas iela 30.</w:t>
      </w:r>
    </w:p>
    <w:p w14:paraId="407B203B" w14:textId="77777777" w:rsidR="00FB323F" w:rsidRDefault="00FB323F" w:rsidP="00FB323F">
      <w:pPr>
        <w:spacing w:before="120"/>
        <w:jc w:val="both"/>
        <w:rPr>
          <w:rFonts w:ascii="Times New Roman" w:hAnsi="Times New Roman" w:cs="Times New Roman"/>
          <w:bCs/>
        </w:rPr>
      </w:pPr>
      <w:r w:rsidRPr="007C2AA8">
        <w:rPr>
          <w:rFonts w:ascii="Times New Roman" w:hAnsi="Times New Roman" w:cs="Times New Roman"/>
          <w:bCs/>
        </w:rPr>
        <w:t xml:space="preserve">2025.gadā tika izstrādāts būvprojekts “Centrālās siltuma apgādes sistēmas paplašināšana no Ādažu centra katlu mājas līdz ēkām Gaujas ielā 33A un Gaujas ielā 30”. SIA “Balteneko” ir veicis ieguldījumus jauna granulu katla uzstādīšanā Gaujas ielā 25A, kas ļauj pilnībā atteikties no fosilā kurināmā Ādažu CSS pat pie pieprasījuma jaudas palielināšanās, tādējādi būtiski samazinot dabasgāzes izmantošanu un ar to saistītās CO₂ emisijas. 2.1.1.3. pasākuma ietvaros SIA “Ādažu Namsaimnieks” plāno iesniegt projekta “Ādažu centrālās siltumapgādes sistēmas paplašināšana” (turpmāk – Projekts) pieteikumu </w:t>
      </w:r>
      <w:bookmarkStart w:id="0" w:name="_Hlk216177849"/>
      <w:r w:rsidRPr="007C2AA8">
        <w:rPr>
          <w:rFonts w:ascii="Times New Roman" w:hAnsi="Times New Roman" w:cs="Times New Roman"/>
          <w:bCs/>
        </w:rPr>
        <w:t>sabiedrībā “Altum”</w:t>
      </w:r>
      <w:bookmarkEnd w:id="0"/>
      <w:r w:rsidRPr="007C2AA8">
        <w:rPr>
          <w:rFonts w:ascii="Times New Roman" w:hAnsi="Times New Roman" w:cs="Times New Roman"/>
          <w:bCs/>
        </w:rPr>
        <w:t>.</w:t>
      </w:r>
    </w:p>
    <w:p w14:paraId="4E9047AE" w14:textId="77777777" w:rsidR="00FB323F" w:rsidRDefault="00FB323F" w:rsidP="00FB323F">
      <w:pPr>
        <w:spacing w:before="120"/>
        <w:jc w:val="both"/>
        <w:rPr>
          <w:rFonts w:ascii="Times New Roman" w:hAnsi="Times New Roman" w:cs="Times New Roman"/>
          <w:bCs/>
        </w:rPr>
      </w:pPr>
      <w:r w:rsidRPr="007C2AA8">
        <w:rPr>
          <w:rFonts w:ascii="Times New Roman" w:hAnsi="Times New Roman" w:cs="Times New Roman"/>
          <w:bCs/>
        </w:rPr>
        <w:t>Ādažu centru ar siltumenerģiju centralizēti nodrošina lielas jaudas katlumāja Attekas ielā 43. Ādažu centra katlumājā pēdējo gadu laikā ir veikta pāreja no dabasgāzes uz šķeldas izmantošanu, un 2025. gadā atjaunojamo energoresursu īpatsvars Ādažu CSS veidoja 100 % (atstājot gāzes katlu avārijas, tehniskās apkalpošanas un pakalpojuma diversifikācijas nolūkiem). Ādažu centra sākotnējās siltumapgādes sistēmas siltumtrases izbūvētas laikposmā no 1995. līdz 2007. gadam. 2019. gadā kopā ar sākumskolas celtniecību tika izbūvēts jauns siltumtrases posms no Attekas ielas 43 katlumājas līdz Gaujas ielai 16. Kopējais siltumtrašu garums ir 5404 metri. Ādažu centra siltumapgādes pārvades un sadales sistēma strādā efektīvi – siltumenerģijas zudumi sistēmā svārstās 10–12 % robežās, kas atbilst rūpnieciski izolētu cauruļu zudumu apmēriem.</w:t>
      </w:r>
    </w:p>
    <w:p w14:paraId="101ACCA9" w14:textId="77777777" w:rsidR="00FB323F" w:rsidRDefault="00FB323F" w:rsidP="00FB323F">
      <w:pPr>
        <w:spacing w:before="120"/>
        <w:jc w:val="both"/>
        <w:rPr>
          <w:rFonts w:ascii="Times New Roman" w:hAnsi="Times New Roman" w:cs="Times New Roman"/>
          <w:bCs/>
        </w:rPr>
      </w:pPr>
      <w:r w:rsidRPr="00E13915">
        <w:rPr>
          <w:rFonts w:ascii="Times New Roman" w:hAnsi="Times New Roman" w:cs="Times New Roman"/>
          <w:bCs/>
        </w:rPr>
        <w:t xml:space="preserve">Ādažu centrā </w:t>
      </w:r>
      <w:r>
        <w:rPr>
          <w:rFonts w:ascii="Times New Roman" w:hAnsi="Times New Roman" w:cs="Times New Roman"/>
          <w:bCs/>
        </w:rPr>
        <w:t>CSS</w:t>
      </w:r>
      <w:r w:rsidRPr="00E13915">
        <w:rPr>
          <w:rFonts w:ascii="Times New Roman" w:hAnsi="Times New Roman" w:cs="Times New Roman"/>
          <w:bCs/>
        </w:rPr>
        <w:t xml:space="preserve"> ir pieslēgušies 29 patērētāji, no kuriem 25 ir daudzdzīvokļu dzīvojamās ēkas. Centralizētajai siltumapgādei pieslēgtās dzīvojamās daudzdzīvokļu ēkas pamatā celtas starp 1970. un 1990.gadu. Bez daudzdzīvokļu dzīvojamām ēkām Ādažu centrā ar centralizēto siltumapgādi tiek nodrošināta arī viena privātmāja, slimnīca un divas pašvaldības ēkas. Ādažu centra CSS pieslēgtajām daudzdzīvokļu ēkām kopumā ir salīdzinoši zems siltumenerģijas patēriņš, kas saistīts ar to, ka netiek nodrošināts centralizēts karstais ūdens (nav vasaras slodzes) un augstu renovēto ēku īpatsvaru – lielākā daļa no ēkām ir renovētas vai ir uzsākta to renovācija.</w:t>
      </w:r>
    </w:p>
    <w:p w14:paraId="6F2A18D4" w14:textId="77777777" w:rsidR="00FB323F" w:rsidRDefault="00FB323F" w:rsidP="00FB323F">
      <w:pPr>
        <w:spacing w:before="120"/>
        <w:jc w:val="both"/>
        <w:rPr>
          <w:rFonts w:ascii="Times New Roman" w:hAnsi="Times New Roman" w:cs="Times New Roman"/>
          <w:bCs/>
        </w:rPr>
      </w:pPr>
      <w:r w:rsidRPr="00E13915">
        <w:rPr>
          <w:rFonts w:ascii="Times New Roman" w:hAnsi="Times New Roman" w:cs="Times New Roman"/>
          <w:bCs/>
        </w:rPr>
        <w:t xml:space="preserve">Projekta ietvaros SIA “Ādažu Namsaimnieks” plāno veikt CSS paplašināšanu līdz nozīmīgākajiem objektiem Ādažos – Ādažu vidusskolai un Ādažu novada kultūras centram, nodrošinot vienotu, energoefektīvu un klimatneitralitātei atbilstošu siltumapgādi pilsētas centrālajā daļā. Tā rezultātā plānots mazināt energoresursu cenu svārstību ietekmi uz siltumenerģijas izmaksām, panākt siltumapgādes izmaksu optimizāciju, stiprināt energoefektivitāti, palielināt siltumapgādes sistēmas drošību un energoresursu diversifikāciju, uzlabot attīstības iespējas nākotnē, kā arī tuvināt Ādažu novada atbilstību Ādažu novada Ilgtspējīgas enerģētikas un klimata rīcības plānā līdz 2030. gadam noteiktajiem atjaunīgo energoresursu īpatsvara un siltumnīcefekta gāzu emisiju samazināšanas mērķiem un Eiropas Savienības klimatneitralitātes mērķim līdz 2050. gadam. Projektam ir būtiska ietekme uz esošās sistēmas efektivitāti – ņemot vērā </w:t>
      </w:r>
      <w:r w:rsidRPr="00B0000F">
        <w:rPr>
          <w:rFonts w:ascii="Times New Roman" w:hAnsi="Times New Roman" w:cs="Times New Roman"/>
          <w:bCs/>
        </w:rPr>
        <w:t>SPRK</w:t>
      </w:r>
      <w:r w:rsidRPr="00E13915">
        <w:rPr>
          <w:rFonts w:ascii="Times New Roman" w:hAnsi="Times New Roman" w:cs="Times New Roman"/>
          <w:bCs/>
        </w:rPr>
        <w:t xml:space="preserve"> tarifu metodikas principus, kur fiksētās izmaksas tiek </w:t>
      </w:r>
      <w:r w:rsidRPr="00E13915">
        <w:rPr>
          <w:rFonts w:ascii="Times New Roman" w:hAnsi="Times New Roman" w:cs="Times New Roman"/>
          <w:bCs/>
        </w:rPr>
        <w:lastRenderedPageBreak/>
        <w:t>segtas ar tīklos nodotās siltumenerģijas daudzumu, tad pēc projekta realizācijas būs pozitīva (samazinoša) ietekme gan uz SIA “Ādažu namsaimnieks” siltumenerģijas gala tarifu, gan uz siltumenerģijas ražotāja (šobrīd SIA “Balteneko”) siltumenerģijas ražošanas tarifu.</w:t>
      </w:r>
    </w:p>
    <w:p w14:paraId="3D076804" w14:textId="77777777" w:rsidR="00FB323F" w:rsidRDefault="00FB323F" w:rsidP="00FB323F">
      <w:pPr>
        <w:spacing w:before="120"/>
        <w:jc w:val="both"/>
        <w:rPr>
          <w:rFonts w:ascii="Times New Roman" w:hAnsi="Times New Roman" w:cs="Times New Roman"/>
          <w:bCs/>
        </w:rPr>
      </w:pPr>
      <w:r w:rsidRPr="00E13915">
        <w:rPr>
          <w:rFonts w:ascii="Times New Roman" w:hAnsi="Times New Roman" w:cs="Times New Roman"/>
          <w:bCs/>
        </w:rPr>
        <w:t xml:space="preserve">Projekta indikatīvās būvdarbu izmaksas saskaņā ar sagatavoto kontroltāmi šobrīd ir 517 500 </w:t>
      </w:r>
      <w:r w:rsidRPr="00E13915">
        <w:rPr>
          <w:rFonts w:ascii="Times New Roman" w:hAnsi="Times New Roman" w:cs="Times New Roman"/>
          <w:bCs/>
          <w:i/>
          <w:iCs/>
        </w:rPr>
        <w:t>euro</w:t>
      </w:r>
      <w:r w:rsidRPr="00E13915">
        <w:rPr>
          <w:rFonts w:ascii="Times New Roman" w:hAnsi="Times New Roman" w:cs="Times New Roman"/>
          <w:bCs/>
        </w:rPr>
        <w:t xml:space="preserve"> (bez PVN) par būvdarbu daļu un ar to tieši saistītajām pozīcijām, uz kurām atbilstoši Pievienotās vērtības nodokļa likuma 142. pantam tiek piemērota apgrieztā (reversā) PVN maksāšanas kārtība, līdz ar to </w:t>
      </w:r>
      <w:r>
        <w:rPr>
          <w:rFonts w:ascii="Times New Roman" w:hAnsi="Times New Roman" w:cs="Times New Roman"/>
          <w:bCs/>
        </w:rPr>
        <w:t>PVN</w:t>
      </w:r>
      <w:r w:rsidRPr="00E13915">
        <w:rPr>
          <w:rFonts w:ascii="Times New Roman" w:hAnsi="Times New Roman" w:cs="Times New Roman"/>
          <w:bCs/>
        </w:rPr>
        <w:t xml:space="preserve"> netiek iekļauts būvdarbu līgumcenā un netiek finansēts no Projekta budžeta. Papildus Projekta ietvaros tiks segtas ar Projekta īstenošanu saistītās izmaksas – Projekta vadības, autoruzraudzības un būvuzraudzības izmaksas, kā arī citas izmaksas, kas ir attiecināmas atbilstoši MK noteikumu Nr. 20 27. un 32. punktā minētajām atbalstāmajām darbībām. Attiecībā uz izmaksu pozīcijām, uz kurām neattiecas apgrieztā PVN maksāšanas kārtība (piemēram, daļa pakalpojumu, Projekta vadības un būvuzraudzības pakalpojumi u.c.), </w:t>
      </w:r>
      <w:r>
        <w:rPr>
          <w:rFonts w:ascii="Times New Roman" w:hAnsi="Times New Roman" w:cs="Times New Roman"/>
          <w:bCs/>
        </w:rPr>
        <w:t>PVN</w:t>
      </w:r>
      <w:r w:rsidRPr="00E13915">
        <w:rPr>
          <w:rFonts w:ascii="Times New Roman" w:hAnsi="Times New Roman" w:cs="Times New Roman"/>
          <w:bCs/>
        </w:rPr>
        <w:t>, ciktāl tas nav atgūstams, ir attiecināms saskaņā ar MK noteikumu Nr. 20 33. punktu. Projekta kopējās indikatīvās izmaksas tiks precizētas pēc iepirkuma procedūras rezultātiem, tās balstīsies gan uz kontroltāmi, gan uz Projekta vadības, autoruzraudzības, būvuzraudzības un citu attiecināmo izmaksu faktiskajām līgumu cenām.</w:t>
      </w:r>
    </w:p>
    <w:p w14:paraId="602E239D" w14:textId="6D89483C" w:rsidR="00FB323F" w:rsidRDefault="00FB323F" w:rsidP="00FB323F">
      <w:pPr>
        <w:spacing w:before="120"/>
        <w:jc w:val="both"/>
        <w:rPr>
          <w:rFonts w:ascii="Times New Roman" w:hAnsi="Times New Roman" w:cs="Times New Roman"/>
          <w:bCs/>
        </w:rPr>
      </w:pPr>
      <w:r w:rsidRPr="00E13915">
        <w:rPr>
          <w:rFonts w:ascii="Times New Roman" w:hAnsi="Times New Roman" w:cs="Times New Roman"/>
          <w:bCs/>
        </w:rPr>
        <w:t>Projekta finansējumu paredzēts nodrošināt</w:t>
      </w:r>
      <w:r w:rsidR="00686D72">
        <w:rPr>
          <w:rFonts w:ascii="Times New Roman" w:hAnsi="Times New Roman" w:cs="Times New Roman"/>
          <w:bCs/>
        </w:rPr>
        <w:t>,</w:t>
      </w:r>
      <w:r w:rsidRPr="00E13915">
        <w:rPr>
          <w:rFonts w:ascii="Times New Roman" w:hAnsi="Times New Roman" w:cs="Times New Roman"/>
          <w:bCs/>
        </w:rPr>
        <w:t xml:space="preserve"> ņemot aizdevumu kredītiestādē, kam garantiju sniedz </w:t>
      </w:r>
      <w:r w:rsidR="00B0000F" w:rsidRPr="007C2AA8">
        <w:rPr>
          <w:rFonts w:ascii="Times New Roman" w:hAnsi="Times New Roman" w:cs="Times New Roman"/>
          <w:bCs/>
        </w:rPr>
        <w:t>sabiedrīb</w:t>
      </w:r>
      <w:r w:rsidR="00B0000F">
        <w:rPr>
          <w:rFonts w:ascii="Times New Roman" w:hAnsi="Times New Roman" w:cs="Times New Roman"/>
          <w:bCs/>
        </w:rPr>
        <w:t>a</w:t>
      </w:r>
      <w:r w:rsidR="00B0000F" w:rsidRPr="007C2AA8">
        <w:rPr>
          <w:rFonts w:ascii="Times New Roman" w:hAnsi="Times New Roman" w:cs="Times New Roman"/>
          <w:bCs/>
        </w:rPr>
        <w:t xml:space="preserve"> “Altum”</w:t>
      </w:r>
      <w:r w:rsidRPr="00E13915">
        <w:rPr>
          <w:rFonts w:ascii="Times New Roman" w:hAnsi="Times New Roman" w:cs="Times New Roman"/>
          <w:bCs/>
        </w:rPr>
        <w:t>.</w:t>
      </w:r>
      <w:r w:rsidR="0089586F">
        <w:rPr>
          <w:rFonts w:ascii="Times New Roman" w:hAnsi="Times New Roman" w:cs="Times New Roman"/>
          <w:bCs/>
        </w:rPr>
        <w:t xml:space="preserve"> </w:t>
      </w:r>
      <w:r w:rsidRPr="00E13915">
        <w:rPr>
          <w:rFonts w:ascii="Times New Roman" w:hAnsi="Times New Roman" w:cs="Times New Roman"/>
          <w:bCs/>
        </w:rPr>
        <w:t xml:space="preserve">Projekta ietvaros </w:t>
      </w:r>
      <w:r w:rsidR="00686D72">
        <w:rPr>
          <w:rFonts w:ascii="Times New Roman" w:hAnsi="Times New Roman" w:cs="Times New Roman"/>
          <w:bCs/>
        </w:rPr>
        <w:t xml:space="preserve">nav nepieciešams </w:t>
      </w:r>
      <w:r w:rsidRPr="00E13915">
        <w:rPr>
          <w:rFonts w:ascii="Times New Roman" w:hAnsi="Times New Roman" w:cs="Times New Roman"/>
          <w:bCs/>
        </w:rPr>
        <w:t>Ādažu novada pašvaldība</w:t>
      </w:r>
      <w:r w:rsidR="00686D72">
        <w:rPr>
          <w:rFonts w:ascii="Times New Roman" w:hAnsi="Times New Roman" w:cs="Times New Roman"/>
          <w:bCs/>
        </w:rPr>
        <w:t>s</w:t>
      </w:r>
      <w:r w:rsidRPr="00E13915">
        <w:rPr>
          <w:rFonts w:ascii="Times New Roman" w:hAnsi="Times New Roman" w:cs="Times New Roman"/>
          <w:bCs/>
        </w:rPr>
        <w:t xml:space="preserve"> finansiāl</w:t>
      </w:r>
      <w:r w:rsidR="00686D72">
        <w:rPr>
          <w:rFonts w:ascii="Times New Roman" w:hAnsi="Times New Roman" w:cs="Times New Roman"/>
          <w:bCs/>
        </w:rPr>
        <w:t>s</w:t>
      </w:r>
      <w:r w:rsidRPr="00E13915">
        <w:rPr>
          <w:rFonts w:ascii="Times New Roman" w:hAnsi="Times New Roman" w:cs="Times New Roman"/>
          <w:bCs/>
        </w:rPr>
        <w:t xml:space="preserve"> atbalst</w:t>
      </w:r>
      <w:r w:rsidR="00686D72">
        <w:rPr>
          <w:rFonts w:ascii="Times New Roman" w:hAnsi="Times New Roman" w:cs="Times New Roman"/>
          <w:bCs/>
        </w:rPr>
        <w:t>s</w:t>
      </w:r>
      <w:r w:rsidRPr="00E13915">
        <w:rPr>
          <w:rFonts w:ascii="Times New Roman" w:hAnsi="Times New Roman" w:cs="Times New Roman"/>
          <w:bCs/>
        </w:rPr>
        <w:t xml:space="preserve"> vai pašvaldības galvojum</w:t>
      </w:r>
      <w:r w:rsidR="00686D72">
        <w:rPr>
          <w:rFonts w:ascii="Times New Roman" w:hAnsi="Times New Roman" w:cs="Times New Roman"/>
          <w:bCs/>
        </w:rPr>
        <w:t xml:space="preserve">s, jo </w:t>
      </w:r>
      <w:r w:rsidRPr="00E13915">
        <w:rPr>
          <w:rFonts w:ascii="Times New Roman" w:hAnsi="Times New Roman" w:cs="Times New Roman"/>
          <w:bCs/>
        </w:rPr>
        <w:t xml:space="preserve"> aizdevuma saistību izpilde tiks nodrošināta no sabiedrības ieņēmumiem par siltumapgādes pakalpojumu. Līdz ar to </w:t>
      </w:r>
      <w:r w:rsidR="00686D72">
        <w:rPr>
          <w:rFonts w:ascii="Times New Roman" w:hAnsi="Times New Roman" w:cs="Times New Roman"/>
          <w:bCs/>
        </w:rPr>
        <w:t>ar sabiedrības finansējuma ieguldījumu</w:t>
      </w:r>
      <w:r w:rsidRPr="00E13915">
        <w:rPr>
          <w:rFonts w:ascii="Times New Roman" w:hAnsi="Times New Roman" w:cs="Times New Roman"/>
          <w:bCs/>
        </w:rPr>
        <w:t xml:space="preserve"> novad</w:t>
      </w:r>
      <w:r w:rsidR="00686D72">
        <w:rPr>
          <w:rFonts w:ascii="Times New Roman" w:hAnsi="Times New Roman" w:cs="Times New Roman"/>
          <w:bCs/>
        </w:rPr>
        <w:t>s</w:t>
      </w:r>
      <w:r w:rsidRPr="00E13915">
        <w:rPr>
          <w:rFonts w:ascii="Times New Roman" w:hAnsi="Times New Roman" w:cs="Times New Roman"/>
          <w:bCs/>
        </w:rPr>
        <w:t xml:space="preserve"> sasnieg</w:t>
      </w:r>
      <w:r w:rsidR="00686D72">
        <w:rPr>
          <w:rFonts w:ascii="Times New Roman" w:hAnsi="Times New Roman" w:cs="Times New Roman"/>
          <w:bCs/>
        </w:rPr>
        <w:t>s</w:t>
      </w:r>
      <w:r w:rsidRPr="00E13915">
        <w:rPr>
          <w:rFonts w:ascii="Times New Roman" w:hAnsi="Times New Roman" w:cs="Times New Roman"/>
          <w:bCs/>
        </w:rPr>
        <w:t xml:space="preserve"> gan Ādažu novada Ilgtspējīgas enerģētikas un klimata rīcības plānā līdz 2030. gadam noteiktos mērķus, gan snieg</w:t>
      </w:r>
      <w:r w:rsidR="00686D72">
        <w:rPr>
          <w:rFonts w:ascii="Times New Roman" w:hAnsi="Times New Roman" w:cs="Times New Roman"/>
          <w:bCs/>
        </w:rPr>
        <w:t>s</w:t>
      </w:r>
      <w:r w:rsidRPr="00E13915">
        <w:rPr>
          <w:rFonts w:ascii="Times New Roman" w:hAnsi="Times New Roman" w:cs="Times New Roman"/>
          <w:bCs/>
        </w:rPr>
        <w:t xml:space="preserve"> ieguldījumu Eiropas Savienības kopējo klimata mērķu sasniegšanā.</w:t>
      </w:r>
    </w:p>
    <w:p w14:paraId="651926C8" w14:textId="77777777" w:rsidR="00FB323F" w:rsidRPr="00C4206E" w:rsidRDefault="00FB323F" w:rsidP="00FB323F">
      <w:pPr>
        <w:pStyle w:val="Bezatstarpm"/>
        <w:spacing w:before="120"/>
        <w:jc w:val="both"/>
        <w:rPr>
          <w:rFonts w:ascii="Times New Roman" w:hAnsi="Times New Roman"/>
          <w:sz w:val="24"/>
          <w:szCs w:val="24"/>
          <w:lang w:val="lv-LV"/>
        </w:rPr>
      </w:pPr>
      <w:r w:rsidRPr="00C4206E">
        <w:rPr>
          <w:rFonts w:ascii="Times New Roman" w:hAnsi="Times New Roman"/>
          <w:sz w:val="24"/>
          <w:szCs w:val="24"/>
          <w:lang w:val="lv-LV"/>
        </w:rPr>
        <w:t>Projekts atbilst novada Attīstības programmas (2021.-2027.) vidējā termiņa prioritātēm:</w:t>
      </w:r>
    </w:p>
    <w:p w14:paraId="10F1C450" w14:textId="77777777" w:rsidR="00FB323F" w:rsidRDefault="00FB323F" w:rsidP="00FB323F">
      <w:pPr>
        <w:pStyle w:val="Bezatstarpm"/>
        <w:numPr>
          <w:ilvl w:val="0"/>
          <w:numId w:val="3"/>
        </w:numPr>
        <w:spacing w:before="120"/>
        <w:jc w:val="both"/>
        <w:rPr>
          <w:rFonts w:ascii="Times New Roman" w:hAnsi="Times New Roman"/>
          <w:sz w:val="24"/>
          <w:szCs w:val="24"/>
          <w:lang w:val="lv-LV"/>
        </w:rPr>
      </w:pPr>
      <w:r>
        <w:rPr>
          <w:rFonts w:ascii="Times New Roman" w:hAnsi="Times New Roman"/>
          <w:sz w:val="24"/>
          <w:szCs w:val="24"/>
          <w:lang w:val="lv-LV"/>
        </w:rPr>
        <w:t>“VTP1: Attīstīta un racionāla inženiertehniskā infrastruktūra”, rīcības virzienam “</w:t>
      </w:r>
      <w:r w:rsidRPr="00C67E69">
        <w:rPr>
          <w:rFonts w:ascii="Times New Roman" w:hAnsi="Times New Roman"/>
          <w:sz w:val="24"/>
          <w:szCs w:val="24"/>
          <w:lang w:val="lv-LV"/>
        </w:rPr>
        <w:t>RV1.1: Jaunveidojamās un atjaunojamās inženiertehniskās infrastruktūras projektēšana un izbūve</w:t>
      </w:r>
      <w:r>
        <w:rPr>
          <w:rFonts w:ascii="Times New Roman" w:hAnsi="Times New Roman"/>
          <w:sz w:val="24"/>
          <w:szCs w:val="24"/>
          <w:lang w:val="lv-LV"/>
        </w:rPr>
        <w:t>” uzdevumiem:</w:t>
      </w:r>
    </w:p>
    <w:p w14:paraId="2604FBFE" w14:textId="77777777" w:rsidR="00FB323F" w:rsidRDefault="00FB323F" w:rsidP="00FB323F">
      <w:pPr>
        <w:pStyle w:val="Bezatstarpm"/>
        <w:numPr>
          <w:ilvl w:val="1"/>
          <w:numId w:val="3"/>
        </w:numPr>
        <w:spacing w:before="120"/>
        <w:jc w:val="both"/>
        <w:rPr>
          <w:rFonts w:ascii="Times New Roman" w:hAnsi="Times New Roman"/>
          <w:sz w:val="24"/>
          <w:szCs w:val="24"/>
          <w:lang w:val="lv-LV"/>
        </w:rPr>
      </w:pPr>
      <w:r>
        <w:rPr>
          <w:rFonts w:ascii="Times New Roman" w:hAnsi="Times New Roman"/>
          <w:sz w:val="24"/>
          <w:szCs w:val="24"/>
          <w:lang w:val="lv-LV"/>
        </w:rPr>
        <w:t>“</w:t>
      </w:r>
      <w:r w:rsidRPr="007342C8">
        <w:rPr>
          <w:rFonts w:ascii="Times New Roman" w:hAnsi="Times New Roman"/>
          <w:sz w:val="24"/>
          <w:szCs w:val="24"/>
          <w:lang w:val="lv-LV"/>
        </w:rPr>
        <w:t>U1.1.4: Veicināt siltumapgādes sistēmas attīstību</w:t>
      </w:r>
      <w:r>
        <w:rPr>
          <w:rFonts w:ascii="Times New Roman" w:hAnsi="Times New Roman"/>
          <w:sz w:val="24"/>
          <w:szCs w:val="24"/>
          <w:lang w:val="lv-LV"/>
        </w:rPr>
        <w:t>” (pasākumiem “</w:t>
      </w:r>
      <w:r w:rsidRPr="007342C8">
        <w:rPr>
          <w:rFonts w:ascii="Times New Roman" w:hAnsi="Times New Roman"/>
          <w:sz w:val="24"/>
          <w:szCs w:val="24"/>
          <w:lang w:val="lv-LV"/>
        </w:rPr>
        <w:t>Ā1.1.4.2. Jaunu siltumenerģijas patērētāju piesaiste CSS tās esošajās robežās</w:t>
      </w:r>
      <w:r>
        <w:rPr>
          <w:rFonts w:ascii="Times New Roman" w:hAnsi="Times New Roman"/>
          <w:sz w:val="24"/>
          <w:szCs w:val="24"/>
          <w:lang w:val="lv-LV"/>
        </w:rPr>
        <w:t>”, “</w:t>
      </w:r>
      <w:r w:rsidRPr="007342C8">
        <w:rPr>
          <w:rFonts w:ascii="Times New Roman" w:hAnsi="Times New Roman"/>
          <w:sz w:val="24"/>
          <w:szCs w:val="24"/>
          <w:lang w:val="lv-LV"/>
        </w:rPr>
        <w:t>Ā1.1.4.9. Ādažu vidusskolas ēkas Gaujas ielā 30, Ādažos un Ādažu Kultūras centra Gaujas ielā 33A, Ādažos, pieslēgšana CSS</w:t>
      </w:r>
      <w:r>
        <w:rPr>
          <w:rFonts w:ascii="Times New Roman" w:hAnsi="Times New Roman"/>
          <w:sz w:val="24"/>
          <w:szCs w:val="24"/>
          <w:lang w:val="lv-LV"/>
        </w:rPr>
        <w:t>”);</w:t>
      </w:r>
    </w:p>
    <w:p w14:paraId="28440B54" w14:textId="77777777" w:rsidR="00FB323F" w:rsidRDefault="00FB323F" w:rsidP="00FB323F">
      <w:pPr>
        <w:pStyle w:val="Bezatstarpm"/>
        <w:numPr>
          <w:ilvl w:val="1"/>
          <w:numId w:val="3"/>
        </w:numPr>
        <w:spacing w:before="120"/>
        <w:jc w:val="both"/>
        <w:rPr>
          <w:rFonts w:ascii="Times New Roman" w:hAnsi="Times New Roman"/>
          <w:sz w:val="24"/>
          <w:szCs w:val="24"/>
          <w:lang w:val="lv-LV"/>
        </w:rPr>
      </w:pPr>
      <w:r>
        <w:rPr>
          <w:rFonts w:ascii="Times New Roman" w:hAnsi="Times New Roman"/>
          <w:sz w:val="24"/>
          <w:szCs w:val="24"/>
          <w:lang w:val="lv-LV"/>
        </w:rPr>
        <w:t>“</w:t>
      </w:r>
      <w:r w:rsidRPr="00C67E69">
        <w:rPr>
          <w:rFonts w:ascii="Times New Roman" w:hAnsi="Times New Roman"/>
          <w:sz w:val="24"/>
          <w:szCs w:val="24"/>
          <w:lang w:val="lv-LV"/>
        </w:rPr>
        <w:t>U1.1.5: Sekmēt videi draudzīgu enerģijas ražošanu un alternatīvus enerģijas ieguves veidus</w:t>
      </w:r>
      <w:r>
        <w:rPr>
          <w:rFonts w:ascii="Times New Roman" w:hAnsi="Times New Roman"/>
          <w:sz w:val="24"/>
          <w:szCs w:val="24"/>
          <w:lang w:val="lv-LV"/>
        </w:rPr>
        <w:t>” (pasākumam “</w:t>
      </w:r>
      <w:r w:rsidRPr="00C67E69">
        <w:rPr>
          <w:rFonts w:ascii="Times New Roman" w:hAnsi="Times New Roman"/>
          <w:sz w:val="24"/>
          <w:szCs w:val="24"/>
          <w:lang w:val="lv-LV"/>
        </w:rPr>
        <w:t>Ā1.1.5.1. Videi draudzīgas enerģijas ražošanas un alternatīvus enerģijas ieguves veidu sekmēšana</w:t>
      </w:r>
      <w:r>
        <w:rPr>
          <w:rFonts w:ascii="Times New Roman" w:hAnsi="Times New Roman"/>
          <w:sz w:val="24"/>
          <w:szCs w:val="24"/>
          <w:lang w:val="lv-LV"/>
        </w:rPr>
        <w:t>”);</w:t>
      </w:r>
    </w:p>
    <w:p w14:paraId="55735701" w14:textId="77777777" w:rsidR="00FB323F" w:rsidRDefault="00FB323F" w:rsidP="00FB323F">
      <w:pPr>
        <w:pStyle w:val="Bezatstarpm"/>
        <w:numPr>
          <w:ilvl w:val="0"/>
          <w:numId w:val="3"/>
        </w:numPr>
        <w:spacing w:before="120"/>
        <w:jc w:val="both"/>
        <w:rPr>
          <w:rFonts w:ascii="Times New Roman" w:hAnsi="Times New Roman"/>
          <w:sz w:val="24"/>
          <w:szCs w:val="24"/>
          <w:lang w:val="lv-LV"/>
        </w:rPr>
      </w:pPr>
      <w:r w:rsidRPr="00E16BF5">
        <w:rPr>
          <w:rFonts w:ascii="Times New Roman" w:hAnsi="Times New Roman"/>
          <w:sz w:val="24"/>
          <w:szCs w:val="24"/>
          <w:lang w:val="lv-LV"/>
        </w:rPr>
        <w:t>“</w:t>
      </w:r>
      <w:r w:rsidRPr="00AA0B74">
        <w:rPr>
          <w:rFonts w:ascii="Times New Roman" w:hAnsi="Times New Roman"/>
          <w:sz w:val="24"/>
          <w:szCs w:val="24"/>
          <w:lang w:val="lv-LV"/>
        </w:rPr>
        <w:t>VTP</w:t>
      </w:r>
      <w:r>
        <w:rPr>
          <w:rFonts w:ascii="Times New Roman" w:hAnsi="Times New Roman"/>
          <w:sz w:val="24"/>
          <w:szCs w:val="24"/>
          <w:lang w:val="lv-LV"/>
        </w:rPr>
        <w:t>5</w:t>
      </w:r>
      <w:r w:rsidRPr="00AA0B74">
        <w:rPr>
          <w:rFonts w:ascii="Times New Roman" w:hAnsi="Times New Roman"/>
          <w:sz w:val="24"/>
          <w:szCs w:val="24"/>
          <w:lang w:val="lv-LV"/>
        </w:rPr>
        <w:t xml:space="preserve">: </w:t>
      </w:r>
      <w:r w:rsidRPr="00C67E69">
        <w:rPr>
          <w:rFonts w:ascii="Times New Roman" w:hAnsi="Times New Roman"/>
          <w:sz w:val="24"/>
          <w:szCs w:val="24"/>
          <w:lang w:val="lv-LV"/>
        </w:rPr>
        <w:t>Resursu efektīva izmantošana un attīstība</w:t>
      </w:r>
      <w:r w:rsidRPr="00E16BF5">
        <w:rPr>
          <w:rFonts w:ascii="Times New Roman" w:hAnsi="Times New Roman"/>
          <w:sz w:val="24"/>
          <w:szCs w:val="24"/>
          <w:lang w:val="lv-LV"/>
        </w:rPr>
        <w:t>” rīcības virzienam “</w:t>
      </w:r>
      <w:r w:rsidRPr="00C67E69">
        <w:rPr>
          <w:rFonts w:ascii="Times New Roman" w:hAnsi="Times New Roman"/>
          <w:sz w:val="24"/>
          <w:szCs w:val="24"/>
          <w:lang w:val="lv-LV"/>
        </w:rPr>
        <w:t>RV5.1: Pašvaldības nekustamo īpašumu attīstība, pašvaldības teritorijas labiekārtošana</w:t>
      </w:r>
      <w:r>
        <w:rPr>
          <w:rFonts w:ascii="Times New Roman" w:hAnsi="Times New Roman"/>
          <w:sz w:val="24"/>
          <w:szCs w:val="24"/>
          <w:lang w:val="lv-LV"/>
        </w:rPr>
        <w:t xml:space="preserve">” </w:t>
      </w:r>
      <w:r w:rsidRPr="00E16BF5">
        <w:rPr>
          <w:rFonts w:ascii="Times New Roman" w:hAnsi="Times New Roman"/>
          <w:sz w:val="24"/>
          <w:szCs w:val="24"/>
          <w:lang w:val="lv-LV"/>
        </w:rPr>
        <w:t>uzdevum</w:t>
      </w:r>
      <w:r>
        <w:rPr>
          <w:rFonts w:ascii="Times New Roman" w:hAnsi="Times New Roman"/>
          <w:sz w:val="24"/>
          <w:szCs w:val="24"/>
          <w:lang w:val="lv-LV"/>
        </w:rPr>
        <w:t>a</w:t>
      </w:r>
      <w:r w:rsidRPr="00E16BF5">
        <w:rPr>
          <w:rFonts w:ascii="Times New Roman" w:hAnsi="Times New Roman"/>
          <w:sz w:val="24"/>
          <w:szCs w:val="24"/>
          <w:lang w:val="lv-LV"/>
        </w:rPr>
        <w:t>m</w:t>
      </w:r>
      <w:r>
        <w:rPr>
          <w:rFonts w:ascii="Times New Roman" w:hAnsi="Times New Roman"/>
          <w:sz w:val="24"/>
          <w:szCs w:val="24"/>
          <w:lang w:val="lv-LV"/>
        </w:rPr>
        <w:t>:</w:t>
      </w:r>
    </w:p>
    <w:p w14:paraId="44DD91C3" w14:textId="77777777" w:rsidR="00FB323F" w:rsidRPr="00E16BF5" w:rsidRDefault="00FB323F" w:rsidP="00FB323F">
      <w:pPr>
        <w:pStyle w:val="Bezatstarpm"/>
        <w:numPr>
          <w:ilvl w:val="1"/>
          <w:numId w:val="3"/>
        </w:numPr>
        <w:spacing w:before="120"/>
        <w:jc w:val="both"/>
        <w:rPr>
          <w:rFonts w:ascii="Times New Roman" w:hAnsi="Times New Roman"/>
          <w:sz w:val="24"/>
          <w:szCs w:val="24"/>
          <w:lang w:val="lv-LV"/>
        </w:rPr>
      </w:pPr>
      <w:r w:rsidRPr="00E16BF5">
        <w:rPr>
          <w:rFonts w:ascii="Times New Roman" w:hAnsi="Times New Roman"/>
          <w:sz w:val="24"/>
          <w:szCs w:val="24"/>
          <w:lang w:val="lv-LV"/>
        </w:rPr>
        <w:t>“</w:t>
      </w:r>
      <w:r w:rsidRPr="00C67E69">
        <w:rPr>
          <w:rFonts w:ascii="Times New Roman" w:hAnsi="Times New Roman"/>
          <w:sz w:val="24"/>
          <w:szCs w:val="24"/>
          <w:lang w:val="lv-LV"/>
        </w:rPr>
        <w:t>U5.1.3: Noteikt, kā efektīvāk izmantot pašvaldības ēkas un to apkārtējās teritorijas (atjaunot, pielāgot tās pašvaldības funkciju īstenošanai, nojaukt, pārdot u.tml.</w:t>
      </w:r>
      <w:r>
        <w:rPr>
          <w:rFonts w:ascii="Times New Roman" w:hAnsi="Times New Roman"/>
          <w:sz w:val="24"/>
          <w:szCs w:val="24"/>
          <w:lang w:val="lv-LV"/>
        </w:rPr>
        <w:t>);</w:t>
      </w:r>
    </w:p>
    <w:p w14:paraId="032DBBDD" w14:textId="77777777" w:rsidR="00FB323F" w:rsidRDefault="00FB323F" w:rsidP="00FB323F">
      <w:pPr>
        <w:pStyle w:val="Bezatstarpm"/>
        <w:numPr>
          <w:ilvl w:val="0"/>
          <w:numId w:val="3"/>
        </w:numPr>
        <w:spacing w:before="120"/>
        <w:jc w:val="both"/>
        <w:rPr>
          <w:rFonts w:ascii="Times New Roman" w:hAnsi="Times New Roman"/>
          <w:sz w:val="24"/>
          <w:szCs w:val="24"/>
          <w:lang w:val="lv-LV"/>
        </w:rPr>
      </w:pPr>
      <w:r w:rsidRPr="00E16BF5">
        <w:rPr>
          <w:rFonts w:ascii="Times New Roman" w:hAnsi="Times New Roman"/>
          <w:sz w:val="24"/>
          <w:szCs w:val="24"/>
          <w:lang w:val="lv-LV"/>
        </w:rPr>
        <w:t>“</w:t>
      </w:r>
      <w:r w:rsidRPr="00AA0B74">
        <w:rPr>
          <w:rFonts w:ascii="Times New Roman" w:hAnsi="Times New Roman"/>
          <w:sz w:val="24"/>
          <w:szCs w:val="24"/>
          <w:lang w:val="lv-LV"/>
        </w:rPr>
        <w:t>VTP</w:t>
      </w:r>
      <w:r>
        <w:rPr>
          <w:rFonts w:ascii="Times New Roman" w:hAnsi="Times New Roman"/>
          <w:sz w:val="24"/>
          <w:szCs w:val="24"/>
          <w:lang w:val="lv-LV"/>
        </w:rPr>
        <w:t>6</w:t>
      </w:r>
      <w:r w:rsidRPr="00AA0B74">
        <w:rPr>
          <w:rFonts w:ascii="Times New Roman" w:hAnsi="Times New Roman"/>
          <w:sz w:val="24"/>
          <w:szCs w:val="24"/>
          <w:lang w:val="lv-LV"/>
        </w:rPr>
        <w:t xml:space="preserve">: </w:t>
      </w:r>
      <w:r w:rsidRPr="00C67E69">
        <w:rPr>
          <w:rFonts w:ascii="Times New Roman" w:hAnsi="Times New Roman"/>
          <w:sz w:val="24"/>
          <w:szCs w:val="24"/>
          <w:lang w:val="lv-LV"/>
        </w:rPr>
        <w:t>Klimatneitrāla enerģijas izmantošana un ģenerācija</w:t>
      </w:r>
      <w:r w:rsidRPr="00E16BF5">
        <w:rPr>
          <w:rFonts w:ascii="Times New Roman" w:hAnsi="Times New Roman"/>
          <w:sz w:val="24"/>
          <w:szCs w:val="24"/>
          <w:lang w:val="lv-LV"/>
        </w:rPr>
        <w:t>” rīcības virzien</w:t>
      </w:r>
      <w:r>
        <w:rPr>
          <w:rFonts w:ascii="Times New Roman" w:hAnsi="Times New Roman"/>
          <w:sz w:val="24"/>
          <w:szCs w:val="24"/>
          <w:lang w:val="lv-LV"/>
        </w:rPr>
        <w:t>ie</w:t>
      </w:r>
      <w:r w:rsidRPr="00E16BF5">
        <w:rPr>
          <w:rFonts w:ascii="Times New Roman" w:hAnsi="Times New Roman"/>
          <w:sz w:val="24"/>
          <w:szCs w:val="24"/>
          <w:lang w:val="lv-LV"/>
        </w:rPr>
        <w:t>m “</w:t>
      </w:r>
      <w:r w:rsidRPr="001B6A4F">
        <w:rPr>
          <w:rFonts w:ascii="Times New Roman" w:hAnsi="Times New Roman"/>
          <w:sz w:val="24"/>
          <w:szCs w:val="24"/>
          <w:lang w:val="lv-LV"/>
        </w:rPr>
        <w:t>RV6.2: Atjaunojamo energoresursu plašāka izmantošana</w:t>
      </w:r>
      <w:r w:rsidRPr="00E16BF5">
        <w:rPr>
          <w:rFonts w:ascii="Times New Roman" w:hAnsi="Times New Roman"/>
          <w:sz w:val="24"/>
          <w:szCs w:val="24"/>
          <w:lang w:val="lv-LV"/>
        </w:rPr>
        <w:t>” uzdevum</w:t>
      </w:r>
      <w:r>
        <w:rPr>
          <w:rFonts w:ascii="Times New Roman" w:hAnsi="Times New Roman"/>
          <w:sz w:val="24"/>
          <w:szCs w:val="24"/>
          <w:lang w:val="lv-LV"/>
        </w:rPr>
        <w:t>a</w:t>
      </w:r>
      <w:r w:rsidRPr="00E16BF5">
        <w:rPr>
          <w:rFonts w:ascii="Times New Roman" w:hAnsi="Times New Roman"/>
          <w:sz w:val="24"/>
          <w:szCs w:val="24"/>
          <w:lang w:val="lv-LV"/>
        </w:rPr>
        <w:t>m</w:t>
      </w:r>
      <w:r>
        <w:rPr>
          <w:rFonts w:ascii="Times New Roman" w:hAnsi="Times New Roman"/>
          <w:sz w:val="24"/>
          <w:szCs w:val="24"/>
          <w:lang w:val="lv-LV"/>
        </w:rPr>
        <w:t>:</w:t>
      </w:r>
    </w:p>
    <w:p w14:paraId="0C8CAE7B" w14:textId="77777777" w:rsidR="00FB323F" w:rsidRDefault="00FB323F" w:rsidP="00FB323F">
      <w:pPr>
        <w:pStyle w:val="Bezatstarpm"/>
        <w:numPr>
          <w:ilvl w:val="1"/>
          <w:numId w:val="3"/>
        </w:numPr>
        <w:spacing w:before="120"/>
        <w:jc w:val="both"/>
        <w:rPr>
          <w:rFonts w:ascii="Times New Roman" w:hAnsi="Times New Roman"/>
          <w:sz w:val="24"/>
          <w:szCs w:val="24"/>
          <w:lang w:val="lv-LV"/>
        </w:rPr>
      </w:pPr>
      <w:r>
        <w:rPr>
          <w:rFonts w:ascii="Times New Roman" w:hAnsi="Times New Roman"/>
          <w:sz w:val="24"/>
          <w:szCs w:val="24"/>
          <w:lang w:val="lv-LV"/>
        </w:rPr>
        <w:t>“</w:t>
      </w:r>
      <w:r w:rsidRPr="00C67E69">
        <w:rPr>
          <w:rFonts w:ascii="Times New Roman" w:hAnsi="Times New Roman"/>
          <w:sz w:val="24"/>
          <w:szCs w:val="24"/>
          <w:lang w:val="lv-LV"/>
        </w:rPr>
        <w:t>U6.2.1: Veicināt efektīvu atjaunojamo energoresursu izmantošanu</w:t>
      </w:r>
      <w:r>
        <w:rPr>
          <w:rFonts w:ascii="Times New Roman" w:hAnsi="Times New Roman"/>
          <w:sz w:val="24"/>
          <w:szCs w:val="24"/>
          <w:lang w:val="lv-LV"/>
        </w:rPr>
        <w:t>” (pasākumiem “</w:t>
      </w:r>
      <w:r w:rsidRPr="00C67E69">
        <w:rPr>
          <w:rFonts w:ascii="Times New Roman" w:hAnsi="Times New Roman"/>
          <w:sz w:val="24"/>
          <w:szCs w:val="24"/>
          <w:lang w:val="lv-LV"/>
        </w:rPr>
        <w:t>Ā6.2.1.1. Pašvaldības ēku atjaunošana un atjaunojamo energoresursu plašāka lietošana (ĀNIEKRP pasākums Nr.3.2.3.)</w:t>
      </w:r>
      <w:r>
        <w:rPr>
          <w:rFonts w:ascii="Times New Roman" w:hAnsi="Times New Roman"/>
          <w:sz w:val="24"/>
          <w:szCs w:val="24"/>
          <w:lang w:val="lv-LV"/>
        </w:rPr>
        <w:t>”, “</w:t>
      </w:r>
      <w:r w:rsidRPr="00F20724">
        <w:rPr>
          <w:rFonts w:ascii="Times New Roman" w:hAnsi="Times New Roman"/>
          <w:sz w:val="24"/>
          <w:szCs w:val="24"/>
          <w:lang w:val="lv-LV"/>
        </w:rPr>
        <w:t>Ā6.2.1.5. AER izmantošanas veicināšana CSS (ĀNIEKRP pasākums Nr.6.2.2.)</w:t>
      </w:r>
      <w:r>
        <w:rPr>
          <w:rFonts w:ascii="Times New Roman" w:hAnsi="Times New Roman"/>
          <w:sz w:val="24"/>
          <w:szCs w:val="24"/>
          <w:lang w:val="lv-LV"/>
        </w:rPr>
        <w:t>” un “</w:t>
      </w:r>
      <w:r w:rsidRPr="00F20724">
        <w:rPr>
          <w:rFonts w:ascii="Times New Roman" w:hAnsi="Times New Roman"/>
          <w:sz w:val="24"/>
          <w:szCs w:val="24"/>
          <w:lang w:val="lv-LV"/>
        </w:rPr>
        <w:t>Ā6.2.1.6. Jaunu siltumenerģijas patērētāju piesaiste CSS (ĀNIEKRP pasākums Nr.6.2.3.)</w:t>
      </w:r>
      <w:r>
        <w:rPr>
          <w:rFonts w:ascii="Times New Roman" w:hAnsi="Times New Roman"/>
          <w:sz w:val="24"/>
          <w:szCs w:val="24"/>
          <w:lang w:val="lv-LV"/>
        </w:rPr>
        <w:t>”);</w:t>
      </w:r>
    </w:p>
    <w:p w14:paraId="0C0E6A13" w14:textId="77777777" w:rsidR="00FB323F" w:rsidRDefault="00FB323F" w:rsidP="00FB323F">
      <w:pPr>
        <w:pStyle w:val="Bezatstarpm"/>
        <w:numPr>
          <w:ilvl w:val="0"/>
          <w:numId w:val="3"/>
        </w:numPr>
        <w:spacing w:before="120"/>
        <w:jc w:val="both"/>
        <w:rPr>
          <w:rFonts w:ascii="Times New Roman" w:hAnsi="Times New Roman"/>
          <w:sz w:val="24"/>
          <w:szCs w:val="24"/>
          <w:lang w:val="lv-LV"/>
        </w:rPr>
      </w:pPr>
      <w:r>
        <w:rPr>
          <w:rFonts w:ascii="Times New Roman" w:hAnsi="Times New Roman"/>
          <w:sz w:val="24"/>
          <w:szCs w:val="24"/>
          <w:lang w:val="lv-LV"/>
        </w:rPr>
        <w:lastRenderedPageBreak/>
        <w:t>“</w:t>
      </w:r>
      <w:r w:rsidRPr="00631401">
        <w:rPr>
          <w:rFonts w:ascii="Times New Roman" w:hAnsi="Times New Roman"/>
          <w:sz w:val="24"/>
          <w:szCs w:val="24"/>
          <w:lang w:val="lv-LV"/>
        </w:rPr>
        <w:t>VTP14: Attīstīta sadarbība ar citām pašvaldībām, iestādēm un organizācijām</w:t>
      </w:r>
      <w:r>
        <w:rPr>
          <w:rFonts w:ascii="Times New Roman" w:hAnsi="Times New Roman"/>
          <w:sz w:val="24"/>
          <w:szCs w:val="24"/>
          <w:lang w:val="lv-LV"/>
        </w:rPr>
        <w:t xml:space="preserve">” </w:t>
      </w:r>
      <w:r w:rsidRPr="00631401">
        <w:rPr>
          <w:rFonts w:ascii="Times New Roman" w:hAnsi="Times New Roman"/>
          <w:sz w:val="24"/>
          <w:szCs w:val="24"/>
          <w:lang w:val="lv-LV"/>
        </w:rPr>
        <w:t>rīcības virzienam “RV14.1: Sadarbības veicināšana ar citām pašvaldībām, iestādēm un organizācijām” uzdevumiem</w:t>
      </w:r>
      <w:r>
        <w:rPr>
          <w:rFonts w:ascii="Times New Roman" w:hAnsi="Times New Roman"/>
          <w:sz w:val="24"/>
          <w:szCs w:val="24"/>
          <w:lang w:val="lv-LV"/>
        </w:rPr>
        <w:t>:</w:t>
      </w:r>
    </w:p>
    <w:p w14:paraId="200806A7" w14:textId="77777777" w:rsidR="00FB323F" w:rsidRDefault="00FB323F" w:rsidP="00FB323F">
      <w:pPr>
        <w:pStyle w:val="Bezatstarpm"/>
        <w:numPr>
          <w:ilvl w:val="1"/>
          <w:numId w:val="3"/>
        </w:numPr>
        <w:spacing w:before="120"/>
        <w:jc w:val="both"/>
        <w:rPr>
          <w:rFonts w:ascii="Times New Roman" w:hAnsi="Times New Roman"/>
          <w:sz w:val="24"/>
          <w:szCs w:val="24"/>
          <w:lang w:val="lv-LV"/>
        </w:rPr>
      </w:pPr>
      <w:r w:rsidRPr="00631401">
        <w:rPr>
          <w:rFonts w:ascii="Times New Roman" w:hAnsi="Times New Roman"/>
          <w:sz w:val="24"/>
          <w:szCs w:val="24"/>
          <w:lang w:val="lv-LV"/>
        </w:rPr>
        <w:t>“U14.1.2: Īstenot sadarbību ar privātajiem investoriem, uzņēmējiem, privātpersonām”</w:t>
      </w:r>
      <w:r>
        <w:rPr>
          <w:rFonts w:ascii="Times New Roman" w:hAnsi="Times New Roman"/>
          <w:sz w:val="24"/>
          <w:szCs w:val="24"/>
          <w:lang w:val="lv-LV"/>
        </w:rPr>
        <w:t>;</w:t>
      </w:r>
    </w:p>
    <w:p w14:paraId="6EF4023F" w14:textId="77777777" w:rsidR="00FB323F" w:rsidRDefault="00FB323F" w:rsidP="00FB323F">
      <w:pPr>
        <w:pStyle w:val="Bezatstarpm"/>
        <w:numPr>
          <w:ilvl w:val="1"/>
          <w:numId w:val="3"/>
        </w:numPr>
        <w:spacing w:before="120"/>
        <w:jc w:val="both"/>
        <w:rPr>
          <w:rFonts w:ascii="Times New Roman" w:hAnsi="Times New Roman"/>
          <w:sz w:val="24"/>
          <w:szCs w:val="24"/>
          <w:lang w:val="lv-LV"/>
        </w:rPr>
      </w:pPr>
      <w:r w:rsidRPr="00631401">
        <w:rPr>
          <w:rFonts w:ascii="Times New Roman" w:hAnsi="Times New Roman"/>
          <w:sz w:val="24"/>
          <w:szCs w:val="24"/>
          <w:lang w:val="lv-LV"/>
        </w:rPr>
        <w:t>“U14.1.10: Īstenot sadarbību ar citām iestādēm”</w:t>
      </w:r>
      <w:r>
        <w:rPr>
          <w:rFonts w:ascii="Times New Roman" w:hAnsi="Times New Roman"/>
          <w:sz w:val="24"/>
          <w:szCs w:val="24"/>
          <w:lang w:val="lv-LV"/>
        </w:rPr>
        <w:t>.</w:t>
      </w:r>
    </w:p>
    <w:p w14:paraId="22070C12" w14:textId="77777777" w:rsidR="00FB323F" w:rsidRDefault="00FB323F" w:rsidP="00FB323F">
      <w:pPr>
        <w:pStyle w:val="Bezatstarpm"/>
        <w:spacing w:before="120"/>
        <w:jc w:val="both"/>
        <w:rPr>
          <w:rFonts w:ascii="Times New Roman" w:hAnsi="Times New Roman"/>
          <w:sz w:val="24"/>
          <w:szCs w:val="24"/>
          <w:lang w:val="lv-LV"/>
        </w:rPr>
      </w:pPr>
      <w:r w:rsidRPr="00C4206E">
        <w:rPr>
          <w:rFonts w:ascii="Times New Roman" w:hAnsi="Times New Roman"/>
          <w:sz w:val="24"/>
          <w:szCs w:val="24"/>
          <w:lang w:val="lv-LV"/>
        </w:rPr>
        <w:t>Projekts atbilst</w:t>
      </w:r>
      <w:r>
        <w:rPr>
          <w:rFonts w:ascii="Times New Roman" w:hAnsi="Times New Roman"/>
          <w:sz w:val="24"/>
          <w:szCs w:val="24"/>
          <w:lang w:val="lv-LV"/>
        </w:rPr>
        <w:t xml:space="preserve"> </w:t>
      </w:r>
      <w:r w:rsidRPr="008B10BA">
        <w:rPr>
          <w:rFonts w:ascii="Times New Roman" w:hAnsi="Times New Roman"/>
          <w:sz w:val="24"/>
          <w:szCs w:val="24"/>
          <w:lang w:val="lv-LV"/>
        </w:rPr>
        <w:t>Ādažu novada Ilgtspējīgas enerģētikas un klimata rīcības plān</w:t>
      </w:r>
      <w:r>
        <w:rPr>
          <w:rFonts w:ascii="Times New Roman" w:hAnsi="Times New Roman"/>
          <w:sz w:val="24"/>
          <w:szCs w:val="24"/>
          <w:lang w:val="lv-LV"/>
        </w:rPr>
        <w:t>am</w:t>
      </w:r>
      <w:r w:rsidRPr="008B10BA">
        <w:rPr>
          <w:rFonts w:ascii="Times New Roman" w:hAnsi="Times New Roman"/>
          <w:sz w:val="24"/>
          <w:szCs w:val="24"/>
          <w:lang w:val="lv-LV"/>
        </w:rPr>
        <w:t xml:space="preserve"> līdz 2030.gadam</w:t>
      </w:r>
      <w:r>
        <w:rPr>
          <w:rFonts w:ascii="Times New Roman" w:hAnsi="Times New Roman"/>
          <w:sz w:val="24"/>
          <w:szCs w:val="24"/>
          <w:lang w:val="lv-LV"/>
        </w:rPr>
        <w:t>:</w:t>
      </w:r>
    </w:p>
    <w:p w14:paraId="0366D8A6" w14:textId="77777777" w:rsidR="00FB323F" w:rsidRDefault="00FB323F" w:rsidP="00FB323F">
      <w:pPr>
        <w:pStyle w:val="Bezatstarpm"/>
        <w:numPr>
          <w:ilvl w:val="0"/>
          <w:numId w:val="4"/>
        </w:numPr>
        <w:spacing w:before="120"/>
        <w:jc w:val="both"/>
        <w:rPr>
          <w:rFonts w:ascii="Times New Roman" w:hAnsi="Times New Roman"/>
          <w:sz w:val="24"/>
          <w:szCs w:val="24"/>
          <w:lang w:val="lv-LV"/>
        </w:rPr>
      </w:pPr>
      <w:r>
        <w:rPr>
          <w:rFonts w:ascii="Times New Roman" w:hAnsi="Times New Roman"/>
          <w:sz w:val="24"/>
          <w:szCs w:val="24"/>
          <w:lang w:val="lv-LV"/>
        </w:rPr>
        <w:t>Pasākumam pašvaldības infrastruktūras uzlabošanā – “</w:t>
      </w:r>
      <w:r w:rsidRPr="001B6A4F">
        <w:rPr>
          <w:rFonts w:ascii="Times New Roman" w:hAnsi="Times New Roman"/>
          <w:sz w:val="24"/>
          <w:szCs w:val="24"/>
          <w:lang w:val="lv-LV"/>
        </w:rPr>
        <w:t>3.</w:t>
      </w:r>
      <w:r>
        <w:rPr>
          <w:rFonts w:ascii="Times New Roman" w:hAnsi="Times New Roman"/>
          <w:sz w:val="24"/>
          <w:szCs w:val="24"/>
          <w:lang w:val="lv-LV"/>
        </w:rPr>
        <w:t xml:space="preserve"> </w:t>
      </w:r>
      <w:r w:rsidRPr="001B6A4F">
        <w:rPr>
          <w:rFonts w:ascii="Times New Roman" w:hAnsi="Times New Roman"/>
          <w:sz w:val="24"/>
          <w:szCs w:val="24"/>
          <w:lang w:val="lv-LV"/>
        </w:rPr>
        <w:t>Pašvaldības ēku atjaunošana un atjaunojamo energoresursu plašāka lietošana</w:t>
      </w:r>
      <w:r>
        <w:rPr>
          <w:rFonts w:ascii="Times New Roman" w:hAnsi="Times New Roman"/>
          <w:sz w:val="24"/>
          <w:szCs w:val="24"/>
          <w:lang w:val="lv-LV"/>
        </w:rPr>
        <w:t>”;</w:t>
      </w:r>
    </w:p>
    <w:p w14:paraId="1B91FE12" w14:textId="77777777" w:rsidR="00FB323F" w:rsidRPr="00E16BF5" w:rsidRDefault="00FB323F" w:rsidP="00FB323F">
      <w:pPr>
        <w:pStyle w:val="Bezatstarpm"/>
        <w:numPr>
          <w:ilvl w:val="0"/>
          <w:numId w:val="4"/>
        </w:numPr>
        <w:spacing w:before="120"/>
        <w:jc w:val="both"/>
        <w:rPr>
          <w:rFonts w:ascii="Times New Roman" w:hAnsi="Times New Roman"/>
          <w:sz w:val="24"/>
          <w:szCs w:val="24"/>
          <w:lang w:val="lv-LV"/>
        </w:rPr>
      </w:pPr>
      <w:r>
        <w:rPr>
          <w:rFonts w:ascii="Times New Roman" w:hAnsi="Times New Roman"/>
          <w:sz w:val="24"/>
          <w:szCs w:val="24"/>
          <w:lang w:val="lv-LV"/>
        </w:rPr>
        <w:t xml:space="preserve">Pasākumam </w:t>
      </w:r>
      <w:r w:rsidRPr="008B10BA">
        <w:rPr>
          <w:rFonts w:ascii="Times New Roman" w:hAnsi="Times New Roman"/>
          <w:sz w:val="24"/>
          <w:szCs w:val="24"/>
          <w:lang w:val="lv-LV"/>
        </w:rPr>
        <w:t>enerģijas ražošanas un citos pakalpojuma sektoros</w:t>
      </w:r>
      <w:r>
        <w:rPr>
          <w:rFonts w:ascii="Times New Roman" w:hAnsi="Times New Roman"/>
          <w:sz w:val="24"/>
          <w:szCs w:val="24"/>
          <w:lang w:val="lv-LV"/>
        </w:rPr>
        <w:t xml:space="preserve"> – “2. AER izmantošanas veicināšana CSS”, “3. Jaunu siltumenerģijas patērētāju piesaiste CSS”.</w:t>
      </w:r>
    </w:p>
    <w:p w14:paraId="4ACCC0FF" w14:textId="45B46DB1" w:rsidR="00FB323F" w:rsidRPr="005E176B" w:rsidRDefault="00FB323F" w:rsidP="00FB323F">
      <w:pPr>
        <w:spacing w:before="120" w:after="120"/>
        <w:jc w:val="both"/>
        <w:rPr>
          <w:rFonts w:ascii="Times New Roman" w:hAnsi="Times New Roman" w:cs="Times New Roman"/>
          <w:bCs/>
        </w:rPr>
      </w:pPr>
      <w:r w:rsidRPr="005E176B">
        <w:rPr>
          <w:rFonts w:ascii="Times New Roman" w:hAnsi="Times New Roman" w:cs="Times New Roman"/>
          <w:bCs/>
        </w:rPr>
        <w:t xml:space="preserve">Pamatojoties uz </w:t>
      </w:r>
      <w:r w:rsidRPr="00E13915">
        <w:rPr>
          <w:rFonts w:ascii="Times New Roman" w:hAnsi="Times New Roman" w:cs="Times New Roman"/>
          <w:bCs/>
        </w:rPr>
        <w:t xml:space="preserve">Pašvaldību likuma 4. panta pirmās daļas 1. un 22. punktu, Enerģētikas likuma 50. pantu un 51. panta </w:t>
      </w:r>
      <w:r w:rsidR="00705ABF">
        <w:rPr>
          <w:rFonts w:ascii="Times New Roman" w:hAnsi="Times New Roman" w:cs="Times New Roman"/>
          <w:bCs/>
        </w:rPr>
        <w:t xml:space="preserve">pirmo, otro un </w:t>
      </w:r>
      <w:r w:rsidRPr="00E13915">
        <w:rPr>
          <w:rFonts w:ascii="Times New Roman" w:hAnsi="Times New Roman" w:cs="Times New Roman"/>
          <w:bCs/>
        </w:rPr>
        <w:t>trešo</w:t>
      </w:r>
      <w:r w:rsidR="00705ABF">
        <w:rPr>
          <w:rFonts w:ascii="Times New Roman" w:hAnsi="Times New Roman" w:cs="Times New Roman"/>
          <w:bCs/>
        </w:rPr>
        <w:t xml:space="preserve"> daļu</w:t>
      </w:r>
      <w:r w:rsidRPr="00E13915">
        <w:rPr>
          <w:rFonts w:ascii="Times New Roman" w:hAnsi="Times New Roman" w:cs="Times New Roman"/>
          <w:bCs/>
        </w:rPr>
        <w:t>, MK noteikumiem Nr. 20, Ādažu novada Attīstības programmas 2021.-2027. gadam VTP1, VTP5, VTP6, VTP14, Ādažu novada Ilgtspējīgas enerģētikas un klimata rīcības plānu līdz 2030.</w:t>
      </w:r>
      <w:r w:rsidR="00BD61A3">
        <w:rPr>
          <w:rFonts w:ascii="Times New Roman" w:hAnsi="Times New Roman" w:cs="Times New Roman"/>
          <w:bCs/>
        </w:rPr>
        <w:t> </w:t>
      </w:r>
      <w:r w:rsidRPr="00E13915">
        <w:rPr>
          <w:rFonts w:ascii="Times New Roman" w:hAnsi="Times New Roman" w:cs="Times New Roman"/>
          <w:bCs/>
        </w:rPr>
        <w:t xml:space="preserve">gadam, kā arī </w:t>
      </w:r>
      <w:r w:rsidR="00BD61A3">
        <w:rPr>
          <w:rFonts w:ascii="Times New Roman" w:hAnsi="Times New Roman" w:cs="Times New Roman"/>
          <w:bCs/>
        </w:rPr>
        <w:t xml:space="preserve">domes </w:t>
      </w:r>
      <w:r w:rsidRPr="00E13915">
        <w:rPr>
          <w:rFonts w:ascii="Times New Roman" w:hAnsi="Times New Roman" w:cs="Times New Roman"/>
          <w:bCs/>
        </w:rPr>
        <w:t>Finanšu komitejas 10.12.2025. atzinumu, Ādažu novada pašvaldības dome</w:t>
      </w:r>
    </w:p>
    <w:p w14:paraId="2C14C2EA" w14:textId="77777777" w:rsidR="00FB323F" w:rsidRPr="00564CA6" w:rsidRDefault="00FB323F" w:rsidP="00FB323F">
      <w:pPr>
        <w:spacing w:after="120"/>
        <w:jc w:val="center"/>
        <w:rPr>
          <w:rFonts w:ascii="Times New Roman" w:hAnsi="Times New Roman" w:cs="Times New Roman"/>
          <w:b/>
        </w:rPr>
      </w:pPr>
      <w:r w:rsidRPr="00564CA6">
        <w:rPr>
          <w:rFonts w:ascii="Times New Roman" w:hAnsi="Times New Roman" w:cs="Times New Roman"/>
          <w:b/>
        </w:rPr>
        <w:t>NOLEMJ:</w:t>
      </w:r>
    </w:p>
    <w:p w14:paraId="33866167" w14:textId="77777777" w:rsidR="00FB323F" w:rsidRPr="0090673C" w:rsidRDefault="00FB323F" w:rsidP="00FB323F">
      <w:pPr>
        <w:pStyle w:val="Default"/>
        <w:numPr>
          <w:ilvl w:val="0"/>
          <w:numId w:val="5"/>
        </w:numPr>
        <w:spacing w:before="120" w:after="120"/>
        <w:ind w:left="425" w:hanging="425"/>
        <w:jc w:val="both"/>
      </w:pPr>
      <w:r w:rsidRPr="00E13915">
        <w:rPr>
          <w:color w:val="auto"/>
        </w:rPr>
        <w:t xml:space="preserve">Konceptuāli atbalstīt Ādažu novada pašvaldības SIA “Ādažu Namsaimnieks” dalību 2.1.1.3. pasākuma “AER izmantošana un energoefektivitātes paaugstināšana centralizētajā siltumapgādē un aukstumapgādē” otrajā kārtā Projekta “Ādažu centrālās siltumapgādes sistēmas paplašināšana” īstenošanai, paredzot centralizētās siltumapgādes sistēmas paplašināšanu no Ādažu centra katlu mājas līdz ēkām Gaujas ielā 33A un Gaujas ielā 30, ar Projekta indikatīvajām būvdarbu izmaksām 517 500 </w:t>
      </w:r>
      <w:r w:rsidRPr="00C063F2">
        <w:rPr>
          <w:i/>
          <w:iCs/>
          <w:color w:val="auto"/>
        </w:rPr>
        <w:t>euro</w:t>
      </w:r>
      <w:r w:rsidRPr="00E13915">
        <w:rPr>
          <w:color w:val="auto"/>
        </w:rPr>
        <w:t xml:space="preserve"> (bez PVN) par būvdarbu daļu un ar to tieši saistītajām pozīcijām, uz kurām piemēro reverso PVN maksāšanas kārtību, kā arī ar Projekta īstenošanu saistītajām projekta vadības, autoruzraudzības, būvuzraudzības un citām attiecināmajām izmaksām, kuru apmērs tiks noteikts un precizēts atbilstoši iepirkuma procedūras rezultātiem un noslēgtajiem līgumiem.</w:t>
      </w:r>
    </w:p>
    <w:p w14:paraId="45537074" w14:textId="00A23B1F" w:rsidR="00FB323F" w:rsidRPr="0090673C" w:rsidRDefault="00FB323F" w:rsidP="00FB323F">
      <w:pPr>
        <w:pStyle w:val="Default"/>
        <w:numPr>
          <w:ilvl w:val="0"/>
          <w:numId w:val="5"/>
        </w:numPr>
        <w:spacing w:before="120" w:after="120"/>
        <w:ind w:left="425" w:hanging="425"/>
        <w:jc w:val="both"/>
        <w:rPr>
          <w:color w:val="auto"/>
        </w:rPr>
      </w:pPr>
      <w:r w:rsidRPr="00C063F2">
        <w:rPr>
          <w:color w:val="auto"/>
        </w:rPr>
        <w:t>Saskaņot, ka Projekta īstenošanai nepieciešamais finansējums – būvdarbu, autoruzraudzības, būvuzraudzības un Projekta vadības izmaksu segšanai – tiek iekļauts pašvaldības SIA “Ādažu Namsaimnieks” budžetā, Projekta finansējumu nodrošināt</w:t>
      </w:r>
      <w:r w:rsidR="00F94C01">
        <w:rPr>
          <w:color w:val="auto"/>
        </w:rPr>
        <w:t>,</w:t>
      </w:r>
      <w:r w:rsidRPr="00C063F2">
        <w:rPr>
          <w:color w:val="auto"/>
        </w:rPr>
        <w:t xml:space="preserve"> ņemot aizdevumu kredītiestādē, kam garantiju sniedz </w:t>
      </w:r>
      <w:r w:rsidRPr="00C063F2">
        <w:rPr>
          <w:rFonts w:eastAsia="Times New Roman"/>
          <w:lang w:eastAsia="lv-LV"/>
        </w:rPr>
        <w:t>sabiedrībā “Altum”</w:t>
      </w:r>
      <w:r w:rsidRPr="00C063F2">
        <w:rPr>
          <w:color w:val="auto"/>
        </w:rPr>
        <w:t xml:space="preserve"> bez Ādažu novada pašvaldības galvojuma un cita tieša finansiāla atbalsta no Ādažu novada pašvaldības budžeta</w:t>
      </w:r>
      <w:r>
        <w:rPr>
          <w:color w:val="auto"/>
        </w:rPr>
        <w:t xml:space="preserve">. </w:t>
      </w:r>
    </w:p>
    <w:p w14:paraId="2D0DE949" w14:textId="77777777" w:rsidR="00FB323F" w:rsidRDefault="00FB323F" w:rsidP="00FB323F">
      <w:pPr>
        <w:pStyle w:val="Default"/>
        <w:numPr>
          <w:ilvl w:val="0"/>
          <w:numId w:val="5"/>
        </w:numPr>
        <w:spacing w:before="120" w:after="120"/>
        <w:ind w:left="425" w:hanging="425"/>
        <w:jc w:val="both"/>
        <w:rPr>
          <w:color w:val="auto"/>
        </w:rPr>
      </w:pPr>
      <w:r w:rsidRPr="00C063F2">
        <w:rPr>
          <w:color w:val="auto"/>
        </w:rPr>
        <w:t>Noteikt, ka pašvaldības SIA “Ādažu Namsaimnieks”</w:t>
      </w:r>
      <w:r>
        <w:rPr>
          <w:color w:val="auto"/>
        </w:rPr>
        <w:t>:</w:t>
      </w:r>
    </w:p>
    <w:p w14:paraId="09BB5284" w14:textId="77777777" w:rsidR="00FB323F" w:rsidRPr="00C063F2" w:rsidRDefault="00FB323F" w:rsidP="00FB323F">
      <w:pPr>
        <w:pStyle w:val="Default"/>
        <w:numPr>
          <w:ilvl w:val="1"/>
          <w:numId w:val="5"/>
        </w:numPr>
        <w:spacing w:before="120" w:after="120"/>
        <w:jc w:val="both"/>
        <w:rPr>
          <w:rFonts w:eastAsia="Times New Roman"/>
          <w:lang w:eastAsia="lv-LV"/>
        </w:rPr>
      </w:pPr>
      <w:r w:rsidRPr="00C063F2">
        <w:rPr>
          <w:rFonts w:eastAsia="Times New Roman"/>
          <w:lang w:eastAsia="lv-LV"/>
        </w:rPr>
        <w:t xml:space="preserve">līdz </w:t>
      </w:r>
      <w:r>
        <w:rPr>
          <w:rFonts w:eastAsia="Times New Roman"/>
          <w:lang w:eastAsia="lv-LV"/>
        </w:rPr>
        <w:t>15.01.</w:t>
      </w:r>
      <w:r w:rsidRPr="00C063F2">
        <w:rPr>
          <w:rFonts w:eastAsia="Times New Roman"/>
          <w:lang w:eastAsia="lv-LV"/>
        </w:rPr>
        <w:t>2026. organizē pilnu tehniski ekonomiskā pamatojuma izstrādi Projekta īstenošanai;</w:t>
      </w:r>
    </w:p>
    <w:p w14:paraId="72593FE2" w14:textId="77777777" w:rsidR="00FB323F" w:rsidRDefault="00FB323F" w:rsidP="00FB323F">
      <w:pPr>
        <w:pStyle w:val="Default"/>
        <w:numPr>
          <w:ilvl w:val="1"/>
          <w:numId w:val="5"/>
        </w:numPr>
        <w:spacing w:before="120" w:after="120"/>
        <w:jc w:val="both"/>
        <w:rPr>
          <w:rFonts w:eastAsia="Times New Roman"/>
          <w:lang w:eastAsia="lv-LV"/>
        </w:rPr>
      </w:pPr>
      <w:r w:rsidRPr="00C063F2">
        <w:rPr>
          <w:rFonts w:eastAsia="Times New Roman"/>
          <w:lang w:eastAsia="lv-LV"/>
        </w:rPr>
        <w:t xml:space="preserve">līdz </w:t>
      </w:r>
      <w:r>
        <w:rPr>
          <w:rFonts w:eastAsia="Times New Roman"/>
          <w:lang w:eastAsia="lv-LV"/>
        </w:rPr>
        <w:t>01.02.</w:t>
      </w:r>
      <w:r w:rsidRPr="00C063F2">
        <w:rPr>
          <w:rFonts w:eastAsia="Times New Roman"/>
          <w:lang w:eastAsia="lv-LV"/>
        </w:rPr>
        <w:t>2026. organizē Projekta pieteikuma izstrādi un iesniegšanu sabiedrībā “Altum” atbilstoši MK noteikumiem Nr. 20</w:t>
      </w:r>
      <w:r>
        <w:rPr>
          <w:rFonts w:eastAsia="Times New Roman"/>
          <w:lang w:eastAsia="lv-LV"/>
        </w:rPr>
        <w:t>;</w:t>
      </w:r>
    </w:p>
    <w:p w14:paraId="7A06ACC0" w14:textId="460FD782" w:rsidR="00AF0DAA" w:rsidRDefault="00FB323F" w:rsidP="00FB323F">
      <w:pPr>
        <w:pStyle w:val="Default"/>
        <w:numPr>
          <w:ilvl w:val="1"/>
          <w:numId w:val="5"/>
        </w:numPr>
        <w:spacing w:before="120" w:after="120"/>
        <w:jc w:val="both"/>
        <w:rPr>
          <w:rFonts w:eastAsia="Times New Roman"/>
          <w:lang w:eastAsia="lv-LV"/>
        </w:rPr>
      </w:pPr>
      <w:r w:rsidRPr="00C063F2">
        <w:rPr>
          <w:rFonts w:eastAsia="Times New Roman"/>
          <w:lang w:eastAsia="lv-LV"/>
        </w:rPr>
        <w:t>Projekta apstiprināšanas gadījumā</w:t>
      </w:r>
      <w:r w:rsidR="006D5590">
        <w:rPr>
          <w:rFonts w:eastAsia="Times New Roman"/>
          <w:lang w:eastAsia="lv-LV"/>
        </w:rPr>
        <w:t>, pirms līguma par Projekta īstenošanu parakstīšan</w:t>
      </w:r>
      <w:r w:rsidR="00BD61A3">
        <w:rPr>
          <w:rFonts w:eastAsia="Times New Roman"/>
          <w:lang w:eastAsia="lv-LV"/>
        </w:rPr>
        <w:t>as</w:t>
      </w:r>
      <w:r w:rsidR="006D5590">
        <w:rPr>
          <w:rFonts w:eastAsia="Times New Roman"/>
          <w:lang w:eastAsia="lv-LV"/>
        </w:rPr>
        <w:t xml:space="preserve"> ar finansētāju,</w:t>
      </w:r>
      <w:r w:rsidR="00BD61A3">
        <w:rPr>
          <w:rFonts w:eastAsia="Times New Roman"/>
          <w:lang w:eastAsia="lv-LV"/>
        </w:rPr>
        <w:t xml:space="preserve"> </w:t>
      </w:r>
      <w:r w:rsidR="006D5590">
        <w:rPr>
          <w:rFonts w:eastAsia="Times New Roman"/>
          <w:lang w:eastAsia="lv-LV"/>
        </w:rPr>
        <w:t xml:space="preserve">informē par to domi, tai skaitā sniedzot informāciju par Projekta </w:t>
      </w:r>
      <w:r w:rsidR="00AF0DAA">
        <w:rPr>
          <w:rFonts w:eastAsia="Times New Roman"/>
          <w:lang w:eastAsia="lv-LV"/>
        </w:rPr>
        <w:t xml:space="preserve">realizācijas </w:t>
      </w:r>
      <w:r w:rsidR="006D5590">
        <w:rPr>
          <w:rFonts w:eastAsia="Times New Roman"/>
          <w:lang w:eastAsia="lv-LV"/>
        </w:rPr>
        <w:t xml:space="preserve">rezultātā </w:t>
      </w:r>
      <w:r w:rsidR="00AF0DAA">
        <w:rPr>
          <w:rFonts w:eastAsia="Times New Roman"/>
          <w:lang w:eastAsia="lv-LV"/>
        </w:rPr>
        <w:t xml:space="preserve">plānoto </w:t>
      </w:r>
      <w:r w:rsidR="006D5590">
        <w:rPr>
          <w:rFonts w:eastAsia="Times New Roman"/>
          <w:lang w:eastAsia="lv-LV"/>
        </w:rPr>
        <w:t>ietekmi uz siltumenerģijas tarifu</w:t>
      </w:r>
      <w:r w:rsidR="00AF0DAA">
        <w:rPr>
          <w:rFonts w:eastAsia="Times New Roman"/>
          <w:lang w:eastAsia="lv-LV"/>
        </w:rPr>
        <w:t>;</w:t>
      </w:r>
    </w:p>
    <w:p w14:paraId="64F4A833" w14:textId="47F41642" w:rsidR="00FB323F" w:rsidRPr="00C063F2" w:rsidRDefault="006D5590" w:rsidP="00FB323F">
      <w:pPr>
        <w:pStyle w:val="Default"/>
        <w:numPr>
          <w:ilvl w:val="1"/>
          <w:numId w:val="5"/>
        </w:numPr>
        <w:spacing w:before="120" w:after="120"/>
        <w:jc w:val="both"/>
        <w:rPr>
          <w:rFonts w:eastAsia="Times New Roman"/>
          <w:lang w:eastAsia="lv-LV"/>
        </w:rPr>
      </w:pPr>
      <w:r>
        <w:rPr>
          <w:rFonts w:eastAsia="Times New Roman"/>
          <w:lang w:eastAsia="lv-LV"/>
        </w:rPr>
        <w:t xml:space="preserve">  </w:t>
      </w:r>
      <w:r w:rsidR="00FB323F" w:rsidRPr="00C063F2">
        <w:rPr>
          <w:rFonts w:eastAsia="Times New Roman"/>
          <w:lang w:eastAsia="lv-LV"/>
        </w:rPr>
        <w:t>koordinē Projekta īstenošanu un nodrošina līgumu slēgšanu ar finansētāju;</w:t>
      </w:r>
    </w:p>
    <w:p w14:paraId="18E5AA56" w14:textId="77777777" w:rsidR="00FB323F" w:rsidRPr="00C063F2" w:rsidRDefault="00FB323F" w:rsidP="00FB323F">
      <w:pPr>
        <w:pStyle w:val="Default"/>
        <w:numPr>
          <w:ilvl w:val="1"/>
          <w:numId w:val="5"/>
        </w:numPr>
        <w:spacing w:before="120" w:after="120"/>
        <w:jc w:val="both"/>
        <w:rPr>
          <w:rFonts w:eastAsia="Times New Roman"/>
          <w:lang w:eastAsia="lv-LV"/>
        </w:rPr>
      </w:pPr>
      <w:r w:rsidRPr="00C063F2">
        <w:rPr>
          <w:rFonts w:eastAsia="Times New Roman"/>
          <w:lang w:eastAsia="lv-LV"/>
        </w:rPr>
        <w:t>paraksta ar Projekta pieteikuma izstrādi un īstenošanu saistītos dokumentus;</w:t>
      </w:r>
    </w:p>
    <w:p w14:paraId="3DC457BF" w14:textId="77777777" w:rsidR="00FB323F" w:rsidRPr="00144B7D" w:rsidRDefault="00FB323F" w:rsidP="00FB323F">
      <w:pPr>
        <w:pStyle w:val="Default"/>
        <w:numPr>
          <w:ilvl w:val="1"/>
          <w:numId w:val="5"/>
        </w:numPr>
        <w:spacing w:before="120" w:after="120"/>
        <w:jc w:val="both"/>
        <w:rPr>
          <w:color w:val="auto"/>
        </w:rPr>
      </w:pPr>
      <w:r w:rsidRPr="00C063F2">
        <w:rPr>
          <w:rFonts w:eastAsia="Times New Roman"/>
          <w:lang w:eastAsia="lv-LV"/>
        </w:rPr>
        <w:lastRenderedPageBreak/>
        <w:t>Projekta īstenošanā nodrošina Projekta ieguldījumu Ādažu novada Ilgtspējīgas enerģētikas un klimata rīcības plānā līdz 2030. gadam noteikto mērķu sasniegšanā</w:t>
      </w:r>
      <w:r w:rsidRPr="0090673C">
        <w:t>.</w:t>
      </w:r>
    </w:p>
    <w:p w14:paraId="7014ECCF" w14:textId="3D9B11A8" w:rsidR="009A2FFE" w:rsidRPr="00460626" w:rsidRDefault="00FB323F" w:rsidP="00761EC4">
      <w:pPr>
        <w:pStyle w:val="Default"/>
        <w:numPr>
          <w:ilvl w:val="0"/>
          <w:numId w:val="5"/>
        </w:numPr>
        <w:spacing w:before="120" w:after="120"/>
        <w:ind w:left="360" w:hanging="425"/>
        <w:jc w:val="both"/>
        <w:rPr>
          <w:color w:val="auto"/>
        </w:rPr>
      </w:pPr>
      <w:r w:rsidRPr="00C063F2">
        <w:t xml:space="preserve">Uzdot </w:t>
      </w:r>
      <w:r w:rsidR="00C33B96">
        <w:t xml:space="preserve">pašvaldības aģentūrai “Carnikavas komunālserviss” </w:t>
      </w:r>
      <w:r w:rsidR="009A2FFE" w:rsidRPr="00460626">
        <w:rPr>
          <w:color w:val="auto"/>
        </w:rPr>
        <w:t xml:space="preserve">sadarbībā ar pašvaldības SIA “Ādažu Namsaimnieks” organizēt siltummezglu projektēšanu (tostarp nepieciešamās tehniskās dokumentācijas izstrādi) un šo siltummezglu izbūves organizēšanu </w:t>
      </w:r>
      <w:r w:rsidR="00AF0DAA" w:rsidRPr="00460626">
        <w:rPr>
          <w:color w:val="auto"/>
        </w:rPr>
        <w:t xml:space="preserve">ēkām Gaujas iela 30, un Gaujas iela 33A, Ādažos,  </w:t>
      </w:r>
      <w:r w:rsidR="009A2FFE" w:rsidRPr="00460626">
        <w:rPr>
          <w:color w:val="auto"/>
        </w:rPr>
        <w:t>atbilstoši spēkā esošajiem būvniecības normatīvajiem aktiem un Projekta īstenošanas grafikam.</w:t>
      </w:r>
    </w:p>
    <w:p w14:paraId="1660CAC8" w14:textId="7456A376" w:rsidR="00C33B96" w:rsidRDefault="00C33B96" w:rsidP="00761EC4">
      <w:pPr>
        <w:pStyle w:val="Default"/>
        <w:spacing w:before="120" w:after="120"/>
        <w:ind w:left="360" w:hanging="360"/>
        <w:jc w:val="both"/>
        <w:rPr>
          <w:color w:val="auto"/>
        </w:rPr>
      </w:pPr>
      <w:r>
        <w:rPr>
          <w:color w:val="auto"/>
        </w:rPr>
        <w:t xml:space="preserve">5. </w:t>
      </w:r>
      <w:r w:rsidR="00460626">
        <w:rPr>
          <w:color w:val="auto"/>
        </w:rPr>
        <w:t xml:space="preserve">  </w:t>
      </w:r>
      <w:r>
        <w:rPr>
          <w:color w:val="auto"/>
        </w:rPr>
        <w:t xml:space="preserve">Lēmuma 4. punktā izpildei paredzēt </w:t>
      </w:r>
      <w:r w:rsidR="006D5590">
        <w:rPr>
          <w:color w:val="auto"/>
        </w:rPr>
        <w:t xml:space="preserve">2026.gada budžetā </w:t>
      </w:r>
      <w:r w:rsidR="00AF0DAA">
        <w:rPr>
          <w:color w:val="auto"/>
        </w:rPr>
        <w:t xml:space="preserve">līdzekļus </w:t>
      </w:r>
      <w:r w:rsidR="00AF0DAA" w:rsidRPr="00761EC4">
        <w:rPr>
          <w:color w:val="auto"/>
          <w:highlight w:val="yellow"/>
        </w:rPr>
        <w:t>EUR</w:t>
      </w:r>
      <w:r w:rsidR="00AF0DAA">
        <w:rPr>
          <w:color w:val="auto"/>
        </w:rPr>
        <w:t xml:space="preserve">  </w:t>
      </w:r>
      <w:r w:rsidR="006D5590">
        <w:rPr>
          <w:color w:val="auto"/>
        </w:rPr>
        <w:t xml:space="preserve"> </w:t>
      </w:r>
    </w:p>
    <w:p w14:paraId="7A32ACC3" w14:textId="666F806A" w:rsidR="00FB323F" w:rsidRPr="00E56834" w:rsidRDefault="00460626" w:rsidP="00460626">
      <w:pPr>
        <w:pStyle w:val="Default"/>
        <w:numPr>
          <w:ilvl w:val="0"/>
          <w:numId w:val="7"/>
        </w:numPr>
        <w:ind w:left="284" w:hanging="284"/>
        <w:jc w:val="both"/>
      </w:pPr>
      <w:r>
        <w:t xml:space="preserve"> </w:t>
      </w:r>
      <w:r w:rsidR="00FB323F" w:rsidRPr="0090673C">
        <w:t>Pašvaldības izpilddirektora</w:t>
      </w:r>
      <w:r w:rsidR="00FB323F">
        <w:t>m</w:t>
      </w:r>
      <w:r w:rsidR="00FB323F" w:rsidRPr="0090673C">
        <w:t xml:space="preserve"> 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2B2EB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2B2EB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CC41C91" w14:textId="77777777" w:rsidR="002B2EB8" w:rsidRDefault="002B2EB8" w:rsidP="00FB323F">
      <w:pPr>
        <w:jc w:val="both"/>
        <w:rPr>
          <w:rFonts w:ascii="Times New Roman" w:hAnsi="Times New Roman" w:cs="Times New Roman"/>
        </w:rPr>
      </w:pPr>
    </w:p>
    <w:p w14:paraId="27977672" w14:textId="0FFD2012" w:rsidR="00FB323F" w:rsidRPr="00564CA6" w:rsidRDefault="00FB323F" w:rsidP="00FB323F">
      <w:pPr>
        <w:jc w:val="both"/>
        <w:rPr>
          <w:rFonts w:ascii="Times New Roman" w:hAnsi="Times New Roman" w:cs="Times New Roman"/>
        </w:rPr>
      </w:pPr>
      <w:r w:rsidRPr="00564CA6">
        <w:rPr>
          <w:rFonts w:ascii="Times New Roman" w:hAnsi="Times New Roman" w:cs="Times New Roman"/>
        </w:rPr>
        <w:t>__________________________</w:t>
      </w:r>
    </w:p>
    <w:p w14:paraId="78A7B054" w14:textId="77777777" w:rsidR="00FB323F" w:rsidRPr="00564CA6" w:rsidRDefault="00FB323F" w:rsidP="00FB323F">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4249135" w14:textId="77777777" w:rsidR="00FB323F" w:rsidRPr="00144B7D" w:rsidRDefault="00FB323F" w:rsidP="00FB323F">
      <w:pPr>
        <w:jc w:val="both"/>
        <w:rPr>
          <w:rFonts w:ascii="Times New Roman" w:hAnsi="Times New Roman" w:cs="Times New Roman"/>
        </w:rPr>
      </w:pPr>
      <w:r w:rsidRPr="00144B7D">
        <w:rPr>
          <w:rFonts w:ascii="Times New Roman" w:hAnsi="Times New Roman" w:cs="Times New Roman"/>
        </w:rPr>
        <w:t>SIA “Ādažu Namsaimnieks”,</w:t>
      </w:r>
      <w:r>
        <w:rPr>
          <w:rFonts w:ascii="Times New Roman" w:hAnsi="Times New Roman" w:cs="Times New Roman"/>
        </w:rPr>
        <w:t xml:space="preserve"> JIN, NĪN,</w:t>
      </w:r>
      <w:r w:rsidRPr="00144B7D">
        <w:rPr>
          <w:rFonts w:ascii="Times New Roman" w:hAnsi="Times New Roman" w:cs="Times New Roman"/>
        </w:rPr>
        <w:t xml:space="preserve"> APN, FIN, IDR - @</w:t>
      </w:r>
    </w:p>
    <w:p w14:paraId="19E3807D" w14:textId="77777777" w:rsidR="00FB323F" w:rsidRPr="00144B7D" w:rsidRDefault="00FB323F" w:rsidP="00FB323F">
      <w:pPr>
        <w:jc w:val="both"/>
        <w:rPr>
          <w:rFonts w:ascii="Times New Roman" w:hAnsi="Times New Roman" w:cs="Times New Roman"/>
        </w:rPr>
      </w:pPr>
    </w:p>
    <w:p w14:paraId="6955A864" w14:textId="0C6EA221" w:rsidR="00564CA6" w:rsidRPr="00FB323F" w:rsidRDefault="00FB323F" w:rsidP="00FB323F">
      <w:pPr>
        <w:jc w:val="both"/>
        <w:rPr>
          <w:rFonts w:ascii="Times New Roman" w:hAnsi="Times New Roman" w:cs="Times New Roman"/>
        </w:rPr>
      </w:pPr>
      <w:r w:rsidRPr="00144B7D">
        <w:rPr>
          <w:rFonts w:ascii="Times New Roman" w:hAnsi="Times New Roman" w:cs="Times New Roman"/>
        </w:rPr>
        <w:t>Pērkone, 27336847</w:t>
      </w:r>
    </w:p>
    <w:sectPr w:rsidR="00564CA6" w:rsidRPr="00FB323F"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BDEA3" w14:textId="77777777" w:rsidR="00B33CF6" w:rsidRDefault="00B33CF6">
      <w:r>
        <w:separator/>
      </w:r>
    </w:p>
  </w:endnote>
  <w:endnote w:type="continuationSeparator" w:id="0">
    <w:p w14:paraId="26281796" w14:textId="77777777" w:rsidR="00B33CF6" w:rsidRDefault="00B3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2750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B2EB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19ECE" w14:textId="77777777" w:rsidR="00B33CF6" w:rsidRDefault="00B33CF6">
      <w:r>
        <w:separator/>
      </w:r>
    </w:p>
  </w:footnote>
  <w:footnote w:type="continuationSeparator" w:id="0">
    <w:p w14:paraId="51D688CA" w14:textId="77777777" w:rsidR="00B33CF6" w:rsidRDefault="00B33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4142ABC">
      <w:start w:val="1"/>
      <w:numFmt w:val="decimal"/>
      <w:lvlText w:val="%1."/>
      <w:lvlJc w:val="left"/>
      <w:pPr>
        <w:ind w:left="720" w:hanging="360"/>
      </w:pPr>
      <w:rPr>
        <w:rFonts w:hint="default"/>
      </w:rPr>
    </w:lvl>
    <w:lvl w:ilvl="1" w:tplc="FBB62396" w:tentative="1">
      <w:start w:val="1"/>
      <w:numFmt w:val="lowerLetter"/>
      <w:lvlText w:val="%2."/>
      <w:lvlJc w:val="left"/>
      <w:pPr>
        <w:ind w:left="1440" w:hanging="360"/>
      </w:pPr>
    </w:lvl>
    <w:lvl w:ilvl="2" w:tplc="A574010C" w:tentative="1">
      <w:start w:val="1"/>
      <w:numFmt w:val="lowerRoman"/>
      <w:lvlText w:val="%3."/>
      <w:lvlJc w:val="right"/>
      <w:pPr>
        <w:ind w:left="2160" w:hanging="180"/>
      </w:pPr>
    </w:lvl>
    <w:lvl w:ilvl="3" w:tplc="97FC275C" w:tentative="1">
      <w:start w:val="1"/>
      <w:numFmt w:val="decimal"/>
      <w:lvlText w:val="%4."/>
      <w:lvlJc w:val="left"/>
      <w:pPr>
        <w:ind w:left="2880" w:hanging="360"/>
      </w:pPr>
    </w:lvl>
    <w:lvl w:ilvl="4" w:tplc="38080378" w:tentative="1">
      <w:start w:val="1"/>
      <w:numFmt w:val="lowerLetter"/>
      <w:lvlText w:val="%5."/>
      <w:lvlJc w:val="left"/>
      <w:pPr>
        <w:ind w:left="3600" w:hanging="360"/>
      </w:pPr>
    </w:lvl>
    <w:lvl w:ilvl="5" w:tplc="6ED07B32" w:tentative="1">
      <w:start w:val="1"/>
      <w:numFmt w:val="lowerRoman"/>
      <w:lvlText w:val="%6."/>
      <w:lvlJc w:val="right"/>
      <w:pPr>
        <w:ind w:left="4320" w:hanging="180"/>
      </w:pPr>
    </w:lvl>
    <w:lvl w:ilvl="6" w:tplc="B46073FC" w:tentative="1">
      <w:start w:val="1"/>
      <w:numFmt w:val="decimal"/>
      <w:lvlText w:val="%7."/>
      <w:lvlJc w:val="left"/>
      <w:pPr>
        <w:ind w:left="5040" w:hanging="360"/>
      </w:pPr>
    </w:lvl>
    <w:lvl w:ilvl="7" w:tplc="2C3A0816" w:tentative="1">
      <w:start w:val="1"/>
      <w:numFmt w:val="lowerLetter"/>
      <w:lvlText w:val="%8."/>
      <w:lvlJc w:val="left"/>
      <w:pPr>
        <w:ind w:left="5760" w:hanging="360"/>
      </w:pPr>
    </w:lvl>
    <w:lvl w:ilvl="8" w:tplc="832CA5F8" w:tentative="1">
      <w:start w:val="1"/>
      <w:numFmt w:val="lowerRoman"/>
      <w:lvlText w:val="%9."/>
      <w:lvlJc w:val="right"/>
      <w:pPr>
        <w:ind w:left="6480" w:hanging="180"/>
      </w:pPr>
    </w:lvl>
  </w:abstractNum>
  <w:abstractNum w:abstractNumId="1" w15:restartNumberingAfterBreak="0">
    <w:nsid w:val="15F50886"/>
    <w:multiLevelType w:val="hybridMultilevel"/>
    <w:tmpl w:val="696CAFD2"/>
    <w:lvl w:ilvl="0" w:tplc="B580A470">
      <w:start w:val="1"/>
      <w:numFmt w:val="bullet"/>
      <w:lvlText w:val=""/>
      <w:lvlJc w:val="left"/>
      <w:pPr>
        <w:ind w:left="720" w:hanging="360"/>
      </w:pPr>
      <w:rPr>
        <w:rFonts w:ascii="Symbol" w:hAnsi="Symbol" w:hint="default"/>
      </w:rPr>
    </w:lvl>
    <w:lvl w:ilvl="1" w:tplc="D08ABC52" w:tentative="1">
      <w:start w:val="1"/>
      <w:numFmt w:val="bullet"/>
      <w:lvlText w:val="o"/>
      <w:lvlJc w:val="left"/>
      <w:pPr>
        <w:ind w:left="1440" w:hanging="360"/>
      </w:pPr>
      <w:rPr>
        <w:rFonts w:ascii="Courier New" w:hAnsi="Courier New" w:cs="Courier New" w:hint="default"/>
      </w:rPr>
    </w:lvl>
    <w:lvl w:ilvl="2" w:tplc="4692D916" w:tentative="1">
      <w:start w:val="1"/>
      <w:numFmt w:val="bullet"/>
      <w:lvlText w:val=""/>
      <w:lvlJc w:val="left"/>
      <w:pPr>
        <w:ind w:left="2160" w:hanging="360"/>
      </w:pPr>
      <w:rPr>
        <w:rFonts w:ascii="Wingdings" w:hAnsi="Wingdings" w:hint="default"/>
      </w:rPr>
    </w:lvl>
    <w:lvl w:ilvl="3" w:tplc="A742FDD4" w:tentative="1">
      <w:start w:val="1"/>
      <w:numFmt w:val="bullet"/>
      <w:lvlText w:val=""/>
      <w:lvlJc w:val="left"/>
      <w:pPr>
        <w:ind w:left="2880" w:hanging="360"/>
      </w:pPr>
      <w:rPr>
        <w:rFonts w:ascii="Symbol" w:hAnsi="Symbol" w:hint="default"/>
      </w:rPr>
    </w:lvl>
    <w:lvl w:ilvl="4" w:tplc="45CCEF1C" w:tentative="1">
      <w:start w:val="1"/>
      <w:numFmt w:val="bullet"/>
      <w:lvlText w:val="o"/>
      <w:lvlJc w:val="left"/>
      <w:pPr>
        <w:ind w:left="3600" w:hanging="360"/>
      </w:pPr>
      <w:rPr>
        <w:rFonts w:ascii="Courier New" w:hAnsi="Courier New" w:cs="Courier New" w:hint="default"/>
      </w:rPr>
    </w:lvl>
    <w:lvl w:ilvl="5" w:tplc="91AE2C56" w:tentative="1">
      <w:start w:val="1"/>
      <w:numFmt w:val="bullet"/>
      <w:lvlText w:val=""/>
      <w:lvlJc w:val="left"/>
      <w:pPr>
        <w:ind w:left="4320" w:hanging="360"/>
      </w:pPr>
      <w:rPr>
        <w:rFonts w:ascii="Wingdings" w:hAnsi="Wingdings" w:hint="default"/>
      </w:rPr>
    </w:lvl>
    <w:lvl w:ilvl="6" w:tplc="3CD8AAB8" w:tentative="1">
      <w:start w:val="1"/>
      <w:numFmt w:val="bullet"/>
      <w:lvlText w:val=""/>
      <w:lvlJc w:val="left"/>
      <w:pPr>
        <w:ind w:left="5040" w:hanging="360"/>
      </w:pPr>
      <w:rPr>
        <w:rFonts w:ascii="Symbol" w:hAnsi="Symbol" w:hint="default"/>
      </w:rPr>
    </w:lvl>
    <w:lvl w:ilvl="7" w:tplc="F9365924" w:tentative="1">
      <w:start w:val="1"/>
      <w:numFmt w:val="bullet"/>
      <w:lvlText w:val="o"/>
      <w:lvlJc w:val="left"/>
      <w:pPr>
        <w:ind w:left="5760" w:hanging="360"/>
      </w:pPr>
      <w:rPr>
        <w:rFonts w:ascii="Courier New" w:hAnsi="Courier New" w:cs="Courier New" w:hint="default"/>
      </w:rPr>
    </w:lvl>
    <w:lvl w:ilvl="8" w:tplc="0F56BA40" w:tentative="1">
      <w:start w:val="1"/>
      <w:numFmt w:val="bullet"/>
      <w:lvlText w:val=""/>
      <w:lvlJc w:val="left"/>
      <w:pPr>
        <w:ind w:left="6480" w:hanging="360"/>
      </w:pPr>
      <w:rPr>
        <w:rFonts w:ascii="Wingdings" w:hAnsi="Wingdings" w:hint="default"/>
      </w:rPr>
    </w:lvl>
  </w:abstractNum>
  <w:abstractNum w:abstractNumId="2" w15:restartNumberingAfterBreak="0">
    <w:nsid w:val="161275AC"/>
    <w:multiLevelType w:val="hybridMultilevel"/>
    <w:tmpl w:val="4B9CF7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B0371A"/>
    <w:multiLevelType w:val="multilevel"/>
    <w:tmpl w:val="A4C46FA4"/>
    <w:lvl w:ilvl="0">
      <w:start w:val="6"/>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88213F0"/>
    <w:multiLevelType w:val="hybridMultilevel"/>
    <w:tmpl w:val="37D08746"/>
    <w:lvl w:ilvl="0" w:tplc="95A0A56C">
      <w:start w:val="1"/>
      <w:numFmt w:val="bullet"/>
      <w:lvlText w:val=""/>
      <w:lvlJc w:val="left"/>
      <w:pPr>
        <w:ind w:left="720" w:hanging="360"/>
      </w:pPr>
      <w:rPr>
        <w:rFonts w:ascii="Symbol" w:hAnsi="Symbol" w:hint="default"/>
      </w:rPr>
    </w:lvl>
    <w:lvl w:ilvl="1" w:tplc="93CA1690">
      <w:start w:val="1"/>
      <w:numFmt w:val="bullet"/>
      <w:lvlText w:val="o"/>
      <w:lvlJc w:val="left"/>
      <w:pPr>
        <w:ind w:left="1440" w:hanging="360"/>
      </w:pPr>
      <w:rPr>
        <w:rFonts w:ascii="Courier New" w:hAnsi="Courier New" w:cs="Courier New" w:hint="default"/>
      </w:rPr>
    </w:lvl>
    <w:lvl w:ilvl="2" w:tplc="0C78CEAE" w:tentative="1">
      <w:start w:val="1"/>
      <w:numFmt w:val="bullet"/>
      <w:lvlText w:val=""/>
      <w:lvlJc w:val="left"/>
      <w:pPr>
        <w:ind w:left="2160" w:hanging="360"/>
      </w:pPr>
      <w:rPr>
        <w:rFonts w:ascii="Wingdings" w:hAnsi="Wingdings" w:hint="default"/>
      </w:rPr>
    </w:lvl>
    <w:lvl w:ilvl="3" w:tplc="62E0C26E" w:tentative="1">
      <w:start w:val="1"/>
      <w:numFmt w:val="bullet"/>
      <w:lvlText w:val=""/>
      <w:lvlJc w:val="left"/>
      <w:pPr>
        <w:ind w:left="2880" w:hanging="360"/>
      </w:pPr>
      <w:rPr>
        <w:rFonts w:ascii="Symbol" w:hAnsi="Symbol" w:hint="default"/>
      </w:rPr>
    </w:lvl>
    <w:lvl w:ilvl="4" w:tplc="AA96B8C4" w:tentative="1">
      <w:start w:val="1"/>
      <w:numFmt w:val="bullet"/>
      <w:lvlText w:val="o"/>
      <w:lvlJc w:val="left"/>
      <w:pPr>
        <w:ind w:left="3600" w:hanging="360"/>
      </w:pPr>
      <w:rPr>
        <w:rFonts w:ascii="Courier New" w:hAnsi="Courier New" w:cs="Courier New" w:hint="default"/>
      </w:rPr>
    </w:lvl>
    <w:lvl w:ilvl="5" w:tplc="B380E9B2" w:tentative="1">
      <w:start w:val="1"/>
      <w:numFmt w:val="bullet"/>
      <w:lvlText w:val=""/>
      <w:lvlJc w:val="left"/>
      <w:pPr>
        <w:ind w:left="4320" w:hanging="360"/>
      </w:pPr>
      <w:rPr>
        <w:rFonts w:ascii="Wingdings" w:hAnsi="Wingdings" w:hint="default"/>
      </w:rPr>
    </w:lvl>
    <w:lvl w:ilvl="6" w:tplc="146A66EC" w:tentative="1">
      <w:start w:val="1"/>
      <w:numFmt w:val="bullet"/>
      <w:lvlText w:val=""/>
      <w:lvlJc w:val="left"/>
      <w:pPr>
        <w:ind w:left="5040" w:hanging="360"/>
      </w:pPr>
      <w:rPr>
        <w:rFonts w:ascii="Symbol" w:hAnsi="Symbol" w:hint="default"/>
      </w:rPr>
    </w:lvl>
    <w:lvl w:ilvl="7" w:tplc="FAFC2EE2" w:tentative="1">
      <w:start w:val="1"/>
      <w:numFmt w:val="bullet"/>
      <w:lvlText w:val="o"/>
      <w:lvlJc w:val="left"/>
      <w:pPr>
        <w:ind w:left="5760" w:hanging="360"/>
      </w:pPr>
      <w:rPr>
        <w:rFonts w:ascii="Courier New" w:hAnsi="Courier New" w:cs="Courier New" w:hint="default"/>
      </w:rPr>
    </w:lvl>
    <w:lvl w:ilvl="8" w:tplc="FDD212DC" w:tentative="1">
      <w:start w:val="1"/>
      <w:numFmt w:val="bullet"/>
      <w:lvlText w:val=""/>
      <w:lvlJc w:val="left"/>
      <w:pPr>
        <w:ind w:left="6480" w:hanging="360"/>
      </w:pPr>
      <w:rPr>
        <w:rFonts w:ascii="Wingdings" w:hAnsi="Wingdings" w:hint="default"/>
      </w:rPr>
    </w:lvl>
  </w:abstractNum>
  <w:abstractNum w:abstractNumId="6" w15:restartNumberingAfterBreak="0">
    <w:nsid w:val="6B1007B7"/>
    <w:multiLevelType w:val="multilevel"/>
    <w:tmpl w:val="60FAB01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4"/>
  </w:num>
  <w:num w:numId="2" w16cid:durableId="1964530278">
    <w:abstractNumId w:val="0"/>
  </w:num>
  <w:num w:numId="3" w16cid:durableId="1054893917">
    <w:abstractNumId w:val="5"/>
  </w:num>
  <w:num w:numId="4" w16cid:durableId="79910974">
    <w:abstractNumId w:val="1"/>
  </w:num>
  <w:num w:numId="5" w16cid:durableId="1405755543">
    <w:abstractNumId w:val="6"/>
  </w:num>
  <w:num w:numId="6" w16cid:durableId="78722358">
    <w:abstractNumId w:val="2"/>
  </w:num>
  <w:num w:numId="7" w16cid:durableId="768543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F028B"/>
    <w:rsid w:val="0012092C"/>
    <w:rsid w:val="00147221"/>
    <w:rsid w:val="00195A73"/>
    <w:rsid w:val="001A297B"/>
    <w:rsid w:val="002256E6"/>
    <w:rsid w:val="0025391B"/>
    <w:rsid w:val="00297558"/>
    <w:rsid w:val="002B2EB8"/>
    <w:rsid w:val="002D53F6"/>
    <w:rsid w:val="00306CBF"/>
    <w:rsid w:val="003338B8"/>
    <w:rsid w:val="00351D48"/>
    <w:rsid w:val="003C0777"/>
    <w:rsid w:val="003C401E"/>
    <w:rsid w:val="00460626"/>
    <w:rsid w:val="0047683A"/>
    <w:rsid w:val="004D516C"/>
    <w:rsid w:val="00521C00"/>
    <w:rsid w:val="0053073B"/>
    <w:rsid w:val="00543508"/>
    <w:rsid w:val="00564CA6"/>
    <w:rsid w:val="005C7FA1"/>
    <w:rsid w:val="00617AAC"/>
    <w:rsid w:val="00665D92"/>
    <w:rsid w:val="00686D72"/>
    <w:rsid w:val="00693F05"/>
    <w:rsid w:val="006D3451"/>
    <w:rsid w:val="006D513B"/>
    <w:rsid w:val="006D5590"/>
    <w:rsid w:val="00705ABF"/>
    <w:rsid w:val="0074092B"/>
    <w:rsid w:val="00761EC4"/>
    <w:rsid w:val="00780565"/>
    <w:rsid w:val="0079484F"/>
    <w:rsid w:val="007B4DDB"/>
    <w:rsid w:val="007C211E"/>
    <w:rsid w:val="007F419F"/>
    <w:rsid w:val="008257F8"/>
    <w:rsid w:val="00854FAA"/>
    <w:rsid w:val="0089586F"/>
    <w:rsid w:val="008E3846"/>
    <w:rsid w:val="009139A1"/>
    <w:rsid w:val="00931891"/>
    <w:rsid w:val="00996740"/>
    <w:rsid w:val="009A2FFE"/>
    <w:rsid w:val="009A3989"/>
    <w:rsid w:val="009B7F8F"/>
    <w:rsid w:val="00A23EB7"/>
    <w:rsid w:val="00A254B5"/>
    <w:rsid w:val="00A52B04"/>
    <w:rsid w:val="00AE4C57"/>
    <w:rsid w:val="00AF0DAA"/>
    <w:rsid w:val="00B0000F"/>
    <w:rsid w:val="00B33CF6"/>
    <w:rsid w:val="00B36CD4"/>
    <w:rsid w:val="00B4014F"/>
    <w:rsid w:val="00B47C10"/>
    <w:rsid w:val="00BB16A4"/>
    <w:rsid w:val="00BD61A3"/>
    <w:rsid w:val="00BE75D1"/>
    <w:rsid w:val="00C25F7E"/>
    <w:rsid w:val="00C33B96"/>
    <w:rsid w:val="00C82360"/>
    <w:rsid w:val="00C9477C"/>
    <w:rsid w:val="00CA505D"/>
    <w:rsid w:val="00CC1B2F"/>
    <w:rsid w:val="00CF16C2"/>
    <w:rsid w:val="00D51C8B"/>
    <w:rsid w:val="00D86969"/>
    <w:rsid w:val="00E52DA2"/>
    <w:rsid w:val="00E75D8D"/>
    <w:rsid w:val="00EF06E1"/>
    <w:rsid w:val="00F94C01"/>
    <w:rsid w:val="00FA29A3"/>
    <w:rsid w:val="00FB32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link w:val="BezatstarpmRakstz"/>
    <w:uiPriority w:val="1"/>
    <w:qFormat/>
    <w:rsid w:val="00FB323F"/>
    <w:pPr>
      <w:widowControl w:val="0"/>
    </w:pPr>
    <w:rPr>
      <w:rFonts w:ascii="Calibri" w:eastAsia="Calibri" w:hAnsi="Calibri" w:cs="Times New Roman"/>
      <w:sz w:val="22"/>
      <w:szCs w:val="22"/>
      <w:lang w:val="en-US"/>
    </w:rPr>
  </w:style>
  <w:style w:type="paragraph" w:styleId="Sarakstarindkopa">
    <w:name w:val="List Paragraph"/>
    <w:basedOn w:val="Parasts"/>
    <w:uiPriority w:val="34"/>
    <w:qFormat/>
    <w:rsid w:val="00FB323F"/>
    <w:pPr>
      <w:spacing w:after="120"/>
      <w:ind w:left="720"/>
      <w:contextualSpacing/>
      <w:jc w:val="both"/>
    </w:pPr>
    <w:rPr>
      <w:rFonts w:ascii="Times New Roman" w:hAnsi="Times New Roman" w:cs="Times New Roman"/>
    </w:rPr>
  </w:style>
  <w:style w:type="character" w:customStyle="1" w:styleId="BezatstarpmRakstz">
    <w:name w:val="Bez atstarpēm Rakstz."/>
    <w:link w:val="Bezatstarpm"/>
    <w:uiPriority w:val="1"/>
    <w:locked/>
    <w:rsid w:val="00FB323F"/>
    <w:rPr>
      <w:rFonts w:ascii="Calibri" w:eastAsia="Calibri" w:hAnsi="Calibri" w:cs="Times New Roman"/>
      <w:sz w:val="22"/>
      <w:szCs w:val="22"/>
      <w:lang w:val="en-US"/>
    </w:rPr>
  </w:style>
  <w:style w:type="paragraph" w:customStyle="1" w:styleId="Default">
    <w:name w:val="Default"/>
    <w:rsid w:val="00FB323F"/>
    <w:pPr>
      <w:autoSpaceDE w:val="0"/>
      <w:autoSpaceDN w:val="0"/>
      <w:adjustRightInd w:val="0"/>
    </w:pPr>
    <w:rPr>
      <w:rFonts w:ascii="Times New Roman" w:hAnsi="Times New Roman" w:cs="Times New Roman"/>
      <w:color w:val="000000"/>
    </w:rPr>
  </w:style>
  <w:style w:type="paragraph" w:styleId="Prskatjums">
    <w:name w:val="Revision"/>
    <w:hidden/>
    <w:uiPriority w:val="99"/>
    <w:semiHidden/>
    <w:rsid w:val="00476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6</Pages>
  <Words>11823</Words>
  <Characters>6740</Characters>
  <Application>Microsoft Office Word</Application>
  <DocSecurity>0</DocSecurity>
  <Lines>56</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31</cp:revision>
  <dcterms:created xsi:type="dcterms:W3CDTF">2024-06-01T14:06:00Z</dcterms:created>
  <dcterms:modified xsi:type="dcterms:W3CDTF">2025-12-15T13:51:00Z</dcterms:modified>
</cp:coreProperties>
</file>