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D07" w14:textId="77777777" w:rsidR="004D516C" w:rsidRDefault="00C96006" w:rsidP="00564CA6">
      <w:r>
        <w:rPr>
          <w:noProof/>
        </w:rPr>
        <w:drawing>
          <wp:inline distT="0" distB="0" distL="0" distR="0" wp14:anchorId="0F1EB3C3" wp14:editId="27E3034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B8C7" w14:textId="0AD5C7CA" w:rsidR="00564CA6" w:rsidRPr="00564CA6" w:rsidRDefault="00C96006" w:rsidP="00E5595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F68B7FF" w14:textId="4A2C5804" w:rsidR="00320E03" w:rsidRDefault="00C96006" w:rsidP="00564CA6">
      <w:pPr>
        <w:rPr>
          <w:rFonts w:ascii="Times New Roman" w:hAnsi="Times New Roman" w:cs="Times New Roman"/>
          <w:noProof/>
          <w:color w:val="000000" w:themeColor="text1"/>
        </w:rPr>
      </w:pPr>
      <w:r w:rsidRPr="00564CA6">
        <w:rPr>
          <w:rFonts w:ascii="Times New Roman" w:hAnsi="Times New Roman" w:cs="Times New Roman"/>
          <w:noProof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</w:p>
    <w:p w14:paraId="0FCA6E70" w14:textId="77777777" w:rsidR="00E55954" w:rsidRDefault="00E55954" w:rsidP="00564CA6">
      <w:pPr>
        <w:rPr>
          <w:rFonts w:ascii="Times New Roman" w:hAnsi="Times New Roman" w:cs="Times New Roman"/>
          <w:color w:val="000000" w:themeColor="text1"/>
        </w:rPr>
      </w:pPr>
    </w:p>
    <w:p w14:paraId="14E77D55" w14:textId="7D9C5145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</w:t>
      </w:r>
      <w:r w:rsidRPr="00DB6CDC">
        <w:rPr>
          <w:rFonts w:ascii="Times New Roman" w:hAnsi="Times New Roman" w:cs="Times New Roman"/>
          <w:noProof/>
        </w:rPr>
        <w:t>.1</w:t>
      </w:r>
      <w:r w:rsidR="00B80BA7">
        <w:rPr>
          <w:rFonts w:ascii="Times New Roman" w:hAnsi="Times New Roman" w:cs="Times New Roman"/>
          <w:noProof/>
        </w:rPr>
        <w:t>0</w:t>
      </w:r>
      <w:r w:rsidRPr="00DB6CD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DB6CDC">
        <w:rPr>
          <w:rFonts w:ascii="Times New Roman" w:hAnsi="Times New Roman" w:cs="Times New Roman"/>
          <w:noProof/>
        </w:rPr>
        <w:t>.</w:t>
      </w:r>
    </w:p>
    <w:p w14:paraId="0FBFE007" w14:textId="77777777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</w:p>
    <w:p w14:paraId="4F021E38" w14:textId="77777777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vēlamais datums izskatīšanai: </w:t>
      </w:r>
    </w:p>
    <w:p w14:paraId="1F4E3498" w14:textId="43850A8C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Finanšu komitejā </w:t>
      </w:r>
      <w:r w:rsidR="00CC4AD4">
        <w:rPr>
          <w:rFonts w:ascii="Times New Roman" w:hAnsi="Times New Roman" w:cs="Times New Roman"/>
          <w:noProof/>
        </w:rPr>
        <w:t>19</w:t>
      </w:r>
      <w:r w:rsidRPr="00DB6CDC">
        <w:rPr>
          <w:rFonts w:ascii="Times New Roman" w:hAnsi="Times New Roman" w:cs="Times New Roman"/>
          <w:noProof/>
        </w:rPr>
        <w:t>.1</w:t>
      </w:r>
      <w:r w:rsidR="00CC4AD4">
        <w:rPr>
          <w:rFonts w:ascii="Times New Roman" w:hAnsi="Times New Roman" w:cs="Times New Roman"/>
          <w:noProof/>
        </w:rPr>
        <w:t>1</w:t>
      </w:r>
      <w:r w:rsidRPr="00DB6CDC">
        <w:rPr>
          <w:rFonts w:ascii="Times New Roman" w:hAnsi="Times New Roman" w:cs="Times New Roman"/>
          <w:noProof/>
        </w:rPr>
        <w:t>.202</w:t>
      </w:r>
      <w:r w:rsidR="00CC4AD4">
        <w:rPr>
          <w:rFonts w:ascii="Times New Roman" w:hAnsi="Times New Roman" w:cs="Times New Roman"/>
          <w:noProof/>
        </w:rPr>
        <w:t>5</w:t>
      </w:r>
      <w:r w:rsidRPr="00DB6CDC">
        <w:rPr>
          <w:rFonts w:ascii="Times New Roman" w:hAnsi="Times New Roman" w:cs="Times New Roman"/>
          <w:noProof/>
        </w:rPr>
        <w:t>.</w:t>
      </w:r>
    </w:p>
    <w:p w14:paraId="1644746D" w14:textId="752E23ED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domē: </w:t>
      </w:r>
      <w:r w:rsidR="00FD3647">
        <w:rPr>
          <w:rFonts w:ascii="Times New Roman" w:hAnsi="Times New Roman" w:cs="Times New Roman"/>
          <w:noProof/>
        </w:rPr>
        <w:t>27</w:t>
      </w:r>
      <w:r w:rsidRPr="00DB6CDC">
        <w:rPr>
          <w:rFonts w:ascii="Times New Roman" w:hAnsi="Times New Roman" w:cs="Times New Roman"/>
          <w:noProof/>
        </w:rPr>
        <w:t>.1</w:t>
      </w:r>
      <w:r w:rsidR="00CC4AD4">
        <w:rPr>
          <w:rFonts w:ascii="Times New Roman" w:hAnsi="Times New Roman" w:cs="Times New Roman"/>
          <w:noProof/>
        </w:rPr>
        <w:t>1</w:t>
      </w:r>
      <w:r w:rsidRPr="00DB6CDC">
        <w:rPr>
          <w:rFonts w:ascii="Times New Roman" w:hAnsi="Times New Roman" w:cs="Times New Roman"/>
          <w:noProof/>
        </w:rPr>
        <w:t>.202</w:t>
      </w:r>
      <w:r w:rsidR="00CC4AD4">
        <w:rPr>
          <w:rFonts w:ascii="Times New Roman" w:hAnsi="Times New Roman" w:cs="Times New Roman"/>
          <w:noProof/>
        </w:rPr>
        <w:t>5</w:t>
      </w:r>
      <w:r w:rsidRPr="00DB6CDC">
        <w:rPr>
          <w:rFonts w:ascii="Times New Roman" w:hAnsi="Times New Roman" w:cs="Times New Roman"/>
          <w:noProof/>
        </w:rPr>
        <w:t>.</w:t>
      </w:r>
    </w:p>
    <w:p w14:paraId="5B333ED4" w14:textId="77777777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>sagatavotājs: Ilze Vanka - Krilovska</w:t>
      </w:r>
    </w:p>
    <w:p w14:paraId="57FE44EC" w14:textId="460EFA71" w:rsidR="00320E03" w:rsidRPr="00DB6CDC" w:rsidRDefault="00320E03" w:rsidP="00320E03">
      <w:pPr>
        <w:jc w:val="right"/>
        <w:rPr>
          <w:rFonts w:ascii="Times New Roman" w:hAnsi="Times New Roman" w:cs="Times New Roman"/>
          <w:noProof/>
        </w:rPr>
      </w:pPr>
      <w:r w:rsidRPr="00DB6CDC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Ansis Plūksna</w:t>
      </w:r>
    </w:p>
    <w:p w14:paraId="50A6FFE1" w14:textId="77777777" w:rsidR="00320E03" w:rsidRPr="00564CA6" w:rsidRDefault="00320E03" w:rsidP="00320E03">
      <w:pPr>
        <w:jc w:val="right"/>
        <w:rPr>
          <w:rFonts w:ascii="Times New Roman" w:hAnsi="Times New Roman" w:cs="Times New Roman"/>
          <w:noProof/>
        </w:rPr>
      </w:pPr>
    </w:p>
    <w:p w14:paraId="31B33507" w14:textId="77777777" w:rsidR="00320E03" w:rsidRPr="00564CA6" w:rsidRDefault="00320E03" w:rsidP="00320E0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30622A9" w14:textId="77777777" w:rsidR="00320E03" w:rsidRPr="00564CA6" w:rsidRDefault="00320E03" w:rsidP="00320E03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AEB877" w14:textId="77777777" w:rsidR="00320E03" w:rsidRDefault="00320E03" w:rsidP="00564CA6">
      <w:pPr>
        <w:rPr>
          <w:rFonts w:ascii="Times New Roman" w:hAnsi="Times New Roman" w:cs="Times New Roman"/>
          <w:color w:val="000000" w:themeColor="text1"/>
        </w:rPr>
      </w:pPr>
    </w:p>
    <w:p w14:paraId="5B8BAF9F" w14:textId="77777777" w:rsidR="00320E03" w:rsidRDefault="00320E03" w:rsidP="00564CA6">
      <w:pPr>
        <w:rPr>
          <w:rFonts w:ascii="Times New Roman" w:hAnsi="Times New Roman" w:cs="Times New Roman"/>
          <w:color w:val="000000" w:themeColor="text1"/>
        </w:rPr>
      </w:pPr>
    </w:p>
    <w:p w14:paraId="18323632" w14:textId="1C496B86" w:rsidR="00564CA6" w:rsidRPr="00564CA6" w:rsidRDefault="00C96006" w:rsidP="00564CA6">
      <w:pPr>
        <w:rPr>
          <w:rFonts w:ascii="Times New Roman" w:hAnsi="Times New Roman" w:cs="Times New Roman"/>
        </w:rPr>
      </w:pPr>
      <w:r w:rsidRPr="006A0731">
        <w:rPr>
          <w:rFonts w:ascii="Times New Roman" w:hAnsi="Times New Roman" w:cs="Times New Roman"/>
          <w:color w:val="000000" w:themeColor="text1"/>
        </w:rPr>
        <w:t xml:space="preserve">2025. gada </w:t>
      </w:r>
      <w:r w:rsidR="00CB2492">
        <w:rPr>
          <w:rFonts w:ascii="Times New Roman" w:hAnsi="Times New Roman" w:cs="Times New Roman"/>
          <w:color w:val="000000" w:themeColor="text1"/>
        </w:rPr>
        <w:t>27</w:t>
      </w:r>
      <w:r w:rsidRPr="006A0731">
        <w:rPr>
          <w:rFonts w:ascii="Times New Roman" w:hAnsi="Times New Roman" w:cs="Times New Roman"/>
          <w:color w:val="000000" w:themeColor="text1"/>
        </w:rPr>
        <w:t xml:space="preserve">. </w:t>
      </w:r>
      <w:r w:rsidR="00E64029">
        <w:rPr>
          <w:rFonts w:ascii="Times New Roman" w:hAnsi="Times New Roman" w:cs="Times New Roman"/>
          <w:color w:val="000000" w:themeColor="text1"/>
        </w:rPr>
        <w:t>novembrī</w:t>
      </w:r>
      <w:r w:rsidRPr="006A0731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E64029">
        <w:rPr>
          <w:rFonts w:ascii="Times New Roman" w:hAnsi="Times New Roman" w:cs="Times New Roman"/>
          <w:b/>
          <w:bCs/>
          <w:noProof/>
        </w:rPr>
        <w:t>____</w:t>
      </w:r>
    </w:p>
    <w:p w14:paraId="5955CC0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B819E75" w14:textId="1B83A009" w:rsidR="006A0731" w:rsidRDefault="00C96006" w:rsidP="006A0731">
      <w:pPr>
        <w:jc w:val="center"/>
        <w:rPr>
          <w:rFonts w:ascii="Times New Roman" w:hAnsi="Times New Roman" w:cs="Times New Roman"/>
          <w:b/>
        </w:rPr>
      </w:pPr>
      <w:r w:rsidRPr="00677B0F">
        <w:rPr>
          <w:rFonts w:ascii="Times New Roman" w:hAnsi="Times New Roman" w:cs="Times New Roman"/>
          <w:b/>
        </w:rPr>
        <w:t>Par grozījumiem Ādažu novada pašvaldības domes 2025. gada 2</w:t>
      </w:r>
      <w:r>
        <w:rPr>
          <w:rFonts w:ascii="Times New Roman" w:hAnsi="Times New Roman" w:cs="Times New Roman"/>
          <w:b/>
        </w:rPr>
        <w:t>6</w:t>
      </w:r>
      <w:r w:rsidRPr="00677B0F">
        <w:rPr>
          <w:rFonts w:ascii="Times New Roman" w:hAnsi="Times New Roman" w:cs="Times New Roman"/>
          <w:b/>
        </w:rPr>
        <w:t>. jū</w:t>
      </w:r>
      <w:r>
        <w:rPr>
          <w:rFonts w:ascii="Times New Roman" w:hAnsi="Times New Roman" w:cs="Times New Roman"/>
          <w:b/>
        </w:rPr>
        <w:t>nija</w:t>
      </w:r>
      <w:r w:rsidRPr="00677B0F">
        <w:rPr>
          <w:rFonts w:ascii="Times New Roman" w:hAnsi="Times New Roman" w:cs="Times New Roman"/>
          <w:b/>
        </w:rPr>
        <w:t xml:space="preserve"> lēmumā </w:t>
      </w:r>
    </w:p>
    <w:p w14:paraId="46A8CDE3" w14:textId="3710CB26" w:rsidR="00564CA6" w:rsidRPr="006A0731" w:rsidRDefault="00C96006" w:rsidP="006A0731">
      <w:pPr>
        <w:spacing w:after="120"/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26</w:t>
      </w:r>
      <w:r w:rsidR="00030BD5">
        <w:rPr>
          <w:rFonts w:ascii="Times New Roman" w:hAnsi="Times New Roman" w:cs="Times New Roman"/>
          <w:b/>
        </w:rPr>
        <w:t>4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“Ga</w:t>
      </w:r>
      <w:r w:rsidR="00030BD5">
        <w:rPr>
          <w:rFonts w:ascii="Times New Roman" w:hAnsi="Times New Roman" w:cs="Times New Roman"/>
          <w:b/>
        </w:rPr>
        <w:t>uja</w:t>
      </w:r>
      <w:r>
        <w:rPr>
          <w:rFonts w:ascii="Times New Roman" w:hAnsi="Times New Roman" w:cs="Times New Roman"/>
          <w:b/>
        </w:rPr>
        <w:t>””</w:t>
      </w:r>
    </w:p>
    <w:p w14:paraId="54EF6012" w14:textId="4512D3D4" w:rsidR="006A0731" w:rsidRDefault="00C96006" w:rsidP="006A0731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 w:rsidR="00644AD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A74772">
        <w:rPr>
          <w:rFonts w:ascii="Times New Roman" w:hAnsi="Times New Roman" w:cs="Times New Roman"/>
        </w:rPr>
        <w:t>4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“Ga</w:t>
      </w:r>
      <w:r w:rsidR="00A74772">
        <w:rPr>
          <w:rFonts w:ascii="Times New Roman" w:hAnsi="Times New Roman" w:cs="Times New Roman"/>
          <w:bCs/>
        </w:rPr>
        <w:t>uja</w:t>
      </w:r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dalība </w:t>
      </w:r>
      <w:r w:rsidR="00644ADB">
        <w:rPr>
          <w:rFonts w:ascii="Times New Roman" w:hAnsi="Times New Roman" w:cs="Times New Roman"/>
          <w:bCs/>
        </w:rPr>
        <w:t xml:space="preserve">minētajā </w:t>
      </w:r>
      <w:r>
        <w:rPr>
          <w:rFonts w:ascii="Times New Roman" w:hAnsi="Times New Roman" w:cs="Times New Roman"/>
          <w:bCs/>
        </w:rPr>
        <w:t>projektā.</w:t>
      </w:r>
    </w:p>
    <w:p w14:paraId="45AA383C" w14:textId="77777777" w:rsidR="00D77870" w:rsidRDefault="00D77870" w:rsidP="00D7787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Š.g. 28. oktobrī tika pieņemti grozījumi Ministru kabineta </w:t>
      </w:r>
      <w:r w:rsidRPr="00A35EC4">
        <w:rPr>
          <w:rFonts w:ascii="Times New Roman" w:hAnsi="Times New Roman" w:cs="Times New Roman"/>
        </w:rPr>
        <w:t>19.11.2024.</w:t>
      </w:r>
      <w:r>
        <w:rPr>
          <w:rFonts w:ascii="Times New Roman" w:hAnsi="Times New Roman" w:cs="Times New Roman"/>
        </w:rPr>
        <w:t xml:space="preserve"> noteikumos Nr. 726 </w:t>
      </w:r>
      <w:r w:rsidRPr="00437DA3">
        <w:rPr>
          <w:rFonts w:ascii="Times New Roman" w:hAnsi="Times New Roman" w:cs="Times New Roman"/>
        </w:rPr>
        <w:t>"Eiropas Savienības kohēzijas politikas programmas 2021.</w:t>
      </w:r>
      <w:r>
        <w:rPr>
          <w:rFonts w:ascii="Times New Roman" w:hAnsi="Times New Roman" w:cs="Times New Roman"/>
        </w:rPr>
        <w:t xml:space="preserve"> - </w:t>
      </w:r>
      <w:r w:rsidRPr="00437DA3">
        <w:rPr>
          <w:rFonts w:ascii="Times New Roman" w:hAnsi="Times New Roman" w:cs="Times New Roman"/>
        </w:rPr>
        <w:t>2027. gadam 2.3.1. specifiskā atbalsta mērķa "Veicināt ilgtspējīgu daudzveidu mobilitāti pilsētās</w:t>
      </w:r>
      <w:r>
        <w:rPr>
          <w:rFonts w:ascii="Times New Roman" w:hAnsi="Times New Roman" w:cs="Times New Roman"/>
        </w:rPr>
        <w:t xml:space="preserve">” </w:t>
      </w:r>
      <w:r w:rsidRPr="00437DA3">
        <w:rPr>
          <w:rFonts w:ascii="Times New Roman" w:hAnsi="Times New Roman" w:cs="Times New Roman"/>
        </w:rPr>
        <w:t>2.3.1.2. pasākuma "Multimodāls sabiedriskā transporta tīkls" īstenošanas noteikumi"</w:t>
      </w:r>
      <w:r>
        <w:rPr>
          <w:rFonts w:ascii="Times New Roman" w:hAnsi="Times New Roman" w:cs="Times New Roman"/>
        </w:rPr>
        <w:t xml:space="preserve">”, kuru 27.1.2. apakšpunkts paredz, ka atbalstāmo darbību ietvaros ir attiecināmas izmaksas izmaksu un ieguvumu analīzes izstrādei (turpmāk – IIA), kas projektiem, kuriem kopējās izmaksas pārsniedz 1 milj. </w:t>
      </w:r>
      <w:r w:rsidRPr="007B510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ir </w:t>
      </w:r>
      <w:r w:rsidRPr="00547E1A">
        <w:rPr>
          <w:rFonts w:ascii="Times New Roman" w:hAnsi="Times New Roman" w:cs="Times New Roman"/>
          <w:u w:val="single"/>
        </w:rPr>
        <w:t>obligāti izstrādājams</w:t>
      </w:r>
      <w:r>
        <w:rPr>
          <w:rFonts w:ascii="Times New Roman" w:hAnsi="Times New Roman" w:cs="Times New Roman"/>
        </w:rPr>
        <w:t xml:space="preserve"> kā pamatojošais dokuments pie projektu pieteikumu iesniegšanas Centrālajā finanšu un līgumu aģentūrā. </w:t>
      </w:r>
    </w:p>
    <w:p w14:paraId="2E3C2BF7" w14:textId="18097EEC" w:rsidR="00D77870" w:rsidRPr="00644ADB" w:rsidRDefault="00D77870" w:rsidP="00D7787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iepriekš minēto,</w:t>
      </w:r>
      <w:r w:rsidRPr="00896754">
        <w:rPr>
          <w:rFonts w:ascii="Times New Roman" w:hAnsi="Times New Roman" w:cs="Times New Roman"/>
        </w:rPr>
        <w:t xml:space="preserve"> iekļaujot IIA izmaksas projekta attiecināmajās izmaksās, </w:t>
      </w:r>
      <w:r>
        <w:rPr>
          <w:rFonts w:ascii="Times New Roman" w:hAnsi="Times New Roman" w:cs="Times New Roman"/>
        </w:rPr>
        <w:t xml:space="preserve">ir nepieciešams palielināt projektā sākotnēji plānotās izmaksas par 2500 </w:t>
      </w:r>
      <w:r w:rsidRPr="00A12ECB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veicot grozījumus </w:t>
      </w:r>
      <w:r w:rsidRPr="00644ADB">
        <w:rPr>
          <w:rFonts w:ascii="Times New Roman" w:hAnsi="Times New Roman" w:cs="Times New Roman"/>
        </w:rPr>
        <w:t>Ādažu novada pašvaldības domes 2025. gada 26. jūnija lēmumā Nr. 26</w:t>
      </w:r>
      <w:r>
        <w:rPr>
          <w:rFonts w:ascii="Times New Roman" w:hAnsi="Times New Roman" w:cs="Times New Roman"/>
        </w:rPr>
        <w:t>4</w:t>
      </w:r>
      <w:r w:rsidRPr="00644ADB">
        <w:rPr>
          <w:rFonts w:ascii="Times New Roman" w:hAnsi="Times New Roman" w:cs="Times New Roman"/>
        </w:rPr>
        <w:t xml:space="preserve"> “Par dalību projektā “Multimodāls sabiedriskā transporta tīkls, 2. kārta”</w:t>
      </w:r>
      <w:r>
        <w:rPr>
          <w:rFonts w:ascii="Times New Roman" w:hAnsi="Times New Roman" w:cs="Times New Roman"/>
        </w:rPr>
        <w:t>,</w:t>
      </w:r>
      <w:r w:rsidRPr="00644ADB">
        <w:rPr>
          <w:rFonts w:ascii="Times New Roman" w:hAnsi="Times New Roman" w:cs="Times New Roman"/>
        </w:rPr>
        <w:t xml:space="preserve"> attīstot staciju “</w:t>
      </w:r>
      <w:r>
        <w:rPr>
          <w:rFonts w:ascii="Times New Roman" w:hAnsi="Times New Roman" w:cs="Times New Roman"/>
        </w:rPr>
        <w:t>Gauja</w:t>
      </w:r>
      <w:r w:rsidRPr="00644AD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>.</w:t>
      </w:r>
      <w:r w:rsidRPr="00644ADB">
        <w:rPr>
          <w:rFonts w:ascii="Times New Roman" w:hAnsi="Times New Roman" w:cs="Times New Roman"/>
        </w:rPr>
        <w:t xml:space="preserve"> </w:t>
      </w:r>
    </w:p>
    <w:p w14:paraId="556F7839" w14:textId="77777777" w:rsidR="00D77870" w:rsidRPr="00564CA6" w:rsidRDefault="00D77870" w:rsidP="00D7787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19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30640637" w14:textId="77777777" w:rsidR="00D77870" w:rsidRDefault="00D77870" w:rsidP="00D77870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4F27DA" w14:textId="17B9F390" w:rsidR="00D77870" w:rsidRDefault="00D77870" w:rsidP="00D77870">
      <w:pPr>
        <w:pStyle w:val="Sarakstarindkopa"/>
        <w:numPr>
          <w:ilvl w:val="0"/>
          <w:numId w:val="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547E1A">
        <w:rPr>
          <w:rFonts w:ascii="Times New Roman" w:hAnsi="Times New Roman" w:cs="Times New Roman"/>
        </w:rPr>
        <w:t>Veikt grozījumu</w:t>
      </w:r>
      <w:r>
        <w:rPr>
          <w:rFonts w:ascii="Times New Roman" w:hAnsi="Times New Roman" w:cs="Times New Roman"/>
        </w:rPr>
        <w:t>s</w:t>
      </w:r>
      <w:r w:rsidRPr="00547E1A">
        <w:rPr>
          <w:rFonts w:ascii="Times New Roman" w:hAnsi="Times New Roman" w:cs="Times New Roman"/>
        </w:rPr>
        <w:t xml:space="preserve"> Ādažu novada pašvaldības domes 2025. gada 26. jūnija lēmumā Nr. 26</w:t>
      </w:r>
      <w:r>
        <w:rPr>
          <w:rFonts w:ascii="Times New Roman" w:hAnsi="Times New Roman" w:cs="Times New Roman"/>
        </w:rPr>
        <w:t>4</w:t>
      </w:r>
      <w:r w:rsidRPr="00547E1A">
        <w:rPr>
          <w:rFonts w:ascii="Times New Roman" w:hAnsi="Times New Roman" w:cs="Times New Roman"/>
        </w:rPr>
        <w:t xml:space="preserve"> </w:t>
      </w:r>
      <w:r w:rsidRPr="00547E1A">
        <w:rPr>
          <w:rFonts w:ascii="Times New Roman" w:hAnsi="Times New Roman" w:cs="Times New Roman"/>
          <w:bCs/>
        </w:rPr>
        <w:t>“Par dalību projektā “Multimodāls sabiedriskā transporta tīkls, 2. kārta”, attīstot staciju “</w:t>
      </w:r>
      <w:r>
        <w:rPr>
          <w:rFonts w:ascii="Times New Roman" w:hAnsi="Times New Roman" w:cs="Times New Roman"/>
          <w:bCs/>
        </w:rPr>
        <w:t>Gauja</w:t>
      </w:r>
      <w:r w:rsidRPr="00547E1A">
        <w:rPr>
          <w:rFonts w:ascii="Times New Roman" w:hAnsi="Times New Roman" w:cs="Times New Roman"/>
          <w:bCs/>
        </w:rPr>
        <w:t>””</w:t>
      </w:r>
      <w:r w:rsidRPr="004C53DB">
        <w:rPr>
          <w:rFonts w:ascii="Times New Roman" w:hAnsi="Times New Roman" w:cs="Times New Roman"/>
          <w:iCs/>
        </w:rPr>
        <w:t xml:space="preserve"> </w:t>
      </w:r>
      <w:r w:rsidRPr="00254908">
        <w:rPr>
          <w:rFonts w:ascii="Times New Roman" w:hAnsi="Times New Roman" w:cs="Times New Roman"/>
          <w:iCs/>
        </w:rPr>
        <w:t>lemjoš</w:t>
      </w:r>
      <w:r>
        <w:rPr>
          <w:rFonts w:ascii="Times New Roman" w:hAnsi="Times New Roman" w:cs="Times New Roman"/>
          <w:iCs/>
        </w:rPr>
        <w:t>ajā</w:t>
      </w:r>
      <w:r w:rsidRPr="00254908">
        <w:rPr>
          <w:rFonts w:ascii="Times New Roman" w:hAnsi="Times New Roman" w:cs="Times New Roman"/>
          <w:iCs/>
        </w:rPr>
        <w:t xml:space="preserve"> daļ</w:t>
      </w:r>
      <w:r>
        <w:rPr>
          <w:rFonts w:ascii="Times New Roman" w:hAnsi="Times New Roman" w:cs="Times New Roman"/>
          <w:iCs/>
        </w:rPr>
        <w:t>ā:</w:t>
      </w:r>
    </w:p>
    <w:p w14:paraId="5FB88EB1" w14:textId="77777777" w:rsidR="00D77870" w:rsidRDefault="00D77870" w:rsidP="00D77870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</w:rPr>
        <w:t>i</w:t>
      </w:r>
      <w:r w:rsidRPr="00254908">
        <w:rPr>
          <w:rFonts w:ascii="Times New Roman" w:hAnsi="Times New Roman" w:cs="Times New Roman"/>
          <w:iCs/>
        </w:rPr>
        <w:t>zteikt 1., 3 un 4. punktu jaunā redakcijā</w:t>
      </w:r>
      <w:r>
        <w:rPr>
          <w:rFonts w:ascii="Times New Roman" w:hAnsi="Times New Roman" w:cs="Times New Roman"/>
          <w:iCs/>
        </w:rPr>
        <w:t>:</w:t>
      </w:r>
    </w:p>
    <w:p w14:paraId="4646F47E" w14:textId="47998B48" w:rsidR="00D77870" w:rsidRPr="005A3A0C" w:rsidRDefault="00D77870" w:rsidP="00D77870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5A3A0C">
        <w:rPr>
          <w:rFonts w:ascii="Times New Roman" w:eastAsia="Times New Roman" w:hAnsi="Times New Roman" w:cs="Times New Roman"/>
          <w:bCs/>
          <w:lang w:eastAsia="lv-LV"/>
        </w:rPr>
        <w:lastRenderedPageBreak/>
        <w:t>“1. Konceptuāli atbalstīt Ādažu novada pašvaldības dalību Eiropas Savienības kohēzijas politikas programmas 2021.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- 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2027. gadam 2.3.1. specifiskā atbalsta mērķa “Veicināt ilgtspējīgu daudzveidu mobilitāti pilsētās” 2.3.1.2. pasākumā “Multimodāls sabiedriskā transporta tīkls”, attīstot teritoriju pie dzelzceļa stacijas “Carnikava”, ar plānoto indikatīvo finansējumu </w:t>
      </w:r>
      <w:r>
        <w:rPr>
          <w:rFonts w:ascii="Times New Roman" w:eastAsia="Times New Roman" w:hAnsi="Times New Roman" w:cs="Times New Roman"/>
          <w:bCs/>
          <w:lang w:eastAsia="lv-LV"/>
        </w:rPr>
        <w:t>1 617 500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(t.sk., </w:t>
      </w:r>
      <w:r>
        <w:rPr>
          <w:rFonts w:ascii="Times New Roman" w:hAnsi="Times New Roman" w:cs="Times New Roman"/>
        </w:rPr>
        <w:t xml:space="preserve">1 212 963.25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ERAF finansējums un 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404 536.75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finansējums).</w:t>
      </w:r>
    </w:p>
    <w:p w14:paraId="2B1E5799" w14:textId="71E90E88" w:rsidR="00D77870" w:rsidRPr="002A707D" w:rsidRDefault="00D77870" w:rsidP="00D77870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75EC1">
        <w:rPr>
          <w:rFonts w:ascii="Times New Roman" w:eastAsia="Times New Roman" w:hAnsi="Times New Roman" w:cs="Times New Roman"/>
          <w:lang w:eastAsia="lv-LV"/>
        </w:rPr>
        <w:t>3.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Pr="00075EC1">
        <w:rPr>
          <w:rFonts w:ascii="Times New Roman" w:hAnsi="Times New Roman" w:cs="Times New Roman"/>
          <w:color w:val="000000"/>
        </w:rPr>
        <w:t>ekļaut Projekta izpildei nepieciešamos finanšu līdzekļus Attīstības un projektu nodaļas 2026. gad</w:t>
      </w:r>
      <w:r>
        <w:rPr>
          <w:rFonts w:ascii="Times New Roman" w:hAnsi="Times New Roman" w:cs="Times New Roman"/>
          <w:color w:val="000000"/>
        </w:rPr>
        <w:t>a</w:t>
      </w:r>
      <w:r w:rsidRPr="00075EC1">
        <w:rPr>
          <w:rFonts w:ascii="Times New Roman" w:hAnsi="Times New Roman" w:cs="Times New Roman"/>
          <w:color w:val="000000"/>
        </w:rPr>
        <w:t xml:space="preserve"> budžeta tāmes projektā </w:t>
      </w:r>
      <w:r>
        <w:rPr>
          <w:rFonts w:ascii="Times New Roman" w:hAnsi="Times New Roman" w:cs="Times New Roman"/>
          <w:color w:val="000000"/>
        </w:rPr>
        <w:t xml:space="preserve">457 980 </w:t>
      </w:r>
      <w:r w:rsidRPr="00075EC1">
        <w:rPr>
          <w:rFonts w:ascii="Times New Roman" w:hAnsi="Times New Roman" w:cs="Times New Roman"/>
          <w:i/>
          <w:iCs/>
          <w:color w:val="000000"/>
        </w:rPr>
        <w:t xml:space="preserve">euro </w:t>
      </w:r>
      <w:r w:rsidRPr="00075EC1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t.sk. 296 230 </w:t>
      </w:r>
      <w:r w:rsidRPr="00075EC1">
        <w:rPr>
          <w:rFonts w:ascii="Times New Roman" w:hAnsi="Times New Roman" w:cs="Times New Roman"/>
          <w:color w:val="000000"/>
        </w:rPr>
        <w:t>ERAF finansējums</w:t>
      </w:r>
      <w:r>
        <w:rPr>
          <w:rFonts w:ascii="Times New Roman" w:hAnsi="Times New Roman" w:cs="Times New Roman"/>
          <w:color w:val="000000"/>
        </w:rPr>
        <w:t xml:space="preserve">, 161 750 </w:t>
      </w:r>
      <w:r w:rsidRPr="00D77870">
        <w:rPr>
          <w:rFonts w:ascii="Times New Roman" w:hAnsi="Times New Roman" w:cs="Times New Roman"/>
          <w:i/>
          <w:iCs/>
          <w:color w:val="000000"/>
        </w:rPr>
        <w:t>euro</w:t>
      </w:r>
      <w:r>
        <w:rPr>
          <w:rFonts w:ascii="Times New Roman" w:hAnsi="Times New Roman" w:cs="Times New Roman"/>
          <w:color w:val="000000"/>
        </w:rPr>
        <w:t xml:space="preserve"> pašvaldības līdzfinansējums</w:t>
      </w:r>
      <w:r w:rsidRPr="00075EC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2027. gadā </w:t>
      </w:r>
      <w:r>
        <w:rPr>
          <w:rFonts w:ascii="Times New Roman" w:hAnsi="Times New Roman" w:cs="Times New Roman"/>
        </w:rPr>
        <w:t xml:space="preserve">1 159 520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(t.sk.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795 436.93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ERAF finansējums, </w:t>
      </w:r>
      <w:r>
        <w:rPr>
          <w:rFonts w:ascii="Times New Roman" w:hAnsi="Times New Roman" w:cs="Times New Roman"/>
          <w:color w:val="000000"/>
        </w:rPr>
        <w:t>161 750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pašvaldības</w:t>
      </w:r>
      <w:r>
        <w:rPr>
          <w:rFonts w:ascii="Times New Roman" w:hAnsi="Times New Roman" w:cs="Times New Roman"/>
          <w:color w:val="000000"/>
        </w:rPr>
        <w:t xml:space="preserve"> līdzfinansējums</w:t>
      </w:r>
      <w:r w:rsidRPr="00075EC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atlikušo finansējumu plānojot pēc fakta 2028. un 2029. gada budžetos. </w:t>
      </w:r>
    </w:p>
    <w:p w14:paraId="4613498B" w14:textId="5DED9214" w:rsidR="00D77870" w:rsidRDefault="00D77870" w:rsidP="00D77870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  <w:iCs/>
        </w:rPr>
        <w:t>4</w:t>
      </w:r>
      <w:r w:rsidRPr="00153551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Projekta īstenošanai nepieciešamo pašvaldības </w:t>
      </w:r>
      <w:r>
        <w:rPr>
          <w:rFonts w:ascii="Times New Roman" w:eastAsia="Times New Roman" w:hAnsi="Times New Roman" w:cs="Times New Roman"/>
          <w:lang w:eastAsia="lv-LV"/>
        </w:rPr>
        <w:t>un ERAF priekš</w:t>
      </w:r>
      <w:r w:rsidRPr="00153551">
        <w:rPr>
          <w:rFonts w:ascii="Times New Roman" w:eastAsia="Times New Roman" w:hAnsi="Times New Roman" w:cs="Times New Roman"/>
          <w:lang w:eastAsia="lv-LV"/>
        </w:rPr>
        <w:t>finansējum</w:t>
      </w:r>
      <w:r>
        <w:rPr>
          <w:rFonts w:ascii="Times New Roman" w:eastAsia="Times New Roman" w:hAnsi="Times New Roman" w:cs="Times New Roman"/>
          <w:lang w:eastAsia="lv-LV"/>
        </w:rPr>
        <w:t>a daļu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līdz </w:t>
      </w:r>
      <w:r>
        <w:rPr>
          <w:rFonts w:ascii="Times New Roman" w:eastAsia="Times New Roman" w:hAnsi="Times New Roman" w:cs="Times New Roman"/>
          <w:lang w:eastAsia="lv-LV"/>
        </w:rPr>
        <w:t xml:space="preserve">525 833 </w:t>
      </w:r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lang w:eastAsia="lv-LV"/>
        </w:rPr>
        <w:t xml:space="preserve">pieci simti  divdesmit pieci tūkstoši astoņi simti trīsdesmit trīs </w:t>
      </w:r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153551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6CF945D7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4.1. aizņēmuma izņemšana vidējā termiņā, sākot ar 2027. gadu;</w:t>
      </w:r>
    </w:p>
    <w:p w14:paraId="31F93BF9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4.2. aizņēmuma atmaksas termiņš ir 5 gadi;</w:t>
      </w:r>
    </w:p>
    <w:p w14:paraId="417E8477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4.3. aizņēmuma pamatsummas atmaksu sākt ar 2027. gada septembri;</w:t>
      </w:r>
    </w:p>
    <w:p w14:paraId="2DACAE3C" w14:textId="77777777" w:rsidR="00D77870" w:rsidRPr="00547E1A" w:rsidRDefault="00D77870" w:rsidP="00D77870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 xml:space="preserve">4.4. </w:t>
      </w:r>
      <w:r w:rsidRPr="00547E1A">
        <w:rPr>
          <w:rFonts w:ascii="Times New Roman" w:hAnsi="Times New Roman" w:cs="Times New Roman"/>
          <w:bCs/>
        </w:rPr>
        <w:t xml:space="preserve">pamatsummas atmaksu </w:t>
      </w:r>
      <w:r w:rsidRPr="00547E1A">
        <w:rPr>
          <w:rFonts w:ascii="Times New Roman" w:hAnsi="Times New Roman" w:cs="Times New Roman"/>
        </w:rPr>
        <w:t>garantēt no pašvaldības budžeta līdzekļiem</w:t>
      </w:r>
      <w:r>
        <w:rPr>
          <w:rFonts w:ascii="Times New Roman" w:hAnsi="Times New Roman" w:cs="Times New Roman"/>
        </w:rPr>
        <w:t>.”</w:t>
      </w:r>
    </w:p>
    <w:p w14:paraId="54A507F1" w14:textId="77777777" w:rsidR="00D77870" w:rsidRDefault="00D77870" w:rsidP="00D77870">
      <w:p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1.2.   Papildināt ar jaunu 4.</w:t>
      </w:r>
      <w:r w:rsidRPr="00547E1A">
        <w:rPr>
          <w:rFonts w:ascii="Times New Roman" w:eastAsia="Times New Roman" w:hAnsi="Times New Roman" w:cs="Times New Roman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lang w:eastAsia="lv-LV"/>
        </w:rPr>
        <w:t xml:space="preserve"> punktu:</w:t>
      </w:r>
    </w:p>
    <w:p w14:paraId="5A2E81B7" w14:textId="77777777" w:rsidR="00D77870" w:rsidRDefault="00D77870" w:rsidP="00D77870">
      <w:pPr>
        <w:spacing w:before="120" w:after="120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“4.</w:t>
      </w:r>
      <w:r w:rsidRPr="00547E1A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Centrālās pārvaldes Finanšu nodaļai organizēt 4. punkta izpildi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sadarbībā ar Attīstības un projektu nodaļu.”</w:t>
      </w:r>
    </w:p>
    <w:p w14:paraId="4533292A" w14:textId="77777777" w:rsidR="00D77870" w:rsidRPr="00547E1A" w:rsidRDefault="00D77870" w:rsidP="00D77870">
      <w:pPr>
        <w:pStyle w:val="Sarakstarindkopa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19AAAD8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3CFF826" w14:textId="77777777" w:rsidR="00564CA6" w:rsidRDefault="00C9600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C6F970F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48699D6" w14:textId="77777777" w:rsidR="00404EE6" w:rsidRDefault="00404EE6" w:rsidP="00BB16A4">
      <w:pPr>
        <w:jc w:val="both"/>
        <w:rPr>
          <w:rFonts w:ascii="Times New Roman" w:hAnsi="Times New Roman" w:cs="Times New Roman"/>
          <w:noProof/>
        </w:rPr>
      </w:pPr>
    </w:p>
    <w:p w14:paraId="562DE600" w14:textId="77777777" w:rsidR="00404EE6" w:rsidRDefault="00404EE6" w:rsidP="00BB16A4">
      <w:pPr>
        <w:jc w:val="both"/>
        <w:rPr>
          <w:rFonts w:ascii="Times New Roman" w:hAnsi="Times New Roman" w:cs="Times New Roman"/>
          <w:noProof/>
        </w:rPr>
      </w:pPr>
    </w:p>
    <w:p w14:paraId="0002D858" w14:textId="77777777" w:rsidR="00147221" w:rsidRDefault="00C96006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5B98BAE" w14:textId="77777777" w:rsidR="00CB1F64" w:rsidRDefault="00CB1F64" w:rsidP="00147221">
      <w:pPr>
        <w:jc w:val="center"/>
        <w:rPr>
          <w:rFonts w:ascii="Times New Roman" w:eastAsia="Calibri" w:hAnsi="Times New Roman" w:cs="Times New Roman"/>
        </w:rPr>
      </w:pPr>
    </w:p>
    <w:p w14:paraId="73192043" w14:textId="77777777" w:rsidR="00CB1F64" w:rsidRDefault="00CB1F64" w:rsidP="00147221">
      <w:pPr>
        <w:jc w:val="center"/>
        <w:rPr>
          <w:rFonts w:ascii="Times New Roman" w:eastAsia="Calibri" w:hAnsi="Times New Roman" w:cs="Times New Roman"/>
        </w:rPr>
      </w:pPr>
    </w:p>
    <w:p w14:paraId="2798DC37" w14:textId="77777777" w:rsidR="00CB1F64" w:rsidRPr="00147221" w:rsidRDefault="00CB1F64" w:rsidP="00147221">
      <w:pPr>
        <w:jc w:val="center"/>
        <w:rPr>
          <w:rFonts w:ascii="Times New Roman" w:hAnsi="Times New Roman" w:cs="Times New Roman"/>
        </w:rPr>
      </w:pPr>
    </w:p>
    <w:p w14:paraId="71E22882" w14:textId="77777777" w:rsidR="00CB1F64" w:rsidRPr="00564CA6" w:rsidRDefault="00CB1F64" w:rsidP="00CB1F64">
      <w:pPr>
        <w:jc w:val="both"/>
        <w:rPr>
          <w:rFonts w:ascii="Times New Roman" w:hAnsi="Times New Roman" w:cs="Times New Roman"/>
        </w:rPr>
      </w:pPr>
    </w:p>
    <w:p w14:paraId="0C38F07A" w14:textId="77777777" w:rsidR="00CB1F64" w:rsidRPr="00564CA6" w:rsidRDefault="00CB1F64" w:rsidP="00CB1F6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F6E2580" w14:textId="77777777" w:rsidR="00CB1F64" w:rsidRPr="00564CA6" w:rsidRDefault="00CB1F64" w:rsidP="00CB1F6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FA18DA5" w14:textId="77777777" w:rsidR="00CB1F64" w:rsidRDefault="00CB1F64" w:rsidP="00CB1F64">
      <w:pPr>
        <w:rPr>
          <w:rFonts w:ascii="Times New Roman" w:hAnsi="Times New Roman" w:cs="Times New Roman"/>
        </w:rPr>
      </w:pPr>
    </w:p>
    <w:p w14:paraId="33C3CD62" w14:textId="6EB1C249" w:rsidR="00CB1F64" w:rsidRPr="00564CA6" w:rsidRDefault="00CB1F64" w:rsidP="00CB1F64">
      <w:pPr>
        <w:rPr>
          <w:rFonts w:ascii="Times New Roman" w:hAnsi="Times New Roman" w:cs="Times New Roman"/>
        </w:rPr>
      </w:pPr>
      <w:r w:rsidRPr="00CB1F64">
        <w:rPr>
          <w:rFonts w:ascii="Times New Roman" w:hAnsi="Times New Roman" w:cs="Times New Roman"/>
        </w:rPr>
        <w:t>APN, F</w:t>
      </w:r>
      <w:r w:rsidR="00D77870">
        <w:rPr>
          <w:rFonts w:ascii="Times New Roman" w:hAnsi="Times New Roman" w:cs="Times New Roman"/>
        </w:rPr>
        <w:t>I</w:t>
      </w:r>
      <w:r w:rsidRPr="00CB1F64">
        <w:rPr>
          <w:rFonts w:ascii="Times New Roman" w:hAnsi="Times New Roman" w:cs="Times New Roman"/>
        </w:rPr>
        <w:t>N, JIN, CK</w:t>
      </w:r>
      <w:r w:rsidR="00D77870">
        <w:rPr>
          <w:rFonts w:ascii="Times New Roman" w:hAnsi="Times New Roman" w:cs="Times New Roman"/>
        </w:rPr>
        <w:t>S, IDRV</w:t>
      </w:r>
      <w:r>
        <w:rPr>
          <w:rFonts w:ascii="Times New Roman" w:hAnsi="Times New Roman" w:cs="Times New Roman"/>
        </w:rPr>
        <w:t xml:space="preserve"> - @</w:t>
      </w:r>
    </w:p>
    <w:p w14:paraId="08325CCC" w14:textId="77777777" w:rsidR="00564CA6" w:rsidRPr="00B47C10" w:rsidRDefault="00564CA6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BF9" w14:textId="77777777" w:rsidR="00AD1D13" w:rsidRDefault="00AD1D13">
      <w:r>
        <w:separator/>
      </w:r>
    </w:p>
  </w:endnote>
  <w:endnote w:type="continuationSeparator" w:id="0">
    <w:p w14:paraId="0D20BE70" w14:textId="77777777" w:rsidR="00AD1D13" w:rsidRDefault="00AD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729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63DFA9" w14:textId="77777777" w:rsidR="005C7FA1" w:rsidRPr="005C7FA1" w:rsidRDefault="00C9600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8804C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C18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E3B80B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8849" w14:textId="77777777" w:rsidR="00AD1D13" w:rsidRDefault="00AD1D13">
      <w:r>
        <w:separator/>
      </w:r>
    </w:p>
  </w:footnote>
  <w:footnote w:type="continuationSeparator" w:id="0">
    <w:p w14:paraId="717F1E11" w14:textId="77777777" w:rsidR="00AD1D13" w:rsidRDefault="00AD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3B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CF6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6843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0D06E" w:tentative="1">
      <w:start w:val="1"/>
      <w:numFmt w:val="lowerLetter"/>
      <w:lvlText w:val="%2."/>
      <w:lvlJc w:val="left"/>
      <w:pPr>
        <w:ind w:left="1440" w:hanging="360"/>
      </w:pPr>
    </w:lvl>
    <w:lvl w:ilvl="2" w:tplc="91A279B8" w:tentative="1">
      <w:start w:val="1"/>
      <w:numFmt w:val="lowerRoman"/>
      <w:lvlText w:val="%3."/>
      <w:lvlJc w:val="right"/>
      <w:pPr>
        <w:ind w:left="2160" w:hanging="180"/>
      </w:pPr>
    </w:lvl>
    <w:lvl w:ilvl="3" w:tplc="E89A2134" w:tentative="1">
      <w:start w:val="1"/>
      <w:numFmt w:val="decimal"/>
      <w:lvlText w:val="%4."/>
      <w:lvlJc w:val="left"/>
      <w:pPr>
        <w:ind w:left="2880" w:hanging="360"/>
      </w:pPr>
    </w:lvl>
    <w:lvl w:ilvl="4" w:tplc="0DF4A560" w:tentative="1">
      <w:start w:val="1"/>
      <w:numFmt w:val="lowerLetter"/>
      <w:lvlText w:val="%5."/>
      <w:lvlJc w:val="left"/>
      <w:pPr>
        <w:ind w:left="3600" w:hanging="360"/>
      </w:pPr>
    </w:lvl>
    <w:lvl w:ilvl="5" w:tplc="DB1ECD8C" w:tentative="1">
      <w:start w:val="1"/>
      <w:numFmt w:val="lowerRoman"/>
      <w:lvlText w:val="%6."/>
      <w:lvlJc w:val="right"/>
      <w:pPr>
        <w:ind w:left="4320" w:hanging="180"/>
      </w:pPr>
    </w:lvl>
    <w:lvl w:ilvl="6" w:tplc="234461BC" w:tentative="1">
      <w:start w:val="1"/>
      <w:numFmt w:val="decimal"/>
      <w:lvlText w:val="%7."/>
      <w:lvlJc w:val="left"/>
      <w:pPr>
        <w:ind w:left="5040" w:hanging="360"/>
      </w:pPr>
    </w:lvl>
    <w:lvl w:ilvl="7" w:tplc="CA001E5E" w:tentative="1">
      <w:start w:val="1"/>
      <w:numFmt w:val="lowerLetter"/>
      <w:lvlText w:val="%8."/>
      <w:lvlJc w:val="left"/>
      <w:pPr>
        <w:ind w:left="5760" w:hanging="360"/>
      </w:pPr>
    </w:lvl>
    <w:lvl w:ilvl="8" w:tplc="57D6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2BB"/>
    <w:rsid w:val="00030457"/>
    <w:rsid w:val="00030BD5"/>
    <w:rsid w:val="00032F8B"/>
    <w:rsid w:val="0004728F"/>
    <w:rsid w:val="00051BD8"/>
    <w:rsid w:val="000576BB"/>
    <w:rsid w:val="0006700A"/>
    <w:rsid w:val="00070E3F"/>
    <w:rsid w:val="00075EC1"/>
    <w:rsid w:val="000A3383"/>
    <w:rsid w:val="000B7725"/>
    <w:rsid w:val="000C2B3E"/>
    <w:rsid w:val="00147221"/>
    <w:rsid w:val="00153551"/>
    <w:rsid w:val="00164BB9"/>
    <w:rsid w:val="001949CC"/>
    <w:rsid w:val="00195A73"/>
    <w:rsid w:val="001A297B"/>
    <w:rsid w:val="002361AD"/>
    <w:rsid w:val="00247BB9"/>
    <w:rsid w:val="0025391B"/>
    <w:rsid w:val="00274543"/>
    <w:rsid w:val="00286091"/>
    <w:rsid w:val="0029529F"/>
    <w:rsid w:val="00297558"/>
    <w:rsid w:val="002A707D"/>
    <w:rsid w:val="002D53F6"/>
    <w:rsid w:val="002E5D6B"/>
    <w:rsid w:val="002F1758"/>
    <w:rsid w:val="00320E03"/>
    <w:rsid w:val="00351D48"/>
    <w:rsid w:val="003B63D2"/>
    <w:rsid w:val="003C401E"/>
    <w:rsid w:val="003D0A78"/>
    <w:rsid w:val="003D4F82"/>
    <w:rsid w:val="003E12B5"/>
    <w:rsid w:val="003F5C23"/>
    <w:rsid w:val="00404EE6"/>
    <w:rsid w:val="00412A99"/>
    <w:rsid w:val="004269D9"/>
    <w:rsid w:val="00437DA3"/>
    <w:rsid w:val="004A4F03"/>
    <w:rsid w:val="004D516C"/>
    <w:rsid w:val="004E42C8"/>
    <w:rsid w:val="004F57E4"/>
    <w:rsid w:val="00521C00"/>
    <w:rsid w:val="0053073B"/>
    <w:rsid w:val="00543508"/>
    <w:rsid w:val="005463AE"/>
    <w:rsid w:val="00564CA6"/>
    <w:rsid w:val="005B5CAF"/>
    <w:rsid w:val="005C7FA1"/>
    <w:rsid w:val="005D2D1E"/>
    <w:rsid w:val="005F265A"/>
    <w:rsid w:val="00614405"/>
    <w:rsid w:val="00617AAC"/>
    <w:rsid w:val="00644ADB"/>
    <w:rsid w:val="00672235"/>
    <w:rsid w:val="00677B0F"/>
    <w:rsid w:val="00687A95"/>
    <w:rsid w:val="006904AA"/>
    <w:rsid w:val="00693F05"/>
    <w:rsid w:val="006A0731"/>
    <w:rsid w:val="006A6D0B"/>
    <w:rsid w:val="006C16C2"/>
    <w:rsid w:val="006D1791"/>
    <w:rsid w:val="006D218D"/>
    <w:rsid w:val="006D3451"/>
    <w:rsid w:val="006D513B"/>
    <w:rsid w:val="006E71B7"/>
    <w:rsid w:val="0074092B"/>
    <w:rsid w:val="00741560"/>
    <w:rsid w:val="00785E10"/>
    <w:rsid w:val="0079484F"/>
    <w:rsid w:val="00796BE9"/>
    <w:rsid w:val="007A068C"/>
    <w:rsid w:val="007A32F8"/>
    <w:rsid w:val="007B3D60"/>
    <w:rsid w:val="007B4DDB"/>
    <w:rsid w:val="007B510F"/>
    <w:rsid w:val="007E7862"/>
    <w:rsid w:val="0080286C"/>
    <w:rsid w:val="008257F8"/>
    <w:rsid w:val="008603DA"/>
    <w:rsid w:val="0086189F"/>
    <w:rsid w:val="008652C8"/>
    <w:rsid w:val="008657D8"/>
    <w:rsid w:val="00897450"/>
    <w:rsid w:val="008A19E9"/>
    <w:rsid w:val="008B244D"/>
    <w:rsid w:val="008C3D5B"/>
    <w:rsid w:val="008E3846"/>
    <w:rsid w:val="009118B5"/>
    <w:rsid w:val="009139A1"/>
    <w:rsid w:val="00931891"/>
    <w:rsid w:val="0094510E"/>
    <w:rsid w:val="00996740"/>
    <w:rsid w:val="009A1038"/>
    <w:rsid w:val="009A29CA"/>
    <w:rsid w:val="009A3989"/>
    <w:rsid w:val="009B383E"/>
    <w:rsid w:val="009B4FD1"/>
    <w:rsid w:val="009B7F8F"/>
    <w:rsid w:val="00A12ECB"/>
    <w:rsid w:val="00A254B5"/>
    <w:rsid w:val="00A35EC4"/>
    <w:rsid w:val="00A52B04"/>
    <w:rsid w:val="00A74772"/>
    <w:rsid w:val="00A80AA5"/>
    <w:rsid w:val="00AD1D13"/>
    <w:rsid w:val="00B36CD4"/>
    <w:rsid w:val="00B4014F"/>
    <w:rsid w:val="00B47C10"/>
    <w:rsid w:val="00B80BA7"/>
    <w:rsid w:val="00BA5298"/>
    <w:rsid w:val="00BB16A4"/>
    <w:rsid w:val="00BB78BE"/>
    <w:rsid w:val="00BE75D1"/>
    <w:rsid w:val="00BE7D27"/>
    <w:rsid w:val="00BF3BB9"/>
    <w:rsid w:val="00C02695"/>
    <w:rsid w:val="00C82360"/>
    <w:rsid w:val="00C9477C"/>
    <w:rsid w:val="00C96006"/>
    <w:rsid w:val="00CB1F64"/>
    <w:rsid w:val="00CB2492"/>
    <w:rsid w:val="00CC1B2F"/>
    <w:rsid w:val="00CC4AD4"/>
    <w:rsid w:val="00CE7C84"/>
    <w:rsid w:val="00CF16C2"/>
    <w:rsid w:val="00D1034A"/>
    <w:rsid w:val="00D33793"/>
    <w:rsid w:val="00D63E37"/>
    <w:rsid w:val="00D77870"/>
    <w:rsid w:val="00D82157"/>
    <w:rsid w:val="00D86969"/>
    <w:rsid w:val="00DC6229"/>
    <w:rsid w:val="00DD739D"/>
    <w:rsid w:val="00E053BD"/>
    <w:rsid w:val="00E16CC5"/>
    <w:rsid w:val="00E23364"/>
    <w:rsid w:val="00E34D12"/>
    <w:rsid w:val="00E518EA"/>
    <w:rsid w:val="00E52DA2"/>
    <w:rsid w:val="00E55954"/>
    <w:rsid w:val="00E64029"/>
    <w:rsid w:val="00E702A0"/>
    <w:rsid w:val="00E756DE"/>
    <w:rsid w:val="00E75D8D"/>
    <w:rsid w:val="00E86428"/>
    <w:rsid w:val="00E9485D"/>
    <w:rsid w:val="00EB0E96"/>
    <w:rsid w:val="00EF06E1"/>
    <w:rsid w:val="00F223DF"/>
    <w:rsid w:val="00F25C21"/>
    <w:rsid w:val="00F60E61"/>
    <w:rsid w:val="00F9072E"/>
    <w:rsid w:val="00F94708"/>
    <w:rsid w:val="00FA29A3"/>
    <w:rsid w:val="00FB1862"/>
    <w:rsid w:val="00FB27F9"/>
    <w:rsid w:val="00FD3647"/>
    <w:rsid w:val="00FE243C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BD25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A0731"/>
    <w:pPr>
      <w:ind w:left="720"/>
      <w:contextualSpacing/>
    </w:pPr>
  </w:style>
  <w:style w:type="paragraph" w:styleId="Prskatjums">
    <w:name w:val="Revision"/>
    <w:hidden/>
    <w:uiPriority w:val="99"/>
    <w:semiHidden/>
    <w:rsid w:val="009B4FD1"/>
  </w:style>
  <w:style w:type="character" w:styleId="Komentraatsauce">
    <w:name w:val="annotation reference"/>
    <w:basedOn w:val="Noklusjumarindkopasfonts"/>
    <w:uiPriority w:val="99"/>
    <w:semiHidden/>
    <w:unhideWhenUsed/>
    <w:rsid w:val="004E42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42C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42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42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4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74</cp:revision>
  <cp:lastPrinted>2025-10-29T09:46:00Z</cp:lastPrinted>
  <dcterms:created xsi:type="dcterms:W3CDTF">2025-10-29T08:30:00Z</dcterms:created>
  <dcterms:modified xsi:type="dcterms:W3CDTF">2025-11-10T14:24:00Z</dcterms:modified>
</cp:coreProperties>
</file>