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D269" w14:textId="77777777" w:rsidR="00955AE9" w:rsidRPr="00955AE9" w:rsidRDefault="00955AE9" w:rsidP="00955AE9">
      <w:pPr>
        <w:pStyle w:val="Sarakstarindkopa"/>
        <w:spacing w:after="0" w:line="240" w:lineRule="auto"/>
        <w:ind w:right="-624"/>
        <w:jc w:val="right"/>
        <w:rPr>
          <w:rFonts w:ascii="Times New Roman" w:hAnsi="Times New Roman" w:cs="Times New Roman"/>
          <w:sz w:val="20"/>
          <w:szCs w:val="20"/>
        </w:rPr>
      </w:pPr>
      <w:r w:rsidRPr="00955AE9">
        <w:rPr>
          <w:rFonts w:ascii="Times New Roman" w:hAnsi="Times New Roman" w:cs="Times New Roman"/>
          <w:sz w:val="20"/>
          <w:szCs w:val="20"/>
        </w:rPr>
        <w:t>1.pielikums</w:t>
      </w:r>
    </w:p>
    <w:p w14:paraId="5F86F32A" w14:textId="77777777" w:rsidR="00955AE9" w:rsidRPr="00955AE9" w:rsidRDefault="00955AE9" w:rsidP="00955AE9">
      <w:pPr>
        <w:pStyle w:val="Sarakstarindkopa"/>
        <w:spacing w:after="0" w:line="240" w:lineRule="auto"/>
        <w:ind w:right="-624"/>
        <w:jc w:val="right"/>
        <w:rPr>
          <w:rFonts w:ascii="Times New Roman" w:hAnsi="Times New Roman" w:cs="Times New Roman"/>
          <w:sz w:val="20"/>
          <w:szCs w:val="20"/>
        </w:rPr>
      </w:pPr>
      <w:r w:rsidRPr="00955AE9">
        <w:rPr>
          <w:rFonts w:ascii="Times New Roman" w:hAnsi="Times New Roman" w:cs="Times New Roman"/>
          <w:sz w:val="20"/>
          <w:szCs w:val="20"/>
        </w:rPr>
        <w:t>Finanšu komitejas</w:t>
      </w:r>
    </w:p>
    <w:p w14:paraId="572B771C" w14:textId="77777777" w:rsidR="00955AE9" w:rsidRPr="00955AE9" w:rsidRDefault="00955AE9" w:rsidP="00955AE9">
      <w:pPr>
        <w:pStyle w:val="Sarakstarindkopa"/>
        <w:spacing w:after="0" w:line="240" w:lineRule="auto"/>
        <w:ind w:right="-624"/>
        <w:jc w:val="right"/>
        <w:rPr>
          <w:rFonts w:ascii="Times New Roman" w:hAnsi="Times New Roman" w:cs="Times New Roman"/>
          <w:sz w:val="20"/>
          <w:szCs w:val="20"/>
        </w:rPr>
      </w:pPr>
      <w:r w:rsidRPr="00955AE9">
        <w:rPr>
          <w:rFonts w:ascii="Times New Roman" w:hAnsi="Times New Roman" w:cs="Times New Roman"/>
          <w:sz w:val="20"/>
          <w:szCs w:val="20"/>
        </w:rPr>
        <w:t>2025. gada 15. oktobra sēdes</w:t>
      </w:r>
    </w:p>
    <w:p w14:paraId="398559BE" w14:textId="77777777" w:rsidR="00955AE9" w:rsidRPr="004F1118" w:rsidRDefault="00955AE9" w:rsidP="00955AE9">
      <w:pPr>
        <w:pStyle w:val="Sarakstarindkopa"/>
        <w:spacing w:after="0" w:line="240" w:lineRule="auto"/>
        <w:ind w:right="-624"/>
        <w:jc w:val="right"/>
      </w:pPr>
      <w:r w:rsidRPr="00955AE9">
        <w:rPr>
          <w:rFonts w:ascii="Times New Roman" w:hAnsi="Times New Roman" w:cs="Times New Roman"/>
          <w:sz w:val="20"/>
          <w:szCs w:val="20"/>
        </w:rPr>
        <w:t>protokolam N. 11</w:t>
      </w:r>
    </w:p>
    <w:p w14:paraId="259C7D66" w14:textId="77777777" w:rsidR="00955AE9" w:rsidRDefault="00955AE9" w:rsidP="004F1345">
      <w:pPr>
        <w:pStyle w:val="Default"/>
        <w:ind w:right="-625"/>
        <w:jc w:val="right"/>
      </w:pPr>
    </w:p>
    <w:p w14:paraId="3BF1DA63" w14:textId="00505A15" w:rsidR="003E4153" w:rsidRDefault="003E4153" w:rsidP="004F1345">
      <w:pPr>
        <w:pStyle w:val="Default"/>
        <w:ind w:right="-625"/>
        <w:jc w:val="right"/>
      </w:pPr>
      <w:r>
        <w:t>Ādažu novada pašvaldības domes</w:t>
      </w:r>
    </w:p>
    <w:p w14:paraId="54D173B8" w14:textId="674BAF77" w:rsidR="00EF0851" w:rsidRDefault="003E4153" w:rsidP="004F1345">
      <w:pPr>
        <w:pStyle w:val="Default"/>
        <w:ind w:right="-625"/>
        <w:jc w:val="right"/>
      </w:pPr>
      <w:r>
        <w:t>Finanšu komitejai</w:t>
      </w:r>
    </w:p>
    <w:p w14:paraId="2A0EB62C" w14:textId="77777777" w:rsidR="004F1345" w:rsidRDefault="004F1345" w:rsidP="00EF0851">
      <w:pPr>
        <w:pStyle w:val="Default"/>
        <w:spacing w:after="120"/>
        <w:ind w:right="-625"/>
        <w:jc w:val="center"/>
        <w:rPr>
          <w:b/>
          <w:bCs/>
          <w:sz w:val="32"/>
          <w:szCs w:val="32"/>
        </w:rPr>
      </w:pPr>
    </w:p>
    <w:p w14:paraId="170E0177" w14:textId="11CB5DE5" w:rsidR="00EF0851" w:rsidRPr="00A935B7" w:rsidRDefault="003E4153" w:rsidP="00AA4B30">
      <w:pPr>
        <w:pStyle w:val="Default"/>
        <w:ind w:right="-625"/>
        <w:jc w:val="center"/>
        <w:rPr>
          <w:b/>
          <w:bCs/>
          <w:sz w:val="28"/>
          <w:szCs w:val="28"/>
        </w:rPr>
      </w:pPr>
      <w:r>
        <w:rPr>
          <w:b/>
          <w:bCs/>
          <w:sz w:val="28"/>
          <w:szCs w:val="28"/>
        </w:rPr>
        <w:t>PAŠVALDĪBAS ADMINISTRĀCIJA</w:t>
      </w:r>
      <w:r w:rsidR="00AA4B30">
        <w:rPr>
          <w:b/>
          <w:bCs/>
          <w:sz w:val="28"/>
          <w:szCs w:val="28"/>
        </w:rPr>
        <w:t>S</w:t>
      </w:r>
      <w:r>
        <w:rPr>
          <w:b/>
          <w:bCs/>
          <w:sz w:val="28"/>
          <w:szCs w:val="28"/>
        </w:rPr>
        <w:t xml:space="preserve"> </w:t>
      </w:r>
      <w:r w:rsidR="00DB0621">
        <w:rPr>
          <w:b/>
          <w:bCs/>
          <w:sz w:val="28"/>
          <w:szCs w:val="28"/>
        </w:rPr>
        <w:t>ATZINUMS</w:t>
      </w:r>
    </w:p>
    <w:p w14:paraId="426ED70A" w14:textId="125235BC" w:rsidR="004F1345" w:rsidRPr="00AA4B30" w:rsidRDefault="004F1345" w:rsidP="004F1345">
      <w:pPr>
        <w:pStyle w:val="Default"/>
        <w:ind w:right="-624"/>
        <w:jc w:val="center"/>
        <w:rPr>
          <w:b/>
          <w:bCs/>
        </w:rPr>
      </w:pPr>
      <w:r w:rsidRPr="00AA4B30">
        <w:rPr>
          <w:b/>
          <w:bCs/>
        </w:rPr>
        <w:t xml:space="preserve">par deputātu </w:t>
      </w:r>
      <w:proofErr w:type="spellStart"/>
      <w:r w:rsidR="00901CA0" w:rsidRPr="00CE322A">
        <w:rPr>
          <w:b/>
          <w:bCs/>
        </w:rPr>
        <w:t>A</w:t>
      </w:r>
      <w:r w:rsidR="003E4153">
        <w:rPr>
          <w:b/>
          <w:bCs/>
        </w:rPr>
        <w:t>.</w:t>
      </w:r>
      <w:r w:rsidR="00901CA0" w:rsidRPr="00CE322A">
        <w:rPr>
          <w:b/>
          <w:bCs/>
        </w:rPr>
        <w:t>Deniņas</w:t>
      </w:r>
      <w:proofErr w:type="spellEnd"/>
      <w:r w:rsidR="00901CA0" w:rsidRPr="00CE322A">
        <w:rPr>
          <w:b/>
          <w:bCs/>
        </w:rPr>
        <w:t xml:space="preserve"> un</w:t>
      </w:r>
      <w:r w:rsidR="003E4153">
        <w:rPr>
          <w:b/>
          <w:bCs/>
        </w:rPr>
        <w:t xml:space="preserve"> </w:t>
      </w:r>
      <w:proofErr w:type="spellStart"/>
      <w:r w:rsidR="003E4153">
        <w:rPr>
          <w:b/>
          <w:bCs/>
        </w:rPr>
        <w:t>I.</w:t>
      </w:r>
      <w:r w:rsidR="00901CA0" w:rsidRPr="00CE322A">
        <w:rPr>
          <w:b/>
          <w:bCs/>
        </w:rPr>
        <w:t>Krastiņa</w:t>
      </w:r>
      <w:proofErr w:type="spellEnd"/>
      <w:r w:rsidR="00901CA0" w:rsidRPr="00CE322A">
        <w:rPr>
          <w:b/>
          <w:bCs/>
        </w:rPr>
        <w:t xml:space="preserve"> </w:t>
      </w:r>
      <w:r w:rsidRPr="00AA4B30">
        <w:rPr>
          <w:b/>
          <w:bCs/>
        </w:rPr>
        <w:t>17.09.2025. iesniegumu</w:t>
      </w:r>
    </w:p>
    <w:p w14:paraId="1F9AA982" w14:textId="76E42EC8" w:rsidR="004F1345" w:rsidRPr="00AA4B30" w:rsidRDefault="004F1345" w:rsidP="004F1345">
      <w:pPr>
        <w:pStyle w:val="Default"/>
        <w:ind w:right="-624"/>
        <w:jc w:val="center"/>
        <w:rPr>
          <w:b/>
          <w:bCs/>
        </w:rPr>
      </w:pPr>
      <w:r w:rsidRPr="00AA4B30">
        <w:rPr>
          <w:b/>
          <w:bCs/>
        </w:rPr>
        <w:t>par nodokļu “atgriešanās mājās” principa ievērošanu, izstrādājot pašvaldības budžetu</w:t>
      </w:r>
    </w:p>
    <w:p w14:paraId="40421E9E" w14:textId="77777777" w:rsidR="00EF0851" w:rsidRPr="00EF0851" w:rsidRDefault="00EF0851" w:rsidP="00EF0851">
      <w:pPr>
        <w:pStyle w:val="Default"/>
        <w:spacing w:after="120"/>
        <w:ind w:right="-625"/>
        <w:jc w:val="center"/>
        <w:rPr>
          <w:b/>
          <w:bCs/>
          <w:sz w:val="32"/>
          <w:szCs w:val="32"/>
        </w:rPr>
      </w:pPr>
    </w:p>
    <w:p w14:paraId="26A73E63" w14:textId="77777777" w:rsidR="002E06E3" w:rsidRPr="002E06E3" w:rsidRDefault="002E06E3" w:rsidP="00EF0851">
      <w:pPr>
        <w:pStyle w:val="Default"/>
        <w:spacing w:after="120"/>
        <w:ind w:right="-625"/>
        <w:jc w:val="both"/>
        <w:rPr>
          <w:b/>
          <w:bCs/>
        </w:rPr>
      </w:pPr>
      <w:r w:rsidRPr="002E06E3">
        <w:rPr>
          <w:b/>
          <w:bCs/>
        </w:rPr>
        <w:t>Iesniegumā norādīts:</w:t>
      </w:r>
    </w:p>
    <w:p w14:paraId="48FDD5F6" w14:textId="3FC7E51E" w:rsidR="003E4153" w:rsidRDefault="00EF0851" w:rsidP="00AA4B30">
      <w:pPr>
        <w:pStyle w:val="Default"/>
        <w:spacing w:after="120"/>
        <w:ind w:left="567" w:right="-625" w:hanging="283"/>
        <w:jc w:val="both"/>
      </w:pPr>
      <w:r>
        <w:t>l</w:t>
      </w:r>
      <w:r w:rsidRPr="00EF0851">
        <w:t>iel</w:t>
      </w:r>
      <w:r w:rsidR="003E4153">
        <w:t>u</w:t>
      </w:r>
      <w:r w:rsidRPr="00EF0851">
        <w:t xml:space="preserve"> daļ</w:t>
      </w:r>
      <w:r w:rsidR="003E4153">
        <w:t>u</w:t>
      </w:r>
      <w:r w:rsidRPr="00EF0851">
        <w:t xml:space="preserve"> pašvaldības nodokļu ieņēmumu izlieto centrālajām funkcijām (administrācija, izglītība, u</w:t>
      </w:r>
      <w:r w:rsidR="00901CA0">
        <w:t>.</w:t>
      </w:r>
      <w:r w:rsidRPr="00EF0851">
        <w:t>tml.), taču atlikusī daļa ilggadīgi tiek ieguldīta nelīdzvērtīgi starp 22 apdzīvotajām vietām</w:t>
      </w:r>
      <w:r w:rsidR="002E06E3">
        <w:t>;</w:t>
      </w:r>
    </w:p>
    <w:p w14:paraId="263371E5" w14:textId="55BB98F3" w:rsidR="00901CA0" w:rsidRDefault="003E4153" w:rsidP="00901CA0">
      <w:pPr>
        <w:pStyle w:val="Default"/>
        <w:numPr>
          <w:ilvl w:val="0"/>
          <w:numId w:val="6"/>
        </w:numPr>
        <w:spacing w:after="120"/>
        <w:ind w:left="567" w:right="-625" w:hanging="283"/>
        <w:jc w:val="both"/>
      </w:pPr>
      <w:r>
        <w:t xml:space="preserve">katrā ciemā jāpieredz, ka ciema iedzīvotāju deklarētās vietas nodokļu kāda konkrēta daļa vienmēr atgriežas izcelsmes vietā kā ieguldījums infrastruktūrā. Tas </w:t>
      </w:r>
      <w:r w:rsidRPr="00EF0851">
        <w:t>veicinātu nedeklarēto iedzīvotāju deklarēšanos novadā, jo būtu skaidri redzama saikne starp deklarēšanos un katra ciema labiekārtošanas investīcijām</w:t>
      </w:r>
      <w:r>
        <w:t>;</w:t>
      </w:r>
    </w:p>
    <w:p w14:paraId="67B03820" w14:textId="2FF4F77A" w:rsidR="004F1345" w:rsidRPr="00EF0851" w:rsidRDefault="004F1345" w:rsidP="00AA4B30">
      <w:pPr>
        <w:pStyle w:val="Default"/>
        <w:numPr>
          <w:ilvl w:val="0"/>
          <w:numId w:val="6"/>
        </w:numPr>
        <w:spacing w:after="120"/>
        <w:ind w:left="567" w:right="-625" w:hanging="283"/>
        <w:jc w:val="both"/>
      </w:pPr>
      <w:r w:rsidRPr="00EF0851">
        <w:t xml:space="preserve">pašvaldībai </w:t>
      </w:r>
      <w:r w:rsidR="002E06E3">
        <w:t>šis</w:t>
      </w:r>
      <w:r w:rsidRPr="00EF0851">
        <w:t xml:space="preserve"> princip</w:t>
      </w:r>
      <w:r w:rsidR="002E06E3">
        <w:t>s jāievēro</w:t>
      </w:r>
      <w:r w:rsidRPr="00EF0851">
        <w:t xml:space="preserve"> kā aptuven</w:t>
      </w:r>
      <w:r w:rsidR="002E06E3">
        <w:t>ā</w:t>
      </w:r>
      <w:r w:rsidRPr="00EF0851">
        <w:t xml:space="preserve"> mēraukl</w:t>
      </w:r>
      <w:r w:rsidR="002E06E3">
        <w:t>a</w:t>
      </w:r>
      <w:r w:rsidRPr="00EF0851">
        <w:t xml:space="preserve">, lai </w:t>
      </w:r>
      <w:r w:rsidR="00901CA0">
        <w:t>4</w:t>
      </w:r>
      <w:r w:rsidR="00901CA0" w:rsidRPr="00EF0851">
        <w:t xml:space="preserve"> </w:t>
      </w:r>
      <w:r w:rsidRPr="00EF0851">
        <w:t xml:space="preserve">gadu periodā visu 22 apdzīvoto vietu iedzīvotāji piedzīvotu, ka novads tiek attīstīts līdzsvaroti un godīgi. </w:t>
      </w:r>
    </w:p>
    <w:p w14:paraId="4C934486" w14:textId="2EA47AB9" w:rsidR="00EF0851" w:rsidRDefault="00901CA0" w:rsidP="00EF0851">
      <w:pPr>
        <w:pStyle w:val="Default"/>
        <w:spacing w:after="120"/>
        <w:ind w:right="-625"/>
        <w:jc w:val="both"/>
        <w:rPr>
          <w:b/>
          <w:bCs/>
        </w:rPr>
      </w:pPr>
      <w:r>
        <w:rPr>
          <w:b/>
          <w:bCs/>
        </w:rPr>
        <w:t>I</w:t>
      </w:r>
      <w:r w:rsidR="00EF0851" w:rsidRPr="002E06E3">
        <w:rPr>
          <w:b/>
          <w:bCs/>
        </w:rPr>
        <w:t>erosinā</w:t>
      </w:r>
      <w:r w:rsidR="0019102A">
        <w:rPr>
          <w:b/>
          <w:bCs/>
        </w:rPr>
        <w:t>jum</w:t>
      </w:r>
      <w:r>
        <w:rPr>
          <w:b/>
          <w:bCs/>
        </w:rPr>
        <w:t>u</w:t>
      </w:r>
      <w:r w:rsidR="0019102A">
        <w:rPr>
          <w:b/>
          <w:bCs/>
        </w:rPr>
        <w:t xml:space="preserve"> izpilde</w:t>
      </w:r>
      <w:r>
        <w:rPr>
          <w:b/>
          <w:bCs/>
        </w:rPr>
        <w:t>s iespējas</w:t>
      </w:r>
    </w:p>
    <w:tbl>
      <w:tblPr>
        <w:tblStyle w:val="Reatabula"/>
        <w:tblW w:w="8926" w:type="dxa"/>
        <w:tblLook w:val="04A0" w:firstRow="1" w:lastRow="0" w:firstColumn="1" w:lastColumn="0" w:noHBand="0" w:noVBand="1"/>
      </w:tblPr>
      <w:tblGrid>
        <w:gridCol w:w="8926"/>
      </w:tblGrid>
      <w:tr w:rsidR="0019102A" w14:paraId="7E4D42CF" w14:textId="77777777" w:rsidTr="0019102A">
        <w:tc>
          <w:tcPr>
            <w:tcW w:w="8926" w:type="dxa"/>
          </w:tcPr>
          <w:p w14:paraId="6294B76A" w14:textId="5DA21AA8" w:rsidR="0019102A" w:rsidRDefault="0019102A" w:rsidP="0068629B">
            <w:pPr>
              <w:pStyle w:val="Default"/>
              <w:numPr>
                <w:ilvl w:val="0"/>
                <w:numId w:val="2"/>
              </w:numPr>
              <w:spacing w:after="120"/>
              <w:ind w:left="318"/>
              <w:jc w:val="both"/>
              <w:rPr>
                <w:b/>
                <w:bCs/>
              </w:rPr>
            </w:pPr>
            <w:r>
              <w:t>V</w:t>
            </w:r>
            <w:r w:rsidRPr="00EF0851">
              <w:t>eikt nodokļu uzskaiti par katru apdzīvoto vietu un reizi gadā, pirms jaunā budžeta izstrādes</w:t>
            </w:r>
            <w:r>
              <w:t xml:space="preserve"> </w:t>
            </w:r>
            <w:r w:rsidRPr="00EF0851">
              <w:t>uzsākšanas, ziņot par rezultātiem domes Finanšu komitejā</w:t>
            </w:r>
          </w:p>
        </w:tc>
      </w:tr>
    </w:tbl>
    <w:p w14:paraId="2664137D" w14:textId="5B4CA253" w:rsidR="00F657DB" w:rsidRDefault="00F657DB" w:rsidP="00AA4B30">
      <w:pPr>
        <w:pStyle w:val="Default"/>
        <w:numPr>
          <w:ilvl w:val="0"/>
          <w:numId w:val="4"/>
        </w:numPr>
        <w:spacing w:before="120" w:after="120"/>
        <w:ind w:left="425" w:right="-624" w:hanging="425"/>
        <w:jc w:val="both"/>
      </w:pPr>
      <w:r>
        <w:t>Iedzīvotāju ienākuma nodoklis (IIN) ietver maksājumus par personas visa veida ienākumiem un atbilstoši gadskārtējā valsts budžeta likumā noteiktajam sadalījumam tiek ieskaitīts pašvaldības budžetā, kuras administratīvajā teritorijā personas deklarētā dzīvesvieta bija taksācijas gada sākumā.</w:t>
      </w:r>
      <w:r>
        <w:rPr>
          <w:rStyle w:val="Vresatsauce"/>
        </w:rPr>
        <w:footnoteReference w:id="1"/>
      </w:r>
      <w:r>
        <w:t xml:space="preserve"> Ņemot vērā, ka IIN administrē Valsts ieņēmumu dienests, pašvaldībā </w:t>
      </w:r>
      <w:r w:rsidRPr="00E27399">
        <w:rPr>
          <w:u w:val="single"/>
        </w:rPr>
        <w:t>nav iespējams veikt nodokļu uzskaiti par katras apdzīvotās vietas iedzīvotāju IIN iemaksām atsevišķi</w:t>
      </w:r>
      <w:r>
        <w:t>.</w:t>
      </w:r>
    </w:p>
    <w:p w14:paraId="7C590926" w14:textId="7ABA2487" w:rsidR="0086717E" w:rsidRDefault="001E55AB" w:rsidP="00AA4B30">
      <w:pPr>
        <w:pStyle w:val="Default"/>
        <w:numPr>
          <w:ilvl w:val="0"/>
          <w:numId w:val="4"/>
        </w:numPr>
        <w:spacing w:after="120"/>
        <w:ind w:left="426" w:right="-625" w:hanging="426"/>
        <w:jc w:val="both"/>
      </w:pPr>
      <w:r>
        <w:t xml:space="preserve">NĪN </w:t>
      </w:r>
      <w:r w:rsidR="0086717E">
        <w:t>administrēšanai pašvaldīb</w:t>
      </w:r>
      <w:r w:rsidR="00901CA0">
        <w:t>a</w:t>
      </w:r>
      <w:r w:rsidR="0086717E">
        <w:t xml:space="preserve"> izmanto NINO programm</w:t>
      </w:r>
      <w:r w:rsidR="00901CA0">
        <w:t>u,</w:t>
      </w:r>
      <w:r w:rsidR="003E4153">
        <w:t xml:space="preserve"> un</w:t>
      </w:r>
      <w:r w:rsidR="00901CA0">
        <w:t xml:space="preserve"> </w:t>
      </w:r>
      <w:r w:rsidR="0086717E">
        <w:t>datus par aprēķināto un iekasēto nodokli iespējams iegūt</w:t>
      </w:r>
      <w:r w:rsidR="00DB0621">
        <w:t xml:space="preserve"> nepilnīgi</w:t>
      </w:r>
      <w:r w:rsidR="00901CA0">
        <w:t xml:space="preserve">, t.i., </w:t>
      </w:r>
      <w:r w:rsidR="0086717E">
        <w:t xml:space="preserve">par 8 </w:t>
      </w:r>
      <w:r w:rsidR="00901CA0">
        <w:t>(</w:t>
      </w:r>
      <w:r w:rsidR="0086717E">
        <w:t>no 11 ciemiem</w:t>
      </w:r>
      <w:r w:rsidR="00901CA0">
        <w:t>)</w:t>
      </w:r>
      <w:r w:rsidR="0086717E">
        <w:t xml:space="preserve"> Ādažu pagastā</w:t>
      </w:r>
      <w:r w:rsidR="00901CA0">
        <w:t xml:space="preserve">, un </w:t>
      </w:r>
      <w:r w:rsidR="0086717E">
        <w:t xml:space="preserve">par 8 </w:t>
      </w:r>
      <w:r w:rsidR="00901CA0">
        <w:t>(</w:t>
      </w:r>
      <w:r w:rsidR="0086717E">
        <w:t>no 10 ciemiem</w:t>
      </w:r>
      <w:r w:rsidR="00901CA0">
        <w:t>)</w:t>
      </w:r>
      <w:r w:rsidR="0086717E">
        <w:t xml:space="preserve"> Carnikavas pagastā</w:t>
      </w:r>
      <w:r w:rsidR="00AA4B30">
        <w:t xml:space="preserve"> un Ādažu pilsētu</w:t>
      </w:r>
      <w:r w:rsidR="00675274">
        <w:t>.</w:t>
      </w:r>
    </w:p>
    <w:p w14:paraId="25A0159A" w14:textId="1014F47C" w:rsidR="0086717E" w:rsidRDefault="00675274" w:rsidP="00AA4B30">
      <w:pPr>
        <w:pStyle w:val="Default"/>
        <w:spacing w:after="120"/>
        <w:ind w:left="426" w:right="-625"/>
        <w:jc w:val="both"/>
      </w:pPr>
      <w:r>
        <w:t>P</w:t>
      </w:r>
      <w:r w:rsidR="0086717E">
        <w:t>ārējo ciemu (</w:t>
      </w:r>
      <w:proofErr w:type="spellStart"/>
      <w:r w:rsidR="0086717E">
        <w:t>Āņi</w:t>
      </w:r>
      <w:proofErr w:type="spellEnd"/>
      <w:r w:rsidR="0086717E">
        <w:t xml:space="preserve">, Birznieki, </w:t>
      </w:r>
      <w:proofErr w:type="spellStart"/>
      <w:r w:rsidR="0086717E">
        <w:t>Eimuri</w:t>
      </w:r>
      <w:proofErr w:type="spellEnd"/>
      <w:r w:rsidR="00901CA0">
        <w:t xml:space="preserve">, </w:t>
      </w:r>
      <w:proofErr w:type="spellStart"/>
      <w:r w:rsidR="0086717E">
        <w:t>Mežgarciems</w:t>
      </w:r>
      <w:proofErr w:type="spellEnd"/>
      <w:r w:rsidR="0086717E">
        <w:t xml:space="preserve">, </w:t>
      </w:r>
      <w:proofErr w:type="spellStart"/>
      <w:r w:rsidR="0086717E">
        <w:t>Laveri</w:t>
      </w:r>
      <w:proofErr w:type="spellEnd"/>
      <w:r w:rsidR="0086717E">
        <w:t>) nodokļi ir ietverti tuvākā lielākā ciema nodokļu aprēķinā</w:t>
      </w:r>
      <w:r w:rsidR="00901CA0">
        <w:t>,</w:t>
      </w:r>
      <w:r w:rsidR="0086717E">
        <w:t xml:space="preserve"> un atsevišķi nav izdalāmi.</w:t>
      </w:r>
    </w:p>
    <w:p w14:paraId="07E22362" w14:textId="558A580B" w:rsidR="00675274" w:rsidRDefault="00675274" w:rsidP="00901CA0">
      <w:pPr>
        <w:pStyle w:val="Default"/>
        <w:spacing w:after="120"/>
        <w:ind w:left="426" w:right="-625"/>
        <w:jc w:val="both"/>
      </w:pPr>
      <w:r>
        <w:t xml:space="preserve">“Podnieki” ir teritorija Ādažu pilsētā, kas izveidojusies kā atsevišķa apkaime, </w:t>
      </w:r>
      <w:r w:rsidR="00901CA0">
        <w:t>tā</w:t>
      </w:r>
      <w:r>
        <w:t xml:space="preserve"> nav administratīvi nodalīta no pilsētas, </w:t>
      </w:r>
      <w:r w:rsidR="00901CA0">
        <w:t xml:space="preserve">tāpēc </w:t>
      </w:r>
      <w:r>
        <w:t>nodokļi ir ietverti Ādažu pilsētas nodokļu aprēķinā un atsevišķi nav izdalāmi.</w:t>
      </w:r>
    </w:p>
    <w:p w14:paraId="6574974E" w14:textId="77777777" w:rsidR="003E4153" w:rsidRDefault="003E4153" w:rsidP="003E4153">
      <w:pPr>
        <w:pStyle w:val="Default"/>
        <w:spacing w:before="120" w:after="120"/>
        <w:ind w:left="142" w:right="-624" w:hanging="142"/>
        <w:jc w:val="center"/>
        <w:rPr>
          <w:b/>
          <w:bCs/>
        </w:rPr>
      </w:pPr>
      <w:r>
        <w:rPr>
          <w:b/>
          <w:bCs/>
        </w:rPr>
        <w:t>NĪN aprēķins par 2025. gadu un iekasētais nodoklis uz 30.09.2025.</w:t>
      </w:r>
    </w:p>
    <w:p w14:paraId="44DD82D9" w14:textId="77777777" w:rsidR="003E4153" w:rsidRDefault="003E4153" w:rsidP="003E4153">
      <w:pPr>
        <w:pStyle w:val="Default"/>
        <w:spacing w:after="120"/>
        <w:ind w:left="142" w:right="-624" w:hanging="142"/>
        <w:rPr>
          <w:b/>
          <w:bCs/>
        </w:rPr>
      </w:pPr>
      <w:r>
        <w:rPr>
          <w:b/>
          <w:bCs/>
        </w:rPr>
        <w:lastRenderedPageBreak/>
        <w:t>Carnikavas pagasts</w:t>
      </w:r>
    </w:p>
    <w:tbl>
      <w:tblPr>
        <w:tblW w:w="8789" w:type="dxa"/>
        <w:tblLook w:val="04A0" w:firstRow="1" w:lastRow="0" w:firstColumn="1" w:lastColumn="0" w:noHBand="0" w:noVBand="1"/>
      </w:tblPr>
      <w:tblGrid>
        <w:gridCol w:w="1460"/>
        <w:gridCol w:w="1560"/>
        <w:gridCol w:w="1560"/>
        <w:gridCol w:w="1941"/>
        <w:gridCol w:w="2268"/>
      </w:tblGrid>
      <w:tr w:rsidR="003E4153" w:rsidRPr="00296DCC" w14:paraId="21B63506" w14:textId="77777777" w:rsidTr="00DF6350">
        <w:trPr>
          <w:trHeight w:val="379"/>
        </w:trPr>
        <w:tc>
          <w:tcPr>
            <w:tcW w:w="1460" w:type="dxa"/>
            <w:vMerge w:val="restart"/>
            <w:tcBorders>
              <w:top w:val="single" w:sz="8" w:space="0" w:color="auto"/>
              <w:left w:val="single" w:sz="8" w:space="0" w:color="auto"/>
              <w:bottom w:val="single" w:sz="8" w:space="0" w:color="000000"/>
              <w:right w:val="single" w:sz="8" w:space="0" w:color="auto"/>
            </w:tcBorders>
            <w:vAlign w:val="center"/>
            <w:hideMark/>
          </w:tcPr>
          <w:p w14:paraId="00F18DD0"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Ciemi</w:t>
            </w:r>
          </w:p>
        </w:tc>
        <w:tc>
          <w:tcPr>
            <w:tcW w:w="3120" w:type="dxa"/>
            <w:gridSpan w:val="2"/>
            <w:tcBorders>
              <w:top w:val="single" w:sz="8" w:space="0" w:color="auto"/>
              <w:left w:val="nil"/>
              <w:bottom w:val="single" w:sz="8" w:space="0" w:color="auto"/>
              <w:right w:val="single" w:sz="8" w:space="0" w:color="000000"/>
            </w:tcBorders>
            <w:vAlign w:val="center"/>
            <w:hideMark/>
          </w:tcPr>
          <w:p w14:paraId="4DDA02E8"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Aprēķināts</w:t>
            </w:r>
          </w:p>
        </w:tc>
        <w:tc>
          <w:tcPr>
            <w:tcW w:w="4209" w:type="dxa"/>
            <w:gridSpan w:val="2"/>
            <w:tcBorders>
              <w:top w:val="single" w:sz="8" w:space="0" w:color="auto"/>
              <w:left w:val="nil"/>
              <w:bottom w:val="single" w:sz="8" w:space="0" w:color="auto"/>
              <w:right w:val="single" w:sz="8" w:space="0" w:color="000000"/>
            </w:tcBorders>
            <w:vAlign w:val="center"/>
            <w:hideMark/>
          </w:tcPr>
          <w:p w14:paraId="3FAE6DC7"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 xml:space="preserve">     Samaksāts</w:t>
            </w:r>
          </w:p>
        </w:tc>
      </w:tr>
      <w:tr w:rsidR="003E4153" w:rsidRPr="00296DCC" w14:paraId="352FEE87" w14:textId="77777777" w:rsidTr="00DF6350">
        <w:trPr>
          <w:trHeight w:val="324"/>
        </w:trPr>
        <w:tc>
          <w:tcPr>
            <w:tcW w:w="1460" w:type="dxa"/>
            <w:vMerge/>
            <w:tcBorders>
              <w:top w:val="single" w:sz="8" w:space="0" w:color="auto"/>
              <w:left w:val="single" w:sz="8" w:space="0" w:color="auto"/>
              <w:bottom w:val="single" w:sz="8" w:space="0" w:color="000000"/>
              <w:right w:val="single" w:sz="8" w:space="0" w:color="auto"/>
            </w:tcBorders>
            <w:vAlign w:val="center"/>
            <w:hideMark/>
          </w:tcPr>
          <w:p w14:paraId="661CF6D4"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p>
        </w:tc>
        <w:tc>
          <w:tcPr>
            <w:tcW w:w="1560" w:type="dxa"/>
            <w:tcBorders>
              <w:top w:val="nil"/>
              <w:left w:val="nil"/>
              <w:bottom w:val="single" w:sz="8" w:space="0" w:color="auto"/>
              <w:right w:val="single" w:sz="8" w:space="0" w:color="auto"/>
            </w:tcBorders>
            <w:vAlign w:val="center"/>
            <w:hideMark/>
          </w:tcPr>
          <w:p w14:paraId="00360015"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par zemi</w:t>
            </w:r>
          </w:p>
        </w:tc>
        <w:tc>
          <w:tcPr>
            <w:tcW w:w="1560" w:type="dxa"/>
            <w:tcBorders>
              <w:top w:val="nil"/>
              <w:left w:val="nil"/>
              <w:bottom w:val="single" w:sz="8" w:space="0" w:color="auto"/>
              <w:right w:val="single" w:sz="8" w:space="0" w:color="auto"/>
            </w:tcBorders>
            <w:vAlign w:val="center"/>
            <w:hideMark/>
          </w:tcPr>
          <w:p w14:paraId="32ADC9AC"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par ēkām</w:t>
            </w:r>
          </w:p>
        </w:tc>
        <w:tc>
          <w:tcPr>
            <w:tcW w:w="1941" w:type="dxa"/>
            <w:tcBorders>
              <w:top w:val="nil"/>
              <w:left w:val="nil"/>
              <w:bottom w:val="single" w:sz="8" w:space="0" w:color="auto"/>
              <w:right w:val="single" w:sz="8" w:space="0" w:color="auto"/>
            </w:tcBorders>
            <w:vAlign w:val="center"/>
            <w:hideMark/>
          </w:tcPr>
          <w:p w14:paraId="501E8D1F"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par zemi</w:t>
            </w:r>
          </w:p>
        </w:tc>
        <w:tc>
          <w:tcPr>
            <w:tcW w:w="2268" w:type="dxa"/>
            <w:tcBorders>
              <w:top w:val="nil"/>
              <w:left w:val="nil"/>
              <w:bottom w:val="single" w:sz="8" w:space="0" w:color="auto"/>
              <w:right w:val="single" w:sz="8" w:space="0" w:color="auto"/>
            </w:tcBorders>
            <w:vAlign w:val="center"/>
            <w:hideMark/>
          </w:tcPr>
          <w:p w14:paraId="3F18CAFC" w14:textId="77777777" w:rsidR="003E4153" w:rsidRPr="00296DCC"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par ēkām</w:t>
            </w:r>
          </w:p>
        </w:tc>
      </w:tr>
      <w:tr w:rsidR="003E4153" w:rsidRPr="00296DCC" w14:paraId="4235863C"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0ADE87BD"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Lilaste</w:t>
            </w:r>
          </w:p>
        </w:tc>
        <w:tc>
          <w:tcPr>
            <w:tcW w:w="1560" w:type="dxa"/>
            <w:tcBorders>
              <w:top w:val="nil"/>
              <w:left w:val="nil"/>
              <w:bottom w:val="single" w:sz="8" w:space="0" w:color="auto"/>
              <w:right w:val="single" w:sz="8" w:space="0" w:color="auto"/>
            </w:tcBorders>
            <w:vAlign w:val="center"/>
            <w:hideMark/>
          </w:tcPr>
          <w:p w14:paraId="160A1735"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318,61</w:t>
            </w:r>
          </w:p>
        </w:tc>
        <w:tc>
          <w:tcPr>
            <w:tcW w:w="1560" w:type="dxa"/>
            <w:tcBorders>
              <w:top w:val="nil"/>
              <w:left w:val="nil"/>
              <w:bottom w:val="single" w:sz="8" w:space="0" w:color="auto"/>
              <w:right w:val="single" w:sz="8" w:space="0" w:color="auto"/>
            </w:tcBorders>
            <w:vAlign w:val="center"/>
            <w:hideMark/>
          </w:tcPr>
          <w:p w14:paraId="1C2912EA"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12</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769,49</w:t>
            </w:r>
          </w:p>
        </w:tc>
        <w:tc>
          <w:tcPr>
            <w:tcW w:w="1941" w:type="dxa"/>
            <w:tcBorders>
              <w:top w:val="nil"/>
              <w:left w:val="nil"/>
              <w:bottom w:val="single" w:sz="8" w:space="0" w:color="auto"/>
              <w:right w:val="single" w:sz="8" w:space="0" w:color="auto"/>
            </w:tcBorders>
            <w:vAlign w:val="center"/>
            <w:hideMark/>
          </w:tcPr>
          <w:p w14:paraId="6EC7597F"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13</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523,05</w:t>
            </w:r>
          </w:p>
        </w:tc>
        <w:tc>
          <w:tcPr>
            <w:tcW w:w="2268" w:type="dxa"/>
            <w:tcBorders>
              <w:top w:val="nil"/>
              <w:left w:val="nil"/>
              <w:bottom w:val="single" w:sz="8" w:space="0" w:color="auto"/>
              <w:right w:val="single" w:sz="8" w:space="0" w:color="auto"/>
            </w:tcBorders>
            <w:vAlign w:val="center"/>
            <w:hideMark/>
          </w:tcPr>
          <w:p w14:paraId="70C149B5"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11</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821,06</w:t>
            </w:r>
          </w:p>
        </w:tc>
      </w:tr>
      <w:tr w:rsidR="003E4153" w:rsidRPr="00296DCC" w14:paraId="518AB7C0"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1A6B91C7"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Gauja</w:t>
            </w:r>
          </w:p>
        </w:tc>
        <w:tc>
          <w:tcPr>
            <w:tcW w:w="1560" w:type="dxa"/>
            <w:tcBorders>
              <w:top w:val="nil"/>
              <w:left w:val="nil"/>
              <w:bottom w:val="single" w:sz="8" w:space="0" w:color="auto"/>
              <w:right w:val="single" w:sz="8" w:space="0" w:color="auto"/>
            </w:tcBorders>
            <w:vAlign w:val="center"/>
            <w:hideMark/>
          </w:tcPr>
          <w:p w14:paraId="2BC43AF0"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145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905,07</w:t>
            </w:r>
          </w:p>
        </w:tc>
        <w:tc>
          <w:tcPr>
            <w:tcW w:w="1560" w:type="dxa"/>
            <w:tcBorders>
              <w:top w:val="nil"/>
              <w:left w:val="nil"/>
              <w:bottom w:val="single" w:sz="8" w:space="0" w:color="auto"/>
              <w:right w:val="single" w:sz="8" w:space="0" w:color="auto"/>
            </w:tcBorders>
            <w:vAlign w:val="center"/>
            <w:hideMark/>
          </w:tcPr>
          <w:p w14:paraId="2215D325"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653,28</w:t>
            </w:r>
          </w:p>
        </w:tc>
        <w:tc>
          <w:tcPr>
            <w:tcW w:w="1941" w:type="dxa"/>
            <w:tcBorders>
              <w:top w:val="nil"/>
              <w:left w:val="nil"/>
              <w:bottom w:val="single" w:sz="8" w:space="0" w:color="auto"/>
              <w:right w:val="single" w:sz="8" w:space="0" w:color="auto"/>
            </w:tcBorders>
            <w:vAlign w:val="center"/>
            <w:hideMark/>
          </w:tcPr>
          <w:p w14:paraId="3A51F0A2"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130</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399,16</w:t>
            </w:r>
          </w:p>
        </w:tc>
        <w:tc>
          <w:tcPr>
            <w:tcW w:w="2268" w:type="dxa"/>
            <w:tcBorders>
              <w:top w:val="nil"/>
              <w:left w:val="nil"/>
              <w:bottom w:val="single" w:sz="8" w:space="0" w:color="auto"/>
              <w:right w:val="single" w:sz="8" w:space="0" w:color="auto"/>
            </w:tcBorders>
            <w:vAlign w:val="center"/>
            <w:hideMark/>
          </w:tcPr>
          <w:p w14:paraId="7489478C"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130</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697,86</w:t>
            </w:r>
          </w:p>
        </w:tc>
      </w:tr>
      <w:tr w:rsidR="003E4153" w:rsidRPr="00296DCC" w14:paraId="3522024F"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51B81E2F"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296DCC">
              <w:rPr>
                <w:rFonts w:ascii="Times New Roman" w:eastAsia="Times New Roman" w:hAnsi="Times New Roman" w:cs="Times New Roman"/>
                <w:b/>
                <w:bCs/>
                <w:color w:val="000000"/>
                <w:kern w:val="0"/>
                <w:lang w:eastAsia="lv-LV"/>
                <w14:ligatures w14:val="none"/>
              </w:rPr>
              <w:t>Siguļi</w:t>
            </w:r>
            <w:proofErr w:type="spellEnd"/>
          </w:p>
        </w:tc>
        <w:tc>
          <w:tcPr>
            <w:tcW w:w="1560" w:type="dxa"/>
            <w:tcBorders>
              <w:top w:val="nil"/>
              <w:left w:val="nil"/>
              <w:bottom w:val="single" w:sz="8" w:space="0" w:color="auto"/>
              <w:right w:val="single" w:sz="8" w:space="0" w:color="auto"/>
            </w:tcBorders>
            <w:vAlign w:val="center"/>
            <w:hideMark/>
          </w:tcPr>
          <w:p w14:paraId="1F6ADE52"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42</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440,26</w:t>
            </w:r>
          </w:p>
        </w:tc>
        <w:tc>
          <w:tcPr>
            <w:tcW w:w="1560" w:type="dxa"/>
            <w:tcBorders>
              <w:top w:val="nil"/>
              <w:left w:val="nil"/>
              <w:bottom w:val="single" w:sz="8" w:space="0" w:color="auto"/>
              <w:right w:val="single" w:sz="8" w:space="0" w:color="auto"/>
            </w:tcBorders>
            <w:vAlign w:val="center"/>
            <w:hideMark/>
          </w:tcPr>
          <w:p w14:paraId="61DFC32F"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35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003,24</w:t>
            </w:r>
          </w:p>
        </w:tc>
        <w:tc>
          <w:tcPr>
            <w:tcW w:w="1941" w:type="dxa"/>
            <w:tcBorders>
              <w:top w:val="nil"/>
              <w:left w:val="nil"/>
              <w:bottom w:val="single" w:sz="8" w:space="0" w:color="auto"/>
              <w:right w:val="single" w:sz="8" w:space="0" w:color="auto"/>
            </w:tcBorders>
            <w:vAlign w:val="center"/>
            <w:hideMark/>
          </w:tcPr>
          <w:p w14:paraId="604FC248"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37</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546,99</w:t>
            </w:r>
          </w:p>
        </w:tc>
        <w:tc>
          <w:tcPr>
            <w:tcW w:w="2268" w:type="dxa"/>
            <w:tcBorders>
              <w:top w:val="nil"/>
              <w:left w:val="nil"/>
              <w:bottom w:val="single" w:sz="8" w:space="0" w:color="auto"/>
              <w:right w:val="single" w:sz="8" w:space="0" w:color="auto"/>
            </w:tcBorders>
            <w:vAlign w:val="center"/>
            <w:hideMark/>
          </w:tcPr>
          <w:p w14:paraId="6EDD26AF"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27</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954,15</w:t>
            </w:r>
          </w:p>
        </w:tc>
      </w:tr>
      <w:tr w:rsidR="003E4153" w:rsidRPr="00296DCC" w14:paraId="0D9B3F84"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74BF588D"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Carnikava</w:t>
            </w:r>
          </w:p>
        </w:tc>
        <w:tc>
          <w:tcPr>
            <w:tcW w:w="1560" w:type="dxa"/>
            <w:tcBorders>
              <w:top w:val="nil"/>
              <w:left w:val="nil"/>
              <w:bottom w:val="single" w:sz="8" w:space="0" w:color="auto"/>
              <w:right w:val="single" w:sz="8" w:space="0" w:color="auto"/>
            </w:tcBorders>
            <w:vAlign w:val="center"/>
            <w:hideMark/>
          </w:tcPr>
          <w:p w14:paraId="6BB520D7"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354</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140,22</w:t>
            </w:r>
          </w:p>
        </w:tc>
        <w:tc>
          <w:tcPr>
            <w:tcW w:w="1560" w:type="dxa"/>
            <w:tcBorders>
              <w:top w:val="nil"/>
              <w:left w:val="nil"/>
              <w:bottom w:val="single" w:sz="8" w:space="0" w:color="auto"/>
              <w:right w:val="single" w:sz="8" w:space="0" w:color="auto"/>
            </w:tcBorders>
            <w:vAlign w:val="center"/>
            <w:hideMark/>
          </w:tcPr>
          <w:p w14:paraId="1EB9CF9E"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239</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648,35</w:t>
            </w:r>
          </w:p>
        </w:tc>
        <w:tc>
          <w:tcPr>
            <w:tcW w:w="1941" w:type="dxa"/>
            <w:tcBorders>
              <w:top w:val="nil"/>
              <w:left w:val="nil"/>
              <w:bottom w:val="single" w:sz="8" w:space="0" w:color="auto"/>
              <w:right w:val="single" w:sz="8" w:space="0" w:color="auto"/>
            </w:tcBorders>
            <w:vAlign w:val="center"/>
            <w:hideMark/>
          </w:tcPr>
          <w:p w14:paraId="595EAF72"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316</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466,91</w:t>
            </w:r>
          </w:p>
        </w:tc>
        <w:tc>
          <w:tcPr>
            <w:tcW w:w="2268" w:type="dxa"/>
            <w:tcBorders>
              <w:top w:val="nil"/>
              <w:left w:val="nil"/>
              <w:bottom w:val="single" w:sz="8" w:space="0" w:color="auto"/>
              <w:right w:val="single" w:sz="8" w:space="0" w:color="auto"/>
            </w:tcBorders>
            <w:vAlign w:val="center"/>
            <w:hideMark/>
          </w:tcPr>
          <w:p w14:paraId="207D9A75"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203</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328,70</w:t>
            </w:r>
          </w:p>
        </w:tc>
      </w:tr>
      <w:tr w:rsidR="003E4153" w:rsidRPr="00296DCC" w14:paraId="7DB519E6"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17E06999"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296DCC">
              <w:rPr>
                <w:rFonts w:ascii="Times New Roman" w:eastAsia="Times New Roman" w:hAnsi="Times New Roman" w:cs="Times New Roman"/>
                <w:b/>
                <w:bCs/>
                <w:color w:val="000000"/>
                <w:kern w:val="0"/>
                <w:lang w:eastAsia="lv-LV"/>
                <w14:ligatures w14:val="none"/>
              </w:rPr>
              <w:t>Garupe</w:t>
            </w:r>
            <w:proofErr w:type="spellEnd"/>
          </w:p>
        </w:tc>
        <w:tc>
          <w:tcPr>
            <w:tcW w:w="1560" w:type="dxa"/>
            <w:tcBorders>
              <w:top w:val="nil"/>
              <w:left w:val="nil"/>
              <w:bottom w:val="single" w:sz="8" w:space="0" w:color="auto"/>
              <w:right w:val="single" w:sz="8" w:space="0" w:color="auto"/>
            </w:tcBorders>
            <w:vAlign w:val="center"/>
            <w:hideMark/>
          </w:tcPr>
          <w:p w14:paraId="173FC05E"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76</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981,65</w:t>
            </w:r>
          </w:p>
        </w:tc>
        <w:tc>
          <w:tcPr>
            <w:tcW w:w="1560" w:type="dxa"/>
            <w:tcBorders>
              <w:top w:val="nil"/>
              <w:left w:val="nil"/>
              <w:bottom w:val="single" w:sz="8" w:space="0" w:color="auto"/>
              <w:right w:val="single" w:sz="8" w:space="0" w:color="auto"/>
            </w:tcBorders>
            <w:vAlign w:val="center"/>
            <w:hideMark/>
          </w:tcPr>
          <w:p w14:paraId="03C388F4"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65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829,22</w:t>
            </w:r>
          </w:p>
        </w:tc>
        <w:tc>
          <w:tcPr>
            <w:tcW w:w="1941" w:type="dxa"/>
            <w:tcBorders>
              <w:top w:val="nil"/>
              <w:left w:val="nil"/>
              <w:bottom w:val="single" w:sz="8" w:space="0" w:color="auto"/>
              <w:right w:val="single" w:sz="8" w:space="0" w:color="auto"/>
            </w:tcBorders>
            <w:vAlign w:val="center"/>
            <w:hideMark/>
          </w:tcPr>
          <w:p w14:paraId="7F69B1F5"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68</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362,12</w:t>
            </w:r>
          </w:p>
        </w:tc>
        <w:tc>
          <w:tcPr>
            <w:tcW w:w="2268" w:type="dxa"/>
            <w:tcBorders>
              <w:top w:val="nil"/>
              <w:left w:val="nil"/>
              <w:bottom w:val="single" w:sz="8" w:space="0" w:color="auto"/>
              <w:right w:val="single" w:sz="8" w:space="0" w:color="auto"/>
            </w:tcBorders>
            <w:vAlign w:val="center"/>
            <w:hideMark/>
          </w:tcPr>
          <w:p w14:paraId="14DD027C"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57</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116,47</w:t>
            </w:r>
          </w:p>
        </w:tc>
      </w:tr>
      <w:tr w:rsidR="003E4153" w:rsidRPr="00296DCC" w14:paraId="2AB70643"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27AF7801"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296DCC">
              <w:rPr>
                <w:rFonts w:ascii="Times New Roman" w:eastAsia="Times New Roman" w:hAnsi="Times New Roman" w:cs="Times New Roman"/>
                <w:b/>
                <w:bCs/>
                <w:color w:val="000000"/>
                <w:kern w:val="0"/>
                <w:lang w:eastAsia="lv-LV"/>
                <w14:ligatures w14:val="none"/>
              </w:rPr>
              <w:t>Garciems</w:t>
            </w:r>
            <w:proofErr w:type="spellEnd"/>
          </w:p>
        </w:tc>
        <w:tc>
          <w:tcPr>
            <w:tcW w:w="1560" w:type="dxa"/>
            <w:tcBorders>
              <w:top w:val="nil"/>
              <w:left w:val="nil"/>
              <w:bottom w:val="single" w:sz="8" w:space="0" w:color="auto"/>
              <w:right w:val="single" w:sz="8" w:space="0" w:color="auto"/>
            </w:tcBorders>
            <w:vAlign w:val="center"/>
            <w:hideMark/>
          </w:tcPr>
          <w:p w14:paraId="119B8420"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228</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607,38</w:t>
            </w:r>
          </w:p>
        </w:tc>
        <w:tc>
          <w:tcPr>
            <w:tcW w:w="1560" w:type="dxa"/>
            <w:tcBorders>
              <w:top w:val="nil"/>
              <w:left w:val="nil"/>
              <w:bottom w:val="single" w:sz="8" w:space="0" w:color="auto"/>
              <w:right w:val="single" w:sz="8" w:space="0" w:color="auto"/>
            </w:tcBorders>
            <w:vAlign w:val="center"/>
            <w:hideMark/>
          </w:tcPr>
          <w:p w14:paraId="1628773A"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98</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473,25</w:t>
            </w:r>
          </w:p>
        </w:tc>
        <w:tc>
          <w:tcPr>
            <w:tcW w:w="1941" w:type="dxa"/>
            <w:tcBorders>
              <w:top w:val="nil"/>
              <w:left w:val="nil"/>
              <w:bottom w:val="single" w:sz="8" w:space="0" w:color="auto"/>
              <w:right w:val="single" w:sz="8" w:space="0" w:color="auto"/>
            </w:tcBorders>
            <w:vAlign w:val="center"/>
            <w:hideMark/>
          </w:tcPr>
          <w:p w14:paraId="29729702"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204</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130,07</w:t>
            </w:r>
          </w:p>
        </w:tc>
        <w:tc>
          <w:tcPr>
            <w:tcW w:w="2268" w:type="dxa"/>
            <w:tcBorders>
              <w:top w:val="nil"/>
              <w:left w:val="nil"/>
              <w:bottom w:val="single" w:sz="8" w:space="0" w:color="auto"/>
              <w:right w:val="single" w:sz="8" w:space="0" w:color="auto"/>
            </w:tcBorders>
            <w:vAlign w:val="center"/>
            <w:hideMark/>
          </w:tcPr>
          <w:p w14:paraId="2C17DE47"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85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268,17</w:t>
            </w:r>
          </w:p>
        </w:tc>
      </w:tr>
      <w:tr w:rsidR="003E4153" w:rsidRPr="00296DCC" w14:paraId="480CE6AB"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4A780238"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Kalngale</w:t>
            </w:r>
          </w:p>
        </w:tc>
        <w:tc>
          <w:tcPr>
            <w:tcW w:w="1560" w:type="dxa"/>
            <w:tcBorders>
              <w:top w:val="nil"/>
              <w:left w:val="nil"/>
              <w:bottom w:val="single" w:sz="8" w:space="0" w:color="auto"/>
              <w:right w:val="single" w:sz="8" w:space="0" w:color="auto"/>
            </w:tcBorders>
            <w:vAlign w:val="center"/>
            <w:hideMark/>
          </w:tcPr>
          <w:p w14:paraId="78F9FBED"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135</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394,54</w:t>
            </w:r>
          </w:p>
        </w:tc>
        <w:tc>
          <w:tcPr>
            <w:tcW w:w="1560" w:type="dxa"/>
            <w:tcBorders>
              <w:top w:val="nil"/>
              <w:left w:val="nil"/>
              <w:bottom w:val="single" w:sz="8" w:space="0" w:color="auto"/>
              <w:right w:val="single" w:sz="8" w:space="0" w:color="auto"/>
            </w:tcBorders>
            <w:vAlign w:val="center"/>
            <w:hideMark/>
          </w:tcPr>
          <w:p w14:paraId="2942AE48"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79</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762,21</w:t>
            </w:r>
          </w:p>
        </w:tc>
        <w:tc>
          <w:tcPr>
            <w:tcW w:w="1941" w:type="dxa"/>
            <w:tcBorders>
              <w:top w:val="nil"/>
              <w:left w:val="nil"/>
              <w:bottom w:val="single" w:sz="8" w:space="0" w:color="auto"/>
              <w:right w:val="single" w:sz="8" w:space="0" w:color="auto"/>
            </w:tcBorders>
            <w:vAlign w:val="center"/>
            <w:hideMark/>
          </w:tcPr>
          <w:p w14:paraId="7E24CB4E"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114</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554,72</w:t>
            </w:r>
          </w:p>
        </w:tc>
        <w:tc>
          <w:tcPr>
            <w:tcW w:w="2268" w:type="dxa"/>
            <w:tcBorders>
              <w:top w:val="nil"/>
              <w:left w:val="nil"/>
              <w:bottom w:val="single" w:sz="8" w:space="0" w:color="auto"/>
              <w:right w:val="single" w:sz="8" w:space="0" w:color="auto"/>
            </w:tcBorders>
            <w:vAlign w:val="center"/>
            <w:hideMark/>
          </w:tcPr>
          <w:p w14:paraId="649876A8"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62</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773,70</w:t>
            </w:r>
          </w:p>
        </w:tc>
      </w:tr>
      <w:tr w:rsidR="003E4153" w:rsidRPr="00296DCC" w14:paraId="54D795BB" w14:textId="77777777" w:rsidTr="00DF6350">
        <w:trPr>
          <w:trHeight w:val="324"/>
        </w:trPr>
        <w:tc>
          <w:tcPr>
            <w:tcW w:w="1460" w:type="dxa"/>
            <w:tcBorders>
              <w:top w:val="nil"/>
              <w:left w:val="single" w:sz="8" w:space="0" w:color="auto"/>
              <w:bottom w:val="single" w:sz="8" w:space="0" w:color="auto"/>
              <w:right w:val="single" w:sz="8" w:space="0" w:color="auto"/>
            </w:tcBorders>
            <w:vAlign w:val="center"/>
            <w:hideMark/>
          </w:tcPr>
          <w:p w14:paraId="31FA0D95" w14:textId="77777777" w:rsidR="003E4153" w:rsidRPr="00296DCC"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296DCC">
              <w:rPr>
                <w:rFonts w:ascii="Times New Roman" w:eastAsia="Times New Roman" w:hAnsi="Times New Roman" w:cs="Times New Roman"/>
                <w:b/>
                <w:bCs/>
                <w:color w:val="000000"/>
                <w:kern w:val="0"/>
                <w:lang w:eastAsia="lv-LV"/>
                <w14:ligatures w14:val="none"/>
              </w:rPr>
              <w:t>Eimuri</w:t>
            </w:r>
            <w:proofErr w:type="spellEnd"/>
          </w:p>
        </w:tc>
        <w:tc>
          <w:tcPr>
            <w:tcW w:w="1560" w:type="dxa"/>
            <w:tcBorders>
              <w:top w:val="nil"/>
              <w:left w:val="nil"/>
              <w:bottom w:val="single" w:sz="8" w:space="0" w:color="auto"/>
              <w:right w:val="single" w:sz="8" w:space="0" w:color="auto"/>
            </w:tcBorders>
            <w:vAlign w:val="center"/>
            <w:hideMark/>
          </w:tcPr>
          <w:p w14:paraId="60E7D057"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10</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799,66</w:t>
            </w:r>
          </w:p>
        </w:tc>
        <w:tc>
          <w:tcPr>
            <w:tcW w:w="1560" w:type="dxa"/>
            <w:tcBorders>
              <w:top w:val="nil"/>
              <w:left w:val="nil"/>
              <w:bottom w:val="single" w:sz="8" w:space="0" w:color="auto"/>
              <w:right w:val="single" w:sz="8" w:space="0" w:color="auto"/>
            </w:tcBorders>
            <w:vAlign w:val="center"/>
            <w:hideMark/>
          </w:tcPr>
          <w:p w14:paraId="383070D3"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2</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001,24</w:t>
            </w:r>
          </w:p>
        </w:tc>
        <w:tc>
          <w:tcPr>
            <w:tcW w:w="1941" w:type="dxa"/>
            <w:tcBorders>
              <w:top w:val="nil"/>
              <w:left w:val="nil"/>
              <w:bottom w:val="single" w:sz="8" w:space="0" w:color="auto"/>
              <w:right w:val="single" w:sz="8" w:space="0" w:color="auto"/>
            </w:tcBorders>
            <w:vAlign w:val="center"/>
            <w:hideMark/>
          </w:tcPr>
          <w:p w14:paraId="3565129D"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9</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029,91</w:t>
            </w:r>
          </w:p>
        </w:tc>
        <w:tc>
          <w:tcPr>
            <w:tcW w:w="2268" w:type="dxa"/>
            <w:tcBorders>
              <w:top w:val="nil"/>
              <w:left w:val="nil"/>
              <w:bottom w:val="single" w:sz="8" w:space="0" w:color="auto"/>
              <w:right w:val="single" w:sz="8" w:space="0" w:color="auto"/>
            </w:tcBorders>
            <w:vAlign w:val="center"/>
            <w:hideMark/>
          </w:tcPr>
          <w:p w14:paraId="0187E136" w14:textId="77777777" w:rsidR="003E4153" w:rsidRPr="00296DCC"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296DCC">
              <w:rPr>
                <w:rFonts w:ascii="Times New Roman" w:eastAsia="Times New Roman" w:hAnsi="Times New Roman" w:cs="Times New Roman"/>
                <w:color w:val="000000"/>
                <w:kern w:val="0"/>
                <w:lang w:eastAsia="lv-LV"/>
                <w14:ligatures w14:val="none"/>
              </w:rPr>
              <w:t>1</w:t>
            </w:r>
            <w:r>
              <w:rPr>
                <w:rFonts w:ascii="Times New Roman" w:eastAsia="Times New Roman" w:hAnsi="Times New Roman" w:cs="Times New Roman"/>
                <w:color w:val="000000"/>
                <w:kern w:val="0"/>
                <w:lang w:eastAsia="lv-LV"/>
                <w14:ligatures w14:val="none"/>
              </w:rPr>
              <w:t xml:space="preserve"> </w:t>
            </w:r>
            <w:r w:rsidRPr="00296DCC">
              <w:rPr>
                <w:rFonts w:ascii="Times New Roman" w:eastAsia="Times New Roman" w:hAnsi="Times New Roman" w:cs="Times New Roman"/>
                <w:color w:val="000000"/>
                <w:kern w:val="0"/>
                <w:lang w:eastAsia="lv-LV"/>
                <w14:ligatures w14:val="none"/>
              </w:rPr>
              <w:t>645,31</w:t>
            </w:r>
          </w:p>
        </w:tc>
      </w:tr>
      <w:tr w:rsidR="003E4153" w:rsidRPr="00296DCC" w14:paraId="4D12900C" w14:textId="77777777" w:rsidTr="00DF6350">
        <w:trPr>
          <w:trHeight w:val="405"/>
        </w:trPr>
        <w:tc>
          <w:tcPr>
            <w:tcW w:w="146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6D97FADA" w14:textId="77777777" w:rsidR="003E4153" w:rsidRPr="00296DCC"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KOPĀ</w:t>
            </w:r>
          </w:p>
        </w:tc>
        <w:tc>
          <w:tcPr>
            <w:tcW w:w="1560" w:type="dxa"/>
            <w:tcBorders>
              <w:top w:val="nil"/>
              <w:left w:val="nil"/>
              <w:bottom w:val="single" w:sz="8" w:space="0" w:color="auto"/>
              <w:right w:val="single" w:sz="8" w:space="0" w:color="auto"/>
            </w:tcBorders>
            <w:shd w:val="clear" w:color="auto" w:fill="F2F2F2" w:themeFill="background1" w:themeFillShade="F2"/>
            <w:vAlign w:val="center"/>
            <w:hideMark/>
          </w:tcPr>
          <w:p w14:paraId="7A7F7347" w14:textId="77777777" w:rsidR="003E4153" w:rsidRPr="00296DCC"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1</w:t>
            </w:r>
            <w:r>
              <w:rPr>
                <w:rFonts w:ascii="Times New Roman" w:eastAsia="Times New Roman" w:hAnsi="Times New Roman" w:cs="Times New Roman"/>
                <w:b/>
                <w:bCs/>
                <w:color w:val="000000"/>
                <w:kern w:val="0"/>
                <w:lang w:eastAsia="lv-LV"/>
                <w14:ligatures w14:val="none"/>
              </w:rPr>
              <w:t xml:space="preserve"> </w:t>
            </w:r>
            <w:r w:rsidRPr="00296DCC">
              <w:rPr>
                <w:rFonts w:ascii="Times New Roman" w:eastAsia="Times New Roman" w:hAnsi="Times New Roman" w:cs="Times New Roman"/>
                <w:b/>
                <w:bCs/>
                <w:color w:val="000000"/>
                <w:kern w:val="0"/>
                <w:lang w:eastAsia="lv-LV"/>
                <w14:ligatures w14:val="none"/>
              </w:rPr>
              <w:t>009</w:t>
            </w:r>
            <w:r>
              <w:rPr>
                <w:rFonts w:ascii="Times New Roman" w:eastAsia="Times New Roman" w:hAnsi="Times New Roman" w:cs="Times New Roman"/>
                <w:b/>
                <w:bCs/>
                <w:color w:val="000000"/>
                <w:kern w:val="0"/>
                <w:lang w:eastAsia="lv-LV"/>
                <w14:ligatures w14:val="none"/>
              </w:rPr>
              <w:t xml:space="preserve"> </w:t>
            </w:r>
            <w:r w:rsidRPr="00296DCC">
              <w:rPr>
                <w:rFonts w:ascii="Times New Roman" w:eastAsia="Times New Roman" w:hAnsi="Times New Roman" w:cs="Times New Roman"/>
                <w:b/>
                <w:bCs/>
                <w:color w:val="000000"/>
                <w:kern w:val="0"/>
                <w:lang w:eastAsia="lv-LV"/>
                <w14:ligatures w14:val="none"/>
              </w:rPr>
              <w:t>587,39</w:t>
            </w:r>
          </w:p>
        </w:tc>
        <w:tc>
          <w:tcPr>
            <w:tcW w:w="1560" w:type="dxa"/>
            <w:tcBorders>
              <w:top w:val="nil"/>
              <w:left w:val="nil"/>
              <w:bottom w:val="single" w:sz="8" w:space="0" w:color="auto"/>
              <w:right w:val="single" w:sz="8" w:space="0" w:color="auto"/>
            </w:tcBorders>
            <w:shd w:val="clear" w:color="auto" w:fill="F2F2F2" w:themeFill="background1" w:themeFillShade="F2"/>
            <w:vAlign w:val="center"/>
            <w:hideMark/>
          </w:tcPr>
          <w:p w14:paraId="06767530" w14:textId="77777777" w:rsidR="003E4153" w:rsidRPr="00296DCC"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549</w:t>
            </w:r>
            <w:r>
              <w:rPr>
                <w:rFonts w:ascii="Times New Roman" w:eastAsia="Times New Roman" w:hAnsi="Times New Roman" w:cs="Times New Roman"/>
                <w:b/>
                <w:bCs/>
                <w:color w:val="000000"/>
                <w:kern w:val="0"/>
                <w:lang w:eastAsia="lv-LV"/>
                <w14:ligatures w14:val="none"/>
              </w:rPr>
              <w:t xml:space="preserve"> </w:t>
            </w:r>
            <w:r w:rsidRPr="00296DCC">
              <w:rPr>
                <w:rFonts w:ascii="Times New Roman" w:eastAsia="Times New Roman" w:hAnsi="Times New Roman" w:cs="Times New Roman"/>
                <w:b/>
                <w:bCs/>
                <w:color w:val="000000"/>
                <w:kern w:val="0"/>
                <w:lang w:eastAsia="lv-LV"/>
                <w14:ligatures w14:val="none"/>
              </w:rPr>
              <w:t>140,28</w:t>
            </w:r>
          </w:p>
        </w:tc>
        <w:tc>
          <w:tcPr>
            <w:tcW w:w="1941" w:type="dxa"/>
            <w:tcBorders>
              <w:top w:val="nil"/>
              <w:left w:val="nil"/>
              <w:bottom w:val="single" w:sz="8" w:space="0" w:color="auto"/>
              <w:right w:val="single" w:sz="8" w:space="0" w:color="auto"/>
            </w:tcBorders>
            <w:shd w:val="clear" w:color="auto" w:fill="F2F2F2" w:themeFill="background1" w:themeFillShade="F2"/>
            <w:vAlign w:val="center"/>
            <w:hideMark/>
          </w:tcPr>
          <w:p w14:paraId="097A78CC" w14:textId="77777777" w:rsidR="003E4153" w:rsidRPr="00296DCC"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894</w:t>
            </w:r>
            <w:r>
              <w:rPr>
                <w:rFonts w:ascii="Times New Roman" w:eastAsia="Times New Roman" w:hAnsi="Times New Roman" w:cs="Times New Roman"/>
                <w:b/>
                <w:bCs/>
                <w:color w:val="000000"/>
                <w:kern w:val="0"/>
                <w:lang w:eastAsia="lv-LV"/>
                <w14:ligatures w14:val="none"/>
              </w:rPr>
              <w:t xml:space="preserve"> </w:t>
            </w:r>
            <w:r w:rsidRPr="00296DCC">
              <w:rPr>
                <w:rFonts w:ascii="Times New Roman" w:eastAsia="Times New Roman" w:hAnsi="Times New Roman" w:cs="Times New Roman"/>
                <w:b/>
                <w:bCs/>
                <w:color w:val="000000"/>
                <w:kern w:val="0"/>
                <w:lang w:eastAsia="lv-LV"/>
                <w14:ligatures w14:val="none"/>
              </w:rPr>
              <w:t>012,93</w:t>
            </w:r>
          </w:p>
        </w:tc>
        <w:tc>
          <w:tcPr>
            <w:tcW w:w="2268" w:type="dxa"/>
            <w:tcBorders>
              <w:top w:val="nil"/>
              <w:left w:val="nil"/>
              <w:bottom w:val="single" w:sz="8" w:space="0" w:color="auto"/>
              <w:right w:val="single" w:sz="8" w:space="0" w:color="auto"/>
            </w:tcBorders>
            <w:shd w:val="clear" w:color="auto" w:fill="F2F2F2" w:themeFill="background1" w:themeFillShade="F2"/>
            <w:vAlign w:val="center"/>
            <w:hideMark/>
          </w:tcPr>
          <w:p w14:paraId="3A78F317" w14:textId="77777777" w:rsidR="003E4153" w:rsidRPr="00296DCC"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296DCC">
              <w:rPr>
                <w:rFonts w:ascii="Times New Roman" w:eastAsia="Times New Roman" w:hAnsi="Times New Roman" w:cs="Times New Roman"/>
                <w:b/>
                <w:bCs/>
                <w:color w:val="000000"/>
                <w:kern w:val="0"/>
                <w:lang w:eastAsia="lv-LV"/>
                <w14:ligatures w14:val="none"/>
              </w:rPr>
              <w:t>580</w:t>
            </w:r>
            <w:r>
              <w:rPr>
                <w:rFonts w:ascii="Times New Roman" w:eastAsia="Times New Roman" w:hAnsi="Times New Roman" w:cs="Times New Roman"/>
                <w:b/>
                <w:bCs/>
                <w:color w:val="000000"/>
                <w:kern w:val="0"/>
                <w:lang w:eastAsia="lv-LV"/>
                <w14:ligatures w14:val="none"/>
              </w:rPr>
              <w:t xml:space="preserve"> </w:t>
            </w:r>
            <w:r w:rsidRPr="00296DCC">
              <w:rPr>
                <w:rFonts w:ascii="Times New Roman" w:eastAsia="Times New Roman" w:hAnsi="Times New Roman" w:cs="Times New Roman"/>
                <w:b/>
                <w:bCs/>
                <w:color w:val="000000"/>
                <w:kern w:val="0"/>
                <w:lang w:eastAsia="lv-LV"/>
                <w14:ligatures w14:val="none"/>
              </w:rPr>
              <w:t>605,42</w:t>
            </w:r>
          </w:p>
        </w:tc>
      </w:tr>
    </w:tbl>
    <w:p w14:paraId="5C2CFC44" w14:textId="77777777" w:rsidR="003E4153" w:rsidRPr="002E06E3" w:rsidRDefault="003E4153" w:rsidP="003E4153">
      <w:pPr>
        <w:pStyle w:val="Default"/>
        <w:ind w:left="142" w:right="-624" w:hanging="142"/>
        <w:jc w:val="center"/>
        <w:rPr>
          <w:b/>
          <w:bCs/>
        </w:rPr>
      </w:pPr>
    </w:p>
    <w:p w14:paraId="44D6A9B9" w14:textId="77777777" w:rsidR="003E4153" w:rsidRDefault="003E4153" w:rsidP="003E4153">
      <w:pPr>
        <w:pStyle w:val="Default"/>
        <w:spacing w:after="120"/>
        <w:ind w:right="-625"/>
        <w:jc w:val="both"/>
        <w:rPr>
          <w:b/>
          <w:bCs/>
        </w:rPr>
      </w:pPr>
      <w:r w:rsidRPr="00296DCC">
        <w:rPr>
          <w:b/>
          <w:bCs/>
        </w:rPr>
        <w:t>Ādažu pagasts, Ādažu pilsēta</w:t>
      </w:r>
    </w:p>
    <w:tbl>
      <w:tblPr>
        <w:tblW w:w="8779" w:type="dxa"/>
        <w:tblLook w:val="04A0" w:firstRow="1" w:lastRow="0" w:firstColumn="1" w:lastColumn="0" w:noHBand="0" w:noVBand="1"/>
      </w:tblPr>
      <w:tblGrid>
        <w:gridCol w:w="1480"/>
        <w:gridCol w:w="1600"/>
        <w:gridCol w:w="1480"/>
        <w:gridCol w:w="1951"/>
        <w:gridCol w:w="2268"/>
      </w:tblGrid>
      <w:tr w:rsidR="003E4153" w:rsidRPr="0049298D" w14:paraId="69D16182" w14:textId="77777777" w:rsidTr="00DF6350">
        <w:trPr>
          <w:trHeight w:val="303"/>
        </w:trPr>
        <w:tc>
          <w:tcPr>
            <w:tcW w:w="1480" w:type="dxa"/>
            <w:vMerge w:val="restart"/>
            <w:tcBorders>
              <w:top w:val="single" w:sz="8" w:space="0" w:color="auto"/>
              <w:left w:val="single" w:sz="8" w:space="0" w:color="auto"/>
              <w:bottom w:val="single" w:sz="8" w:space="0" w:color="000000"/>
              <w:right w:val="single" w:sz="8" w:space="0" w:color="auto"/>
            </w:tcBorders>
            <w:vAlign w:val="center"/>
            <w:hideMark/>
          </w:tcPr>
          <w:p w14:paraId="7A3A030F"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Ciemi</w:t>
            </w:r>
          </w:p>
        </w:tc>
        <w:tc>
          <w:tcPr>
            <w:tcW w:w="3080" w:type="dxa"/>
            <w:gridSpan w:val="2"/>
            <w:tcBorders>
              <w:top w:val="single" w:sz="8" w:space="0" w:color="auto"/>
              <w:left w:val="nil"/>
              <w:bottom w:val="single" w:sz="8" w:space="0" w:color="auto"/>
              <w:right w:val="single" w:sz="8" w:space="0" w:color="000000"/>
            </w:tcBorders>
            <w:vAlign w:val="center"/>
            <w:hideMark/>
          </w:tcPr>
          <w:p w14:paraId="1E944306"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Aprēķināts</w:t>
            </w:r>
          </w:p>
        </w:tc>
        <w:tc>
          <w:tcPr>
            <w:tcW w:w="4219" w:type="dxa"/>
            <w:gridSpan w:val="2"/>
            <w:tcBorders>
              <w:top w:val="single" w:sz="8" w:space="0" w:color="auto"/>
              <w:left w:val="nil"/>
              <w:bottom w:val="single" w:sz="8" w:space="0" w:color="auto"/>
              <w:right w:val="single" w:sz="8" w:space="0" w:color="000000"/>
            </w:tcBorders>
            <w:vAlign w:val="center"/>
            <w:hideMark/>
          </w:tcPr>
          <w:p w14:paraId="38DBF84D"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 xml:space="preserve">     Samaksāts</w:t>
            </w:r>
          </w:p>
        </w:tc>
      </w:tr>
      <w:tr w:rsidR="003E4153" w:rsidRPr="0049298D" w14:paraId="077DA959" w14:textId="77777777" w:rsidTr="00DF6350">
        <w:trPr>
          <w:trHeight w:val="324"/>
        </w:trPr>
        <w:tc>
          <w:tcPr>
            <w:tcW w:w="1480" w:type="dxa"/>
            <w:vMerge/>
            <w:tcBorders>
              <w:top w:val="single" w:sz="8" w:space="0" w:color="auto"/>
              <w:left w:val="single" w:sz="8" w:space="0" w:color="auto"/>
              <w:bottom w:val="single" w:sz="8" w:space="0" w:color="000000"/>
              <w:right w:val="single" w:sz="8" w:space="0" w:color="auto"/>
            </w:tcBorders>
            <w:vAlign w:val="center"/>
            <w:hideMark/>
          </w:tcPr>
          <w:p w14:paraId="2096B9A1"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p>
        </w:tc>
        <w:tc>
          <w:tcPr>
            <w:tcW w:w="1600" w:type="dxa"/>
            <w:tcBorders>
              <w:top w:val="nil"/>
              <w:left w:val="nil"/>
              <w:bottom w:val="single" w:sz="8" w:space="0" w:color="auto"/>
              <w:right w:val="single" w:sz="8" w:space="0" w:color="auto"/>
            </w:tcBorders>
            <w:vAlign w:val="center"/>
            <w:hideMark/>
          </w:tcPr>
          <w:p w14:paraId="515C2390"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par zemi</w:t>
            </w:r>
          </w:p>
        </w:tc>
        <w:tc>
          <w:tcPr>
            <w:tcW w:w="1480" w:type="dxa"/>
            <w:tcBorders>
              <w:top w:val="nil"/>
              <w:left w:val="nil"/>
              <w:bottom w:val="single" w:sz="8" w:space="0" w:color="auto"/>
              <w:right w:val="single" w:sz="8" w:space="0" w:color="auto"/>
            </w:tcBorders>
            <w:vAlign w:val="center"/>
            <w:hideMark/>
          </w:tcPr>
          <w:p w14:paraId="56CD2F7E"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par ēkām</w:t>
            </w:r>
          </w:p>
        </w:tc>
        <w:tc>
          <w:tcPr>
            <w:tcW w:w="1951" w:type="dxa"/>
            <w:tcBorders>
              <w:top w:val="nil"/>
              <w:left w:val="nil"/>
              <w:bottom w:val="single" w:sz="8" w:space="0" w:color="auto"/>
              <w:right w:val="single" w:sz="8" w:space="0" w:color="auto"/>
            </w:tcBorders>
            <w:vAlign w:val="center"/>
            <w:hideMark/>
          </w:tcPr>
          <w:p w14:paraId="18A3C8FF"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par zemi</w:t>
            </w:r>
          </w:p>
        </w:tc>
        <w:tc>
          <w:tcPr>
            <w:tcW w:w="2268" w:type="dxa"/>
            <w:tcBorders>
              <w:top w:val="nil"/>
              <w:left w:val="nil"/>
              <w:bottom w:val="single" w:sz="8" w:space="0" w:color="auto"/>
              <w:right w:val="single" w:sz="8" w:space="0" w:color="auto"/>
            </w:tcBorders>
            <w:vAlign w:val="center"/>
            <w:hideMark/>
          </w:tcPr>
          <w:p w14:paraId="5E629868" w14:textId="77777777" w:rsidR="003E4153" w:rsidRPr="0049298D" w:rsidRDefault="003E4153" w:rsidP="00DF6350">
            <w:pPr>
              <w:spacing w:after="0" w:line="240" w:lineRule="auto"/>
              <w:jc w:val="center"/>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par ēkām</w:t>
            </w:r>
          </w:p>
        </w:tc>
      </w:tr>
      <w:tr w:rsidR="003E4153" w:rsidRPr="0049298D" w14:paraId="57C1DA53"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7AD66D75"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Alderi</w:t>
            </w:r>
          </w:p>
        </w:tc>
        <w:tc>
          <w:tcPr>
            <w:tcW w:w="1600" w:type="dxa"/>
            <w:tcBorders>
              <w:top w:val="nil"/>
              <w:left w:val="nil"/>
              <w:bottom w:val="single" w:sz="8" w:space="0" w:color="auto"/>
              <w:right w:val="single" w:sz="8" w:space="0" w:color="auto"/>
            </w:tcBorders>
            <w:vAlign w:val="center"/>
            <w:hideMark/>
          </w:tcPr>
          <w:p w14:paraId="0F320F34"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46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606,52</w:t>
            </w:r>
          </w:p>
        </w:tc>
        <w:tc>
          <w:tcPr>
            <w:tcW w:w="1480" w:type="dxa"/>
            <w:tcBorders>
              <w:top w:val="nil"/>
              <w:left w:val="nil"/>
              <w:bottom w:val="single" w:sz="8" w:space="0" w:color="auto"/>
              <w:right w:val="single" w:sz="8" w:space="0" w:color="auto"/>
            </w:tcBorders>
            <w:vAlign w:val="center"/>
            <w:hideMark/>
          </w:tcPr>
          <w:p w14:paraId="0E7DEE5F"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20</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618,03</w:t>
            </w:r>
          </w:p>
        </w:tc>
        <w:tc>
          <w:tcPr>
            <w:tcW w:w="1951" w:type="dxa"/>
            <w:tcBorders>
              <w:top w:val="nil"/>
              <w:left w:val="nil"/>
              <w:bottom w:val="single" w:sz="8" w:space="0" w:color="auto"/>
              <w:right w:val="single" w:sz="8" w:space="0" w:color="auto"/>
            </w:tcBorders>
            <w:vAlign w:val="center"/>
            <w:hideMark/>
          </w:tcPr>
          <w:p w14:paraId="102E79FF"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41</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132,79</w:t>
            </w:r>
          </w:p>
        </w:tc>
        <w:tc>
          <w:tcPr>
            <w:tcW w:w="2268" w:type="dxa"/>
            <w:tcBorders>
              <w:top w:val="nil"/>
              <w:left w:val="nil"/>
              <w:bottom w:val="single" w:sz="8" w:space="0" w:color="auto"/>
              <w:right w:val="single" w:sz="8" w:space="0" w:color="auto"/>
            </w:tcBorders>
            <w:vAlign w:val="center"/>
            <w:hideMark/>
          </w:tcPr>
          <w:p w14:paraId="620AEA0D"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15</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058,71</w:t>
            </w:r>
          </w:p>
        </w:tc>
      </w:tr>
      <w:tr w:rsidR="003E4153" w:rsidRPr="0049298D" w14:paraId="421F0C8F"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42E187AE"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Atari</w:t>
            </w:r>
          </w:p>
        </w:tc>
        <w:tc>
          <w:tcPr>
            <w:tcW w:w="1600" w:type="dxa"/>
            <w:tcBorders>
              <w:top w:val="nil"/>
              <w:left w:val="nil"/>
              <w:bottom w:val="single" w:sz="8" w:space="0" w:color="auto"/>
              <w:right w:val="single" w:sz="8" w:space="0" w:color="auto"/>
            </w:tcBorders>
            <w:vAlign w:val="center"/>
            <w:hideMark/>
          </w:tcPr>
          <w:p w14:paraId="611EFCC5"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20</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716,25</w:t>
            </w:r>
          </w:p>
        </w:tc>
        <w:tc>
          <w:tcPr>
            <w:tcW w:w="1480" w:type="dxa"/>
            <w:tcBorders>
              <w:top w:val="nil"/>
              <w:left w:val="nil"/>
              <w:bottom w:val="single" w:sz="8" w:space="0" w:color="auto"/>
              <w:right w:val="single" w:sz="8" w:space="0" w:color="auto"/>
            </w:tcBorders>
            <w:vAlign w:val="center"/>
            <w:hideMark/>
          </w:tcPr>
          <w:p w14:paraId="7CD3F43E"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5</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864,70</w:t>
            </w:r>
          </w:p>
        </w:tc>
        <w:tc>
          <w:tcPr>
            <w:tcW w:w="1951" w:type="dxa"/>
            <w:tcBorders>
              <w:top w:val="nil"/>
              <w:left w:val="nil"/>
              <w:bottom w:val="single" w:sz="8" w:space="0" w:color="auto"/>
              <w:right w:val="single" w:sz="8" w:space="0" w:color="auto"/>
            </w:tcBorders>
            <w:vAlign w:val="center"/>
            <w:hideMark/>
          </w:tcPr>
          <w:p w14:paraId="6A4DF731"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18</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824,60</w:t>
            </w:r>
          </w:p>
        </w:tc>
        <w:tc>
          <w:tcPr>
            <w:tcW w:w="2268" w:type="dxa"/>
            <w:tcBorders>
              <w:top w:val="nil"/>
              <w:left w:val="nil"/>
              <w:bottom w:val="single" w:sz="8" w:space="0" w:color="auto"/>
              <w:right w:val="single" w:sz="8" w:space="0" w:color="auto"/>
            </w:tcBorders>
            <w:vAlign w:val="center"/>
            <w:hideMark/>
          </w:tcPr>
          <w:p w14:paraId="4C10F8A1"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5</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585,02</w:t>
            </w:r>
          </w:p>
        </w:tc>
      </w:tr>
      <w:tr w:rsidR="003E4153" w:rsidRPr="0049298D" w14:paraId="502C065F"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3C319C25"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Baltezers</w:t>
            </w:r>
          </w:p>
        </w:tc>
        <w:tc>
          <w:tcPr>
            <w:tcW w:w="1600" w:type="dxa"/>
            <w:tcBorders>
              <w:top w:val="nil"/>
              <w:left w:val="nil"/>
              <w:bottom w:val="single" w:sz="8" w:space="0" w:color="auto"/>
              <w:right w:val="single" w:sz="8" w:space="0" w:color="auto"/>
            </w:tcBorders>
            <w:vAlign w:val="center"/>
            <w:hideMark/>
          </w:tcPr>
          <w:p w14:paraId="56401B3F"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160</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790,94</w:t>
            </w:r>
          </w:p>
        </w:tc>
        <w:tc>
          <w:tcPr>
            <w:tcW w:w="1480" w:type="dxa"/>
            <w:tcBorders>
              <w:top w:val="nil"/>
              <w:left w:val="nil"/>
              <w:bottom w:val="single" w:sz="8" w:space="0" w:color="auto"/>
              <w:right w:val="single" w:sz="8" w:space="0" w:color="auto"/>
            </w:tcBorders>
            <w:vAlign w:val="center"/>
            <w:hideMark/>
          </w:tcPr>
          <w:p w14:paraId="746217A0"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82</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212,84</w:t>
            </w:r>
          </w:p>
        </w:tc>
        <w:tc>
          <w:tcPr>
            <w:tcW w:w="1951" w:type="dxa"/>
            <w:tcBorders>
              <w:top w:val="nil"/>
              <w:left w:val="nil"/>
              <w:bottom w:val="single" w:sz="8" w:space="0" w:color="auto"/>
              <w:right w:val="single" w:sz="8" w:space="0" w:color="auto"/>
            </w:tcBorders>
            <w:vAlign w:val="center"/>
            <w:hideMark/>
          </w:tcPr>
          <w:p w14:paraId="723149DC"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136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137,52</w:t>
            </w:r>
          </w:p>
        </w:tc>
        <w:tc>
          <w:tcPr>
            <w:tcW w:w="2268" w:type="dxa"/>
            <w:tcBorders>
              <w:top w:val="nil"/>
              <w:left w:val="nil"/>
              <w:bottom w:val="single" w:sz="8" w:space="0" w:color="auto"/>
              <w:right w:val="single" w:sz="8" w:space="0" w:color="auto"/>
            </w:tcBorders>
            <w:vAlign w:val="center"/>
            <w:hideMark/>
          </w:tcPr>
          <w:p w14:paraId="67EB7D1F"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64</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731,87</w:t>
            </w:r>
          </w:p>
        </w:tc>
      </w:tr>
      <w:tr w:rsidR="003E4153" w:rsidRPr="0049298D" w14:paraId="36F5F10F"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43FD4ADF"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49298D">
              <w:rPr>
                <w:rFonts w:ascii="Times New Roman" w:eastAsia="Times New Roman" w:hAnsi="Times New Roman" w:cs="Times New Roman"/>
                <w:b/>
                <w:bCs/>
                <w:color w:val="000000"/>
                <w:kern w:val="0"/>
                <w:lang w:eastAsia="lv-LV"/>
                <w14:ligatures w14:val="none"/>
              </w:rPr>
              <w:t>Divezeri</w:t>
            </w:r>
            <w:proofErr w:type="spellEnd"/>
          </w:p>
        </w:tc>
        <w:tc>
          <w:tcPr>
            <w:tcW w:w="1600" w:type="dxa"/>
            <w:tcBorders>
              <w:top w:val="nil"/>
              <w:left w:val="nil"/>
              <w:bottom w:val="single" w:sz="8" w:space="0" w:color="auto"/>
              <w:right w:val="single" w:sz="8" w:space="0" w:color="auto"/>
            </w:tcBorders>
            <w:vAlign w:val="center"/>
            <w:hideMark/>
          </w:tcPr>
          <w:p w14:paraId="672E171D"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20</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479,68</w:t>
            </w:r>
          </w:p>
        </w:tc>
        <w:tc>
          <w:tcPr>
            <w:tcW w:w="1480" w:type="dxa"/>
            <w:tcBorders>
              <w:top w:val="nil"/>
              <w:left w:val="nil"/>
              <w:bottom w:val="single" w:sz="8" w:space="0" w:color="auto"/>
              <w:right w:val="single" w:sz="8" w:space="0" w:color="auto"/>
            </w:tcBorders>
            <w:vAlign w:val="center"/>
            <w:hideMark/>
          </w:tcPr>
          <w:p w14:paraId="6E39A606"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4</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251,07</w:t>
            </w:r>
          </w:p>
        </w:tc>
        <w:tc>
          <w:tcPr>
            <w:tcW w:w="1951" w:type="dxa"/>
            <w:tcBorders>
              <w:top w:val="nil"/>
              <w:left w:val="nil"/>
              <w:bottom w:val="single" w:sz="8" w:space="0" w:color="auto"/>
              <w:right w:val="single" w:sz="8" w:space="0" w:color="auto"/>
            </w:tcBorders>
            <w:vAlign w:val="center"/>
            <w:hideMark/>
          </w:tcPr>
          <w:p w14:paraId="34A32300"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17</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902,40</w:t>
            </w:r>
          </w:p>
        </w:tc>
        <w:tc>
          <w:tcPr>
            <w:tcW w:w="2268" w:type="dxa"/>
            <w:tcBorders>
              <w:top w:val="nil"/>
              <w:left w:val="nil"/>
              <w:bottom w:val="single" w:sz="8" w:space="0" w:color="auto"/>
              <w:right w:val="single" w:sz="8" w:space="0" w:color="auto"/>
            </w:tcBorders>
            <w:vAlign w:val="center"/>
            <w:hideMark/>
          </w:tcPr>
          <w:p w14:paraId="71828359"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4</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081,10</w:t>
            </w:r>
          </w:p>
        </w:tc>
      </w:tr>
      <w:tr w:rsidR="003E4153" w:rsidRPr="0049298D" w14:paraId="189F57C6"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142D8C84"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Garkalne</w:t>
            </w:r>
          </w:p>
        </w:tc>
        <w:tc>
          <w:tcPr>
            <w:tcW w:w="1600" w:type="dxa"/>
            <w:tcBorders>
              <w:top w:val="nil"/>
              <w:left w:val="nil"/>
              <w:bottom w:val="single" w:sz="8" w:space="0" w:color="auto"/>
              <w:right w:val="single" w:sz="8" w:space="0" w:color="auto"/>
            </w:tcBorders>
            <w:vAlign w:val="center"/>
            <w:hideMark/>
          </w:tcPr>
          <w:p w14:paraId="3274630B"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54</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701,00</w:t>
            </w:r>
          </w:p>
        </w:tc>
        <w:tc>
          <w:tcPr>
            <w:tcW w:w="1480" w:type="dxa"/>
            <w:tcBorders>
              <w:top w:val="nil"/>
              <w:left w:val="nil"/>
              <w:bottom w:val="single" w:sz="8" w:space="0" w:color="auto"/>
              <w:right w:val="single" w:sz="8" w:space="0" w:color="auto"/>
            </w:tcBorders>
            <w:vAlign w:val="center"/>
            <w:hideMark/>
          </w:tcPr>
          <w:p w14:paraId="36087497"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21</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503,25</w:t>
            </w:r>
          </w:p>
        </w:tc>
        <w:tc>
          <w:tcPr>
            <w:tcW w:w="1951" w:type="dxa"/>
            <w:tcBorders>
              <w:top w:val="nil"/>
              <w:left w:val="nil"/>
              <w:bottom w:val="single" w:sz="8" w:space="0" w:color="auto"/>
              <w:right w:val="single" w:sz="8" w:space="0" w:color="auto"/>
            </w:tcBorders>
            <w:vAlign w:val="center"/>
            <w:hideMark/>
          </w:tcPr>
          <w:p w14:paraId="7D6D854A"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47</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127,31</w:t>
            </w:r>
          </w:p>
        </w:tc>
        <w:tc>
          <w:tcPr>
            <w:tcW w:w="2268" w:type="dxa"/>
            <w:tcBorders>
              <w:top w:val="nil"/>
              <w:left w:val="nil"/>
              <w:bottom w:val="single" w:sz="8" w:space="0" w:color="auto"/>
              <w:right w:val="single" w:sz="8" w:space="0" w:color="auto"/>
            </w:tcBorders>
            <w:vAlign w:val="center"/>
            <w:hideMark/>
          </w:tcPr>
          <w:p w14:paraId="6D9F702D"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18</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895,68</w:t>
            </w:r>
          </w:p>
        </w:tc>
      </w:tr>
      <w:tr w:rsidR="003E4153" w:rsidRPr="0049298D" w14:paraId="083A77F8"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33F71049"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49298D">
              <w:rPr>
                <w:rFonts w:ascii="Times New Roman" w:eastAsia="Times New Roman" w:hAnsi="Times New Roman" w:cs="Times New Roman"/>
                <w:b/>
                <w:bCs/>
                <w:color w:val="000000"/>
                <w:kern w:val="0"/>
                <w:lang w:eastAsia="lv-LV"/>
                <w14:ligatures w14:val="none"/>
              </w:rPr>
              <w:t>Iļķene</w:t>
            </w:r>
            <w:proofErr w:type="spellEnd"/>
          </w:p>
        </w:tc>
        <w:tc>
          <w:tcPr>
            <w:tcW w:w="1600" w:type="dxa"/>
            <w:tcBorders>
              <w:top w:val="nil"/>
              <w:left w:val="nil"/>
              <w:bottom w:val="single" w:sz="8" w:space="0" w:color="auto"/>
              <w:right w:val="single" w:sz="8" w:space="0" w:color="auto"/>
            </w:tcBorders>
            <w:vAlign w:val="center"/>
            <w:hideMark/>
          </w:tcPr>
          <w:p w14:paraId="283893B1"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130</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430,72</w:t>
            </w:r>
          </w:p>
        </w:tc>
        <w:tc>
          <w:tcPr>
            <w:tcW w:w="1480" w:type="dxa"/>
            <w:tcBorders>
              <w:top w:val="nil"/>
              <w:left w:val="nil"/>
              <w:bottom w:val="single" w:sz="8" w:space="0" w:color="auto"/>
              <w:right w:val="single" w:sz="8" w:space="0" w:color="auto"/>
            </w:tcBorders>
            <w:vAlign w:val="center"/>
            <w:hideMark/>
          </w:tcPr>
          <w:p w14:paraId="1D86B89B"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068,41</w:t>
            </w:r>
          </w:p>
        </w:tc>
        <w:tc>
          <w:tcPr>
            <w:tcW w:w="1951" w:type="dxa"/>
            <w:tcBorders>
              <w:top w:val="nil"/>
              <w:left w:val="nil"/>
              <w:bottom w:val="single" w:sz="8" w:space="0" w:color="auto"/>
              <w:right w:val="single" w:sz="8" w:space="0" w:color="auto"/>
            </w:tcBorders>
            <w:vAlign w:val="center"/>
            <w:hideMark/>
          </w:tcPr>
          <w:p w14:paraId="5464DAD7"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129</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013,34</w:t>
            </w:r>
          </w:p>
        </w:tc>
        <w:tc>
          <w:tcPr>
            <w:tcW w:w="2268" w:type="dxa"/>
            <w:tcBorders>
              <w:top w:val="nil"/>
              <w:left w:val="nil"/>
              <w:bottom w:val="single" w:sz="8" w:space="0" w:color="auto"/>
              <w:right w:val="single" w:sz="8" w:space="0" w:color="auto"/>
            </w:tcBorders>
            <w:vAlign w:val="center"/>
            <w:hideMark/>
          </w:tcPr>
          <w:p w14:paraId="3C2C3D5A"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998,44</w:t>
            </w:r>
          </w:p>
        </w:tc>
      </w:tr>
      <w:tr w:rsidR="003E4153" w:rsidRPr="0049298D" w14:paraId="602BBCC4"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46192981"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Kadaga</w:t>
            </w:r>
          </w:p>
        </w:tc>
        <w:tc>
          <w:tcPr>
            <w:tcW w:w="1600" w:type="dxa"/>
            <w:tcBorders>
              <w:top w:val="nil"/>
              <w:left w:val="nil"/>
              <w:bottom w:val="single" w:sz="8" w:space="0" w:color="auto"/>
              <w:right w:val="single" w:sz="8" w:space="0" w:color="auto"/>
            </w:tcBorders>
            <w:vAlign w:val="center"/>
            <w:hideMark/>
          </w:tcPr>
          <w:p w14:paraId="4E5A0D7C"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181</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697,46</w:t>
            </w:r>
          </w:p>
        </w:tc>
        <w:tc>
          <w:tcPr>
            <w:tcW w:w="1480" w:type="dxa"/>
            <w:tcBorders>
              <w:top w:val="nil"/>
              <w:left w:val="nil"/>
              <w:bottom w:val="single" w:sz="8" w:space="0" w:color="auto"/>
              <w:right w:val="single" w:sz="8" w:space="0" w:color="auto"/>
            </w:tcBorders>
            <w:vAlign w:val="center"/>
            <w:hideMark/>
          </w:tcPr>
          <w:p w14:paraId="6FC41CCB"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18</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420,61</w:t>
            </w:r>
          </w:p>
        </w:tc>
        <w:tc>
          <w:tcPr>
            <w:tcW w:w="1951" w:type="dxa"/>
            <w:tcBorders>
              <w:top w:val="nil"/>
              <w:left w:val="nil"/>
              <w:bottom w:val="single" w:sz="8" w:space="0" w:color="auto"/>
              <w:right w:val="single" w:sz="8" w:space="0" w:color="auto"/>
            </w:tcBorders>
            <w:vAlign w:val="center"/>
            <w:hideMark/>
          </w:tcPr>
          <w:p w14:paraId="51919447"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176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282,62</w:t>
            </w:r>
          </w:p>
        </w:tc>
        <w:tc>
          <w:tcPr>
            <w:tcW w:w="2268" w:type="dxa"/>
            <w:tcBorders>
              <w:top w:val="nil"/>
              <w:left w:val="nil"/>
              <w:bottom w:val="single" w:sz="8" w:space="0" w:color="auto"/>
              <w:right w:val="single" w:sz="8" w:space="0" w:color="auto"/>
            </w:tcBorders>
            <w:vAlign w:val="center"/>
            <w:hideMark/>
          </w:tcPr>
          <w:p w14:paraId="58F23D6F"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089,99</w:t>
            </w:r>
          </w:p>
        </w:tc>
      </w:tr>
      <w:tr w:rsidR="003E4153" w:rsidRPr="0049298D" w14:paraId="3FA879BE" w14:textId="77777777" w:rsidTr="00DF6350">
        <w:trPr>
          <w:trHeight w:val="324"/>
        </w:trPr>
        <w:tc>
          <w:tcPr>
            <w:tcW w:w="1480" w:type="dxa"/>
            <w:tcBorders>
              <w:top w:val="nil"/>
              <w:left w:val="single" w:sz="8" w:space="0" w:color="auto"/>
              <w:bottom w:val="single" w:sz="8" w:space="0" w:color="auto"/>
              <w:right w:val="single" w:sz="8" w:space="0" w:color="auto"/>
            </w:tcBorders>
            <w:vAlign w:val="center"/>
            <w:hideMark/>
          </w:tcPr>
          <w:p w14:paraId="08F58532"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proofErr w:type="spellStart"/>
            <w:r w:rsidRPr="0049298D">
              <w:rPr>
                <w:rFonts w:ascii="Times New Roman" w:eastAsia="Times New Roman" w:hAnsi="Times New Roman" w:cs="Times New Roman"/>
                <w:b/>
                <w:bCs/>
                <w:color w:val="000000"/>
                <w:kern w:val="0"/>
                <w:lang w:eastAsia="lv-LV"/>
                <w14:ligatures w14:val="none"/>
              </w:rPr>
              <w:t>Stapriņi</w:t>
            </w:r>
            <w:proofErr w:type="spellEnd"/>
          </w:p>
        </w:tc>
        <w:tc>
          <w:tcPr>
            <w:tcW w:w="1600" w:type="dxa"/>
            <w:tcBorders>
              <w:top w:val="nil"/>
              <w:left w:val="nil"/>
              <w:bottom w:val="single" w:sz="8" w:space="0" w:color="auto"/>
              <w:right w:val="single" w:sz="8" w:space="0" w:color="auto"/>
            </w:tcBorders>
            <w:vAlign w:val="center"/>
            <w:hideMark/>
          </w:tcPr>
          <w:p w14:paraId="4E038869"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111</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736,99</w:t>
            </w:r>
          </w:p>
        </w:tc>
        <w:tc>
          <w:tcPr>
            <w:tcW w:w="1480" w:type="dxa"/>
            <w:tcBorders>
              <w:top w:val="nil"/>
              <w:left w:val="nil"/>
              <w:bottom w:val="single" w:sz="8" w:space="0" w:color="auto"/>
              <w:right w:val="single" w:sz="8" w:space="0" w:color="auto"/>
            </w:tcBorders>
            <w:vAlign w:val="center"/>
            <w:hideMark/>
          </w:tcPr>
          <w:p w14:paraId="7894F54A"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77</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282,49</w:t>
            </w:r>
          </w:p>
        </w:tc>
        <w:tc>
          <w:tcPr>
            <w:tcW w:w="1951" w:type="dxa"/>
            <w:tcBorders>
              <w:top w:val="nil"/>
              <w:left w:val="nil"/>
              <w:bottom w:val="single" w:sz="8" w:space="0" w:color="auto"/>
              <w:right w:val="single" w:sz="8" w:space="0" w:color="auto"/>
            </w:tcBorders>
            <w:vAlign w:val="center"/>
            <w:hideMark/>
          </w:tcPr>
          <w:p w14:paraId="05930D39"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99</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598,83</w:t>
            </w:r>
          </w:p>
        </w:tc>
        <w:tc>
          <w:tcPr>
            <w:tcW w:w="2268" w:type="dxa"/>
            <w:tcBorders>
              <w:top w:val="nil"/>
              <w:left w:val="nil"/>
              <w:bottom w:val="single" w:sz="8" w:space="0" w:color="auto"/>
              <w:right w:val="single" w:sz="8" w:space="0" w:color="auto"/>
            </w:tcBorders>
            <w:vAlign w:val="center"/>
            <w:hideMark/>
          </w:tcPr>
          <w:p w14:paraId="756F0890"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66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918,50</w:t>
            </w:r>
          </w:p>
        </w:tc>
      </w:tr>
      <w:tr w:rsidR="003E4153" w:rsidRPr="0049298D" w14:paraId="6FD3313B" w14:textId="77777777" w:rsidTr="00DF6350">
        <w:trPr>
          <w:trHeight w:val="405"/>
        </w:trPr>
        <w:tc>
          <w:tcPr>
            <w:tcW w:w="1480" w:type="dxa"/>
            <w:tcBorders>
              <w:top w:val="nil"/>
              <w:left w:val="single" w:sz="8" w:space="0" w:color="auto"/>
              <w:bottom w:val="single" w:sz="8" w:space="0" w:color="auto"/>
              <w:right w:val="single" w:sz="8" w:space="0" w:color="auto"/>
            </w:tcBorders>
            <w:vAlign w:val="center"/>
            <w:hideMark/>
          </w:tcPr>
          <w:p w14:paraId="3D534A8F" w14:textId="77777777" w:rsidR="003E4153" w:rsidRPr="0049298D" w:rsidRDefault="003E4153" w:rsidP="00DF6350">
            <w:pPr>
              <w:spacing w:after="0" w:line="240" w:lineRule="auto"/>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Ādaži</w:t>
            </w:r>
          </w:p>
        </w:tc>
        <w:tc>
          <w:tcPr>
            <w:tcW w:w="1600" w:type="dxa"/>
            <w:tcBorders>
              <w:top w:val="nil"/>
              <w:left w:val="nil"/>
              <w:bottom w:val="single" w:sz="8" w:space="0" w:color="auto"/>
              <w:right w:val="single" w:sz="8" w:space="0" w:color="auto"/>
            </w:tcBorders>
            <w:vAlign w:val="center"/>
            <w:hideMark/>
          </w:tcPr>
          <w:p w14:paraId="3F60364D"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269</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151,59</w:t>
            </w:r>
          </w:p>
        </w:tc>
        <w:tc>
          <w:tcPr>
            <w:tcW w:w="1480" w:type="dxa"/>
            <w:tcBorders>
              <w:top w:val="nil"/>
              <w:left w:val="nil"/>
              <w:bottom w:val="single" w:sz="8" w:space="0" w:color="auto"/>
              <w:right w:val="single" w:sz="8" w:space="0" w:color="auto"/>
            </w:tcBorders>
            <w:vAlign w:val="center"/>
            <w:hideMark/>
          </w:tcPr>
          <w:p w14:paraId="69100674"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165</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622,21</w:t>
            </w:r>
          </w:p>
        </w:tc>
        <w:tc>
          <w:tcPr>
            <w:tcW w:w="1951" w:type="dxa"/>
            <w:tcBorders>
              <w:top w:val="nil"/>
              <w:left w:val="nil"/>
              <w:bottom w:val="single" w:sz="8" w:space="0" w:color="auto"/>
              <w:right w:val="single" w:sz="8" w:space="0" w:color="auto"/>
            </w:tcBorders>
            <w:vAlign w:val="center"/>
            <w:hideMark/>
          </w:tcPr>
          <w:p w14:paraId="26D49238"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235</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821,07</w:t>
            </w:r>
          </w:p>
        </w:tc>
        <w:tc>
          <w:tcPr>
            <w:tcW w:w="2268" w:type="dxa"/>
            <w:tcBorders>
              <w:top w:val="nil"/>
              <w:left w:val="nil"/>
              <w:bottom w:val="single" w:sz="8" w:space="0" w:color="auto"/>
              <w:right w:val="single" w:sz="8" w:space="0" w:color="auto"/>
            </w:tcBorders>
            <w:vAlign w:val="center"/>
            <w:hideMark/>
          </w:tcPr>
          <w:p w14:paraId="43FA2E68" w14:textId="77777777" w:rsidR="003E4153" w:rsidRPr="0049298D" w:rsidRDefault="003E4153" w:rsidP="00DF6350">
            <w:pPr>
              <w:spacing w:after="0" w:line="240" w:lineRule="auto"/>
              <w:jc w:val="right"/>
              <w:rPr>
                <w:rFonts w:ascii="Times New Roman" w:eastAsia="Times New Roman" w:hAnsi="Times New Roman" w:cs="Times New Roman"/>
                <w:color w:val="000000"/>
                <w:kern w:val="0"/>
                <w:lang w:eastAsia="lv-LV"/>
                <w14:ligatures w14:val="none"/>
              </w:rPr>
            </w:pPr>
            <w:r w:rsidRPr="0049298D">
              <w:rPr>
                <w:rFonts w:ascii="Times New Roman" w:eastAsia="Times New Roman" w:hAnsi="Times New Roman" w:cs="Times New Roman"/>
                <w:color w:val="000000"/>
                <w:kern w:val="0"/>
                <w:lang w:eastAsia="lv-LV"/>
                <w14:ligatures w14:val="none"/>
              </w:rPr>
              <w:t>126</w:t>
            </w:r>
            <w:r>
              <w:rPr>
                <w:rFonts w:ascii="Times New Roman" w:eastAsia="Times New Roman" w:hAnsi="Times New Roman" w:cs="Times New Roman"/>
                <w:color w:val="000000"/>
                <w:kern w:val="0"/>
                <w:lang w:eastAsia="lv-LV"/>
                <w14:ligatures w14:val="none"/>
              </w:rPr>
              <w:t xml:space="preserve"> </w:t>
            </w:r>
            <w:r w:rsidRPr="0049298D">
              <w:rPr>
                <w:rFonts w:ascii="Times New Roman" w:eastAsia="Times New Roman" w:hAnsi="Times New Roman" w:cs="Times New Roman"/>
                <w:color w:val="000000"/>
                <w:kern w:val="0"/>
                <w:lang w:eastAsia="lv-LV"/>
                <w14:ligatures w14:val="none"/>
              </w:rPr>
              <w:t>646,46</w:t>
            </w:r>
          </w:p>
        </w:tc>
      </w:tr>
      <w:tr w:rsidR="003E4153" w:rsidRPr="0049298D" w14:paraId="71D1F3F3" w14:textId="77777777" w:rsidTr="00DF6350">
        <w:trPr>
          <w:trHeight w:val="405"/>
        </w:trPr>
        <w:tc>
          <w:tcPr>
            <w:tcW w:w="148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414A264" w14:textId="77777777" w:rsidR="003E4153" w:rsidRPr="0049298D"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KOPĀ</w:t>
            </w:r>
          </w:p>
        </w:tc>
        <w:tc>
          <w:tcPr>
            <w:tcW w:w="1600" w:type="dxa"/>
            <w:tcBorders>
              <w:top w:val="nil"/>
              <w:left w:val="nil"/>
              <w:bottom w:val="single" w:sz="8" w:space="0" w:color="auto"/>
              <w:right w:val="single" w:sz="8" w:space="0" w:color="auto"/>
            </w:tcBorders>
            <w:shd w:val="clear" w:color="auto" w:fill="F2F2F2" w:themeFill="background1" w:themeFillShade="F2"/>
            <w:vAlign w:val="center"/>
            <w:hideMark/>
          </w:tcPr>
          <w:p w14:paraId="76A696D7" w14:textId="77777777" w:rsidR="003E4153" w:rsidRPr="0049298D"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996</w:t>
            </w:r>
            <w:r>
              <w:rPr>
                <w:rFonts w:ascii="Times New Roman" w:eastAsia="Times New Roman" w:hAnsi="Times New Roman" w:cs="Times New Roman"/>
                <w:b/>
                <w:bCs/>
                <w:color w:val="000000"/>
                <w:kern w:val="0"/>
                <w:lang w:eastAsia="lv-LV"/>
                <w14:ligatures w14:val="none"/>
              </w:rPr>
              <w:t xml:space="preserve"> </w:t>
            </w:r>
            <w:r w:rsidRPr="0049298D">
              <w:rPr>
                <w:rFonts w:ascii="Times New Roman" w:eastAsia="Times New Roman" w:hAnsi="Times New Roman" w:cs="Times New Roman"/>
                <w:b/>
                <w:bCs/>
                <w:color w:val="000000"/>
                <w:kern w:val="0"/>
                <w:lang w:eastAsia="lv-LV"/>
                <w14:ligatures w14:val="none"/>
              </w:rPr>
              <w:t>311,15</w:t>
            </w:r>
          </w:p>
        </w:tc>
        <w:tc>
          <w:tcPr>
            <w:tcW w:w="1480" w:type="dxa"/>
            <w:tcBorders>
              <w:top w:val="nil"/>
              <w:left w:val="nil"/>
              <w:bottom w:val="single" w:sz="8" w:space="0" w:color="auto"/>
              <w:right w:val="single" w:sz="8" w:space="0" w:color="auto"/>
            </w:tcBorders>
            <w:shd w:val="clear" w:color="auto" w:fill="F2F2F2" w:themeFill="background1" w:themeFillShade="F2"/>
            <w:vAlign w:val="center"/>
            <w:hideMark/>
          </w:tcPr>
          <w:p w14:paraId="6FF59F01" w14:textId="77777777" w:rsidR="003E4153" w:rsidRPr="0049298D"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396</w:t>
            </w:r>
            <w:r>
              <w:rPr>
                <w:rFonts w:ascii="Times New Roman" w:eastAsia="Times New Roman" w:hAnsi="Times New Roman" w:cs="Times New Roman"/>
                <w:b/>
                <w:bCs/>
                <w:color w:val="000000"/>
                <w:kern w:val="0"/>
                <w:lang w:eastAsia="lv-LV"/>
                <w14:ligatures w14:val="none"/>
              </w:rPr>
              <w:t xml:space="preserve"> </w:t>
            </w:r>
            <w:r w:rsidRPr="0049298D">
              <w:rPr>
                <w:rFonts w:ascii="Times New Roman" w:eastAsia="Times New Roman" w:hAnsi="Times New Roman" w:cs="Times New Roman"/>
                <w:b/>
                <w:bCs/>
                <w:color w:val="000000"/>
                <w:kern w:val="0"/>
                <w:lang w:eastAsia="lv-LV"/>
                <w14:ligatures w14:val="none"/>
              </w:rPr>
              <w:t>843,61</w:t>
            </w:r>
          </w:p>
        </w:tc>
        <w:tc>
          <w:tcPr>
            <w:tcW w:w="1951" w:type="dxa"/>
            <w:tcBorders>
              <w:top w:val="nil"/>
              <w:left w:val="nil"/>
              <w:bottom w:val="single" w:sz="8" w:space="0" w:color="auto"/>
              <w:right w:val="single" w:sz="8" w:space="0" w:color="auto"/>
            </w:tcBorders>
            <w:shd w:val="clear" w:color="auto" w:fill="F2F2F2" w:themeFill="background1" w:themeFillShade="F2"/>
            <w:vAlign w:val="center"/>
            <w:hideMark/>
          </w:tcPr>
          <w:p w14:paraId="3CE1CE98" w14:textId="77777777" w:rsidR="003E4153" w:rsidRPr="0049298D"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901</w:t>
            </w:r>
            <w:r>
              <w:rPr>
                <w:rFonts w:ascii="Times New Roman" w:eastAsia="Times New Roman" w:hAnsi="Times New Roman" w:cs="Times New Roman"/>
                <w:b/>
                <w:bCs/>
                <w:color w:val="000000"/>
                <w:kern w:val="0"/>
                <w:lang w:eastAsia="lv-LV"/>
                <w14:ligatures w14:val="none"/>
              </w:rPr>
              <w:t xml:space="preserve"> </w:t>
            </w:r>
            <w:r w:rsidRPr="0049298D">
              <w:rPr>
                <w:rFonts w:ascii="Times New Roman" w:eastAsia="Times New Roman" w:hAnsi="Times New Roman" w:cs="Times New Roman"/>
                <w:b/>
                <w:bCs/>
                <w:color w:val="000000"/>
                <w:kern w:val="0"/>
                <w:lang w:eastAsia="lv-LV"/>
                <w14:ligatures w14:val="none"/>
              </w:rPr>
              <w:t>840,48</w:t>
            </w:r>
          </w:p>
        </w:tc>
        <w:tc>
          <w:tcPr>
            <w:tcW w:w="2268" w:type="dxa"/>
            <w:tcBorders>
              <w:top w:val="nil"/>
              <w:left w:val="nil"/>
              <w:bottom w:val="single" w:sz="8" w:space="0" w:color="auto"/>
              <w:right w:val="single" w:sz="8" w:space="0" w:color="auto"/>
            </w:tcBorders>
            <w:shd w:val="clear" w:color="auto" w:fill="F2F2F2" w:themeFill="background1" w:themeFillShade="F2"/>
            <w:vAlign w:val="center"/>
            <w:hideMark/>
          </w:tcPr>
          <w:p w14:paraId="3DBF5FFB" w14:textId="77777777" w:rsidR="003E4153" w:rsidRPr="0049298D" w:rsidRDefault="003E4153" w:rsidP="00DF6350">
            <w:pPr>
              <w:spacing w:after="0" w:line="240" w:lineRule="auto"/>
              <w:jc w:val="right"/>
              <w:rPr>
                <w:rFonts w:ascii="Times New Roman" w:eastAsia="Times New Roman" w:hAnsi="Times New Roman" w:cs="Times New Roman"/>
                <w:b/>
                <w:bCs/>
                <w:color w:val="000000"/>
                <w:kern w:val="0"/>
                <w:lang w:eastAsia="lv-LV"/>
                <w14:ligatures w14:val="none"/>
              </w:rPr>
            </w:pPr>
            <w:r w:rsidRPr="0049298D">
              <w:rPr>
                <w:rFonts w:ascii="Times New Roman" w:eastAsia="Times New Roman" w:hAnsi="Times New Roman" w:cs="Times New Roman"/>
                <w:b/>
                <w:bCs/>
                <w:color w:val="000000"/>
                <w:kern w:val="0"/>
                <w:lang w:eastAsia="lv-LV"/>
                <w14:ligatures w14:val="none"/>
              </w:rPr>
              <w:t>319</w:t>
            </w:r>
            <w:r>
              <w:rPr>
                <w:rFonts w:ascii="Times New Roman" w:eastAsia="Times New Roman" w:hAnsi="Times New Roman" w:cs="Times New Roman"/>
                <w:b/>
                <w:bCs/>
                <w:color w:val="000000"/>
                <w:kern w:val="0"/>
                <w:lang w:eastAsia="lv-LV"/>
                <w14:ligatures w14:val="none"/>
              </w:rPr>
              <w:t xml:space="preserve"> </w:t>
            </w:r>
            <w:r w:rsidRPr="0049298D">
              <w:rPr>
                <w:rFonts w:ascii="Times New Roman" w:eastAsia="Times New Roman" w:hAnsi="Times New Roman" w:cs="Times New Roman"/>
                <w:b/>
                <w:bCs/>
                <w:color w:val="000000"/>
                <w:kern w:val="0"/>
                <w:lang w:eastAsia="lv-LV"/>
                <w14:ligatures w14:val="none"/>
              </w:rPr>
              <w:t>005,77</w:t>
            </w:r>
          </w:p>
        </w:tc>
      </w:tr>
    </w:tbl>
    <w:p w14:paraId="723AAD8E" w14:textId="3D53273A" w:rsidR="003E4153" w:rsidRDefault="003E4153" w:rsidP="00AA4B30">
      <w:pPr>
        <w:pStyle w:val="Sarakstarindkopa"/>
        <w:numPr>
          <w:ilvl w:val="0"/>
          <w:numId w:val="4"/>
        </w:numPr>
        <w:shd w:val="clear" w:color="auto" w:fill="FFFFFF"/>
        <w:spacing w:before="120" w:after="120" w:line="240" w:lineRule="auto"/>
        <w:ind w:left="425" w:right="-624" w:hanging="425"/>
        <w:contextualSpacing w:val="0"/>
        <w:jc w:val="both"/>
        <w:rPr>
          <w:rFonts w:ascii="Times New Roman" w:hAnsi="Times New Roman" w:cs="Times New Roman"/>
        </w:rPr>
      </w:pPr>
      <w:r w:rsidRPr="00AA4B30">
        <w:rPr>
          <w:rFonts w:ascii="Times New Roman" w:hAnsi="Times New Roman" w:cs="Times New Roman"/>
        </w:rPr>
        <w:t>Attīstības un projektu nodaļa kopā ar ciemu iedzīvotājiem izstrādā katra ciema attīstības plānus, identificējot pasākumus, kas ciemā ir nepieciešami. Novada ilgtspējīgas attīstības stratēģijā noteikts, ka ciemu attīstības plānu</w:t>
      </w:r>
      <w:r>
        <w:rPr>
          <w:rFonts w:ascii="Times New Roman" w:hAnsi="Times New Roman" w:cs="Times New Roman"/>
        </w:rPr>
        <w:t>s</w:t>
      </w:r>
      <w:r w:rsidRPr="00AA4B30">
        <w:rPr>
          <w:rFonts w:ascii="Times New Roman" w:hAnsi="Times New Roman" w:cs="Times New Roman"/>
        </w:rPr>
        <w:t xml:space="preserve"> īsteno atbilstoši pieejamajam finansējumam. Plānojot budžetu, pašvaldība izskatīs gan Attīstības programm</w:t>
      </w:r>
      <w:r>
        <w:rPr>
          <w:rFonts w:ascii="Times New Roman" w:hAnsi="Times New Roman" w:cs="Times New Roman"/>
        </w:rPr>
        <w:t>as</w:t>
      </w:r>
      <w:r w:rsidRPr="00AA4B30">
        <w:rPr>
          <w:rFonts w:ascii="Times New Roman" w:hAnsi="Times New Roman" w:cs="Times New Roman"/>
        </w:rPr>
        <w:t>, gan ciemu attīstības plān</w:t>
      </w:r>
      <w:r>
        <w:rPr>
          <w:rFonts w:ascii="Times New Roman" w:hAnsi="Times New Roman" w:cs="Times New Roman"/>
        </w:rPr>
        <w:t>u</w:t>
      </w:r>
      <w:r w:rsidRPr="00AA4B30">
        <w:rPr>
          <w:rFonts w:ascii="Times New Roman" w:hAnsi="Times New Roman" w:cs="Times New Roman"/>
        </w:rPr>
        <w:t xml:space="preserve"> aktivitātes un noteiks pasākumus, kuru finansēšanai vai nu varēs pieteikt projektus ārējā finansējuma piesaistei, vai paredzēs pašvaldības budžeta līdzekļus. </w:t>
      </w:r>
    </w:p>
    <w:p w14:paraId="5D598C14" w14:textId="02D096E1" w:rsidR="003E4153" w:rsidRDefault="003E4153" w:rsidP="003E4153">
      <w:pPr>
        <w:pStyle w:val="Sarakstarindkopa"/>
        <w:shd w:val="clear" w:color="auto" w:fill="FFFFFF"/>
        <w:spacing w:before="120" w:after="0" w:line="240" w:lineRule="auto"/>
        <w:ind w:left="426" w:right="-624"/>
        <w:jc w:val="both"/>
        <w:rPr>
          <w:rFonts w:ascii="Times New Roman" w:hAnsi="Times New Roman" w:cs="Times New Roman"/>
        </w:rPr>
      </w:pPr>
      <w:r w:rsidRPr="00AA4B30">
        <w:rPr>
          <w:rFonts w:ascii="Times New Roman" w:hAnsi="Times New Roman" w:cs="Times New Roman"/>
        </w:rPr>
        <w:t xml:space="preserve">Ciemu iedzīvotājiem jau šobrīd tiek piedāvātas plašas iespējas piesaistīt savam ciemam finanšu līdzekļus kā no pašvaldības budžeta, tā arī no ārējiem finanšu avotiem. Piem., projektu konkursi “Sabiedrība ar dvēseli”, “Iniciatīvu projektu konkurss”, “Līdzdalības budžets”, domes 23.11.2022. saistošajos noteikumos Nr. 80/2022 “Par pašvaldības līdzfinansējumu daudzdzīvokļu dzīvojamām mājām piesaistīto zemesgabalu labiekārtošanai” un 23.11.2022. saistošajos noteikumos Nr. 81/2022 “Par Ādažu novada pašvaldības līdzfinansējumu daudzdzīvokļu dzīvojamo māju energoefektivitātes pasākumu veikšanai” iespējas, LEADER projektu konkursi. </w:t>
      </w:r>
      <w:r w:rsidR="00642D6D">
        <w:rPr>
          <w:rFonts w:ascii="Times New Roman" w:hAnsi="Times New Roman" w:cs="Times New Roman"/>
        </w:rPr>
        <w:t>A</w:t>
      </w:r>
      <w:r w:rsidRPr="00AA4B30">
        <w:rPr>
          <w:rFonts w:ascii="Times New Roman" w:hAnsi="Times New Roman" w:cs="Times New Roman"/>
        </w:rPr>
        <w:t>ktīvākie ciemi šādā veidā piesaista finansējumu nepieciešamo aktivitāšu īstenošanai.</w:t>
      </w:r>
    </w:p>
    <w:p w14:paraId="1B182842" w14:textId="35E65A59" w:rsidR="003E4153" w:rsidRDefault="00690E5C" w:rsidP="00AA4B30">
      <w:pPr>
        <w:pStyle w:val="Default"/>
        <w:spacing w:before="120"/>
        <w:ind w:right="-624"/>
        <w:jc w:val="both"/>
        <w:rPr>
          <w:b/>
          <w:bCs/>
        </w:rPr>
      </w:pPr>
      <w:r w:rsidRPr="0019102A">
        <w:rPr>
          <w:b/>
          <w:bCs/>
        </w:rPr>
        <w:lastRenderedPageBreak/>
        <w:t>SECIN</w:t>
      </w:r>
      <w:r>
        <w:rPr>
          <w:b/>
          <w:bCs/>
        </w:rPr>
        <w:t xml:space="preserve">ĀJUMS: </w:t>
      </w:r>
      <w:r>
        <w:rPr>
          <w:b/>
          <w:bCs/>
        </w:rPr>
        <w:tab/>
        <w:t>N</w:t>
      </w:r>
      <w:r w:rsidRPr="001E55AB">
        <w:rPr>
          <w:b/>
          <w:bCs/>
        </w:rPr>
        <w:t>av iespējams</w:t>
      </w:r>
      <w:r w:rsidRPr="0019102A" w:rsidDel="00690E5C">
        <w:rPr>
          <w:b/>
          <w:bCs/>
        </w:rPr>
        <w:t xml:space="preserve"> </w:t>
      </w:r>
      <w:r w:rsidR="00DB0621">
        <w:rPr>
          <w:b/>
          <w:bCs/>
        </w:rPr>
        <w:t>v</w:t>
      </w:r>
      <w:r w:rsidR="001E55AB" w:rsidRPr="001E55AB">
        <w:rPr>
          <w:b/>
          <w:bCs/>
        </w:rPr>
        <w:t>eikt nodokļu uzskaiti par katru apdzīvoto vietu</w:t>
      </w:r>
      <w:r w:rsidR="003E4153">
        <w:rPr>
          <w:b/>
          <w:bCs/>
        </w:rPr>
        <w:t>,</w:t>
      </w:r>
    </w:p>
    <w:p w14:paraId="641F7D28" w14:textId="77777777" w:rsidR="003E4153" w:rsidRDefault="003E4153" w:rsidP="00AA4B30">
      <w:pPr>
        <w:pStyle w:val="Default"/>
        <w:ind w:right="-625"/>
        <w:jc w:val="both"/>
        <w:rPr>
          <w:b/>
          <w:bCs/>
        </w:rPr>
      </w:pPr>
      <w:r>
        <w:rPr>
          <w:b/>
          <w:bCs/>
        </w:rPr>
        <w:t xml:space="preserve"> </w:t>
      </w:r>
      <w:r>
        <w:rPr>
          <w:b/>
          <w:bCs/>
        </w:rPr>
        <w:tab/>
      </w:r>
      <w:r>
        <w:rPr>
          <w:b/>
          <w:bCs/>
        </w:rPr>
        <w:tab/>
      </w:r>
      <w:r>
        <w:rPr>
          <w:b/>
          <w:bCs/>
        </w:rPr>
        <w:tab/>
        <w:t xml:space="preserve">taču informāciju par NĪN plāna izpildi ir iespējams sagatavot </w:t>
      </w:r>
    </w:p>
    <w:p w14:paraId="7EA4ABFD" w14:textId="6124CFE4" w:rsidR="001E55AB" w:rsidRPr="001E55AB" w:rsidRDefault="003E4153" w:rsidP="00AA4B30">
      <w:pPr>
        <w:pStyle w:val="Default"/>
        <w:spacing w:after="120"/>
        <w:ind w:left="1440" w:right="-625" w:firstLine="720"/>
        <w:jc w:val="both"/>
        <w:rPr>
          <w:b/>
          <w:bCs/>
        </w:rPr>
      </w:pPr>
      <w:r>
        <w:rPr>
          <w:b/>
          <w:bCs/>
        </w:rPr>
        <w:t>tabulā norādītajā apjomā</w:t>
      </w:r>
      <w:r w:rsidR="001E55AB" w:rsidRPr="001E55AB">
        <w:rPr>
          <w:b/>
          <w:bCs/>
        </w:rPr>
        <w:t>.</w:t>
      </w:r>
    </w:p>
    <w:tbl>
      <w:tblPr>
        <w:tblStyle w:val="Reatabula"/>
        <w:tblW w:w="8926" w:type="dxa"/>
        <w:tblLook w:val="04A0" w:firstRow="1" w:lastRow="0" w:firstColumn="1" w:lastColumn="0" w:noHBand="0" w:noVBand="1"/>
      </w:tblPr>
      <w:tblGrid>
        <w:gridCol w:w="8926"/>
      </w:tblGrid>
      <w:tr w:rsidR="001E55AB" w14:paraId="0AA349DA" w14:textId="77777777" w:rsidTr="001E55AB">
        <w:tc>
          <w:tcPr>
            <w:tcW w:w="8926" w:type="dxa"/>
          </w:tcPr>
          <w:p w14:paraId="6B467FD7" w14:textId="1338DC15" w:rsidR="001E55AB" w:rsidRDefault="001E55AB" w:rsidP="00675274">
            <w:pPr>
              <w:pStyle w:val="Default"/>
              <w:spacing w:after="120"/>
              <w:ind w:left="142" w:hanging="142"/>
              <w:jc w:val="both"/>
            </w:pPr>
            <w:r>
              <w:t>2. U</w:t>
            </w:r>
            <w:r w:rsidRPr="00EF0851">
              <w:t>zskaitīt pašvaldības ieguldījumus infrastruktūrā katrā apdzīvotā vietā kopš novadu apvienošanās un turpināt to veikt katru gadu; ja ieguldījumi tiek veikti ar aizņēmuma palīdzību, tad norādīt pašvaldības pašu finansējuma un aizņēmuma apjomu atsevišķi</w:t>
            </w:r>
            <w:r>
              <w:t>.</w:t>
            </w:r>
          </w:p>
        </w:tc>
      </w:tr>
    </w:tbl>
    <w:p w14:paraId="6BA66454" w14:textId="198CD8F5" w:rsidR="009A6F23" w:rsidRDefault="00690E5C" w:rsidP="00AA4B30">
      <w:pPr>
        <w:pStyle w:val="Default"/>
        <w:spacing w:before="120" w:after="120"/>
        <w:ind w:right="-624"/>
        <w:jc w:val="both"/>
        <w:rPr>
          <w:b/>
          <w:bCs/>
        </w:rPr>
      </w:pPr>
      <w:r w:rsidRPr="0019102A">
        <w:rPr>
          <w:b/>
          <w:bCs/>
        </w:rPr>
        <w:t>SECIN</w:t>
      </w:r>
      <w:r>
        <w:rPr>
          <w:b/>
          <w:bCs/>
        </w:rPr>
        <w:t xml:space="preserve">ĀJUMS: </w:t>
      </w:r>
      <w:r>
        <w:rPr>
          <w:b/>
          <w:bCs/>
        </w:rPr>
        <w:tab/>
        <w:t xml:space="preserve">Ciemu teritorijās veikto ieguldījumu </w:t>
      </w:r>
      <w:r w:rsidR="001E55AB" w:rsidRPr="001E55AB">
        <w:rPr>
          <w:b/>
          <w:bCs/>
        </w:rPr>
        <w:t>uzskaiti ir iespējams veikt.</w:t>
      </w:r>
    </w:p>
    <w:tbl>
      <w:tblPr>
        <w:tblStyle w:val="Reatabula"/>
        <w:tblW w:w="8926" w:type="dxa"/>
        <w:tblLook w:val="04A0" w:firstRow="1" w:lastRow="0" w:firstColumn="1" w:lastColumn="0" w:noHBand="0" w:noVBand="1"/>
      </w:tblPr>
      <w:tblGrid>
        <w:gridCol w:w="8926"/>
      </w:tblGrid>
      <w:tr w:rsidR="00675274" w14:paraId="126F8CC4" w14:textId="77777777" w:rsidTr="00675274">
        <w:tc>
          <w:tcPr>
            <w:tcW w:w="8926" w:type="dxa"/>
          </w:tcPr>
          <w:p w14:paraId="0B3F320B" w14:textId="164AF568" w:rsidR="00675274" w:rsidRDefault="00675274" w:rsidP="009A6F23">
            <w:pPr>
              <w:pStyle w:val="Default"/>
              <w:numPr>
                <w:ilvl w:val="0"/>
                <w:numId w:val="5"/>
              </w:numPr>
              <w:tabs>
                <w:tab w:val="left" w:pos="318"/>
              </w:tabs>
              <w:ind w:left="176" w:hanging="176"/>
              <w:jc w:val="both"/>
            </w:pPr>
            <w:r>
              <w:t>A</w:t>
            </w:r>
            <w:r w:rsidRPr="00EF0851">
              <w:t xml:space="preserve">tsevišķi veikt uzskaiti par </w:t>
            </w:r>
            <w:r w:rsidR="00690E5C">
              <w:t xml:space="preserve">ieguldījumiem </w:t>
            </w:r>
            <w:r w:rsidRPr="00EF0851">
              <w:t>Podniek</w:t>
            </w:r>
            <w:r w:rsidR="00690E5C">
              <w:t>os (</w:t>
            </w:r>
            <w:r w:rsidRPr="00EF0851">
              <w:t>apkaime bez ciema statusa</w:t>
            </w:r>
            <w:r>
              <w:t>.</w:t>
            </w:r>
          </w:p>
        </w:tc>
      </w:tr>
    </w:tbl>
    <w:p w14:paraId="797A750C" w14:textId="20D14692" w:rsidR="00690E5C" w:rsidRDefault="00690E5C" w:rsidP="00AA4B30">
      <w:pPr>
        <w:pStyle w:val="Default"/>
        <w:spacing w:before="120" w:after="120"/>
        <w:ind w:right="-624"/>
        <w:jc w:val="both"/>
        <w:rPr>
          <w:b/>
          <w:bCs/>
        </w:rPr>
      </w:pPr>
      <w:r w:rsidRPr="0019102A">
        <w:rPr>
          <w:b/>
          <w:bCs/>
        </w:rPr>
        <w:t>SECIN</w:t>
      </w:r>
      <w:r>
        <w:rPr>
          <w:b/>
          <w:bCs/>
        </w:rPr>
        <w:t xml:space="preserve">ĀJUMS: </w:t>
      </w:r>
      <w:r>
        <w:rPr>
          <w:b/>
          <w:bCs/>
        </w:rPr>
        <w:tab/>
        <w:t xml:space="preserve">Podniekos veikto ieguldījumu </w:t>
      </w:r>
      <w:r w:rsidRPr="001E55AB">
        <w:rPr>
          <w:b/>
          <w:bCs/>
        </w:rPr>
        <w:t>uzskaiti ir iespējams veikt.</w:t>
      </w:r>
    </w:p>
    <w:tbl>
      <w:tblPr>
        <w:tblStyle w:val="Reatabula"/>
        <w:tblW w:w="8926" w:type="dxa"/>
        <w:tblLook w:val="04A0" w:firstRow="1" w:lastRow="0" w:firstColumn="1" w:lastColumn="0" w:noHBand="0" w:noVBand="1"/>
      </w:tblPr>
      <w:tblGrid>
        <w:gridCol w:w="8926"/>
      </w:tblGrid>
      <w:tr w:rsidR="00675274" w14:paraId="476D5EE3" w14:textId="77777777" w:rsidTr="00675274">
        <w:tc>
          <w:tcPr>
            <w:tcW w:w="8926" w:type="dxa"/>
          </w:tcPr>
          <w:p w14:paraId="0AB4715B" w14:textId="4BF6A560" w:rsidR="00675274" w:rsidRDefault="0046771E" w:rsidP="0046771E">
            <w:pPr>
              <w:pStyle w:val="Default"/>
              <w:numPr>
                <w:ilvl w:val="0"/>
                <w:numId w:val="5"/>
              </w:numPr>
              <w:spacing w:after="120"/>
              <w:ind w:left="318" w:right="31" w:hanging="284"/>
              <w:jc w:val="both"/>
            </w:pPr>
            <w:r>
              <w:t>P</w:t>
            </w:r>
            <w:r w:rsidRPr="00EF0851">
              <w:t>aredzēt iespēju apdzīvotā vietā ieguldīt proporcionāli lielāku finansējumu, ja to paredz konkrētais infrastruktūras projekts, un sadalīt uzskaiti pa gadiem uz priekšu</w:t>
            </w:r>
            <w:r>
              <w:t>.</w:t>
            </w:r>
          </w:p>
        </w:tc>
      </w:tr>
    </w:tbl>
    <w:p w14:paraId="2E19C338" w14:textId="77777777" w:rsidR="002839BB" w:rsidRDefault="002839BB" w:rsidP="002839BB">
      <w:pPr>
        <w:pStyle w:val="Default"/>
        <w:spacing w:before="120"/>
        <w:ind w:right="-624"/>
        <w:jc w:val="both"/>
      </w:pPr>
      <w:r>
        <w:t xml:space="preserve">Pašvaldība vērtē investīcijas pēc nepieciešamības, pieejamiem projektu </w:t>
      </w:r>
      <w:proofErr w:type="spellStart"/>
      <w:r>
        <w:t>ārfinansējumiem</w:t>
      </w:r>
      <w:proofErr w:type="spellEnd"/>
      <w:r>
        <w:t xml:space="preserve">, iedzīvotāju un speciālistu ierosinājumiem, iepriekš izstrādātajām stratēģijām. </w:t>
      </w:r>
    </w:p>
    <w:p w14:paraId="27B09638" w14:textId="65140D22" w:rsidR="002839BB" w:rsidRDefault="002839BB" w:rsidP="002839BB">
      <w:pPr>
        <w:pStyle w:val="Default"/>
        <w:spacing w:before="120"/>
        <w:ind w:right="-624"/>
        <w:jc w:val="both"/>
      </w:pPr>
      <w:r>
        <w:t xml:space="preserve">Katru gadu, vērtējot nākošā gada investīcijas, tiek ņemtas vērā iepriekšējos gados veiktās investīcijas. Arī piedāvājot </w:t>
      </w:r>
      <w:r w:rsidR="00F657DB">
        <w:t xml:space="preserve">domei </w:t>
      </w:r>
      <w:r>
        <w:t>lemšanai investīci</w:t>
      </w:r>
      <w:r w:rsidR="00F657DB">
        <w:t>ju priekšlikumus,</w:t>
      </w:r>
      <w:r>
        <w:t xml:space="preserve"> ir zināma iespējamās investīcijas teritorija un piedāvājumā ir ievērtēts, lai investīcijas būtu pēc iespējas ap</w:t>
      </w:r>
      <w:r w:rsidR="00F657DB">
        <w:t>tverot</w:t>
      </w:r>
      <w:r>
        <w:t xml:space="preserve"> visu novada teritoriju.</w:t>
      </w:r>
    </w:p>
    <w:p w14:paraId="61AC1648" w14:textId="5674EFC5" w:rsidR="0019102A" w:rsidRPr="002E06E3" w:rsidRDefault="00F657DB" w:rsidP="00AA4B30">
      <w:pPr>
        <w:pStyle w:val="Default"/>
        <w:spacing w:after="120"/>
        <w:ind w:left="2126" w:right="-624" w:hanging="2126"/>
        <w:jc w:val="both"/>
        <w:rPr>
          <w:b/>
          <w:bCs/>
        </w:rPr>
      </w:pPr>
      <w:r w:rsidRPr="0019102A">
        <w:rPr>
          <w:b/>
          <w:bCs/>
        </w:rPr>
        <w:t>SECIN</w:t>
      </w:r>
      <w:r>
        <w:rPr>
          <w:b/>
          <w:bCs/>
        </w:rPr>
        <w:t xml:space="preserve">ĀJUMS: </w:t>
      </w:r>
      <w:r>
        <w:rPr>
          <w:b/>
          <w:bCs/>
        </w:rPr>
        <w:tab/>
      </w:r>
      <w:r w:rsidR="002839BB" w:rsidRPr="00F657DB">
        <w:rPr>
          <w:b/>
          <w:bCs/>
        </w:rPr>
        <w:t>Priekšlikums ir precizējams</w:t>
      </w:r>
      <w:r w:rsidRPr="00F657DB">
        <w:rPr>
          <w:b/>
          <w:bCs/>
        </w:rPr>
        <w:t xml:space="preserve"> daļā par lielo ieguldīju</w:t>
      </w:r>
      <w:r w:rsidR="00AA4B30">
        <w:rPr>
          <w:b/>
          <w:bCs/>
        </w:rPr>
        <w:t>mu</w:t>
      </w:r>
      <w:r w:rsidRPr="00F657DB">
        <w:rPr>
          <w:b/>
          <w:bCs/>
        </w:rPr>
        <w:t xml:space="preserve"> </w:t>
      </w:r>
      <w:r w:rsidRPr="00AA4B30">
        <w:rPr>
          <w:b/>
          <w:bCs/>
        </w:rPr>
        <w:t xml:space="preserve">proporcijas </w:t>
      </w:r>
      <w:r w:rsidR="00AA4B30">
        <w:rPr>
          <w:b/>
          <w:bCs/>
        </w:rPr>
        <w:t xml:space="preserve">                </w:t>
      </w:r>
      <w:r w:rsidRPr="00AA4B30">
        <w:rPr>
          <w:b/>
          <w:bCs/>
        </w:rPr>
        <w:t>u</w:t>
      </w:r>
      <w:r w:rsidR="00AA4B30">
        <w:rPr>
          <w:b/>
          <w:bCs/>
        </w:rPr>
        <w:t xml:space="preserve">n </w:t>
      </w:r>
      <w:r w:rsidRPr="00AA4B30">
        <w:rPr>
          <w:b/>
          <w:bCs/>
        </w:rPr>
        <w:t>kārtējā gada ieguldījumu attiecību</w:t>
      </w:r>
      <w:r w:rsidR="002839BB" w:rsidRPr="00F657DB">
        <w:rPr>
          <w:b/>
          <w:bCs/>
        </w:rPr>
        <w:t>.</w:t>
      </w:r>
    </w:p>
    <w:tbl>
      <w:tblPr>
        <w:tblStyle w:val="Reatabula"/>
        <w:tblW w:w="8931" w:type="dxa"/>
        <w:tblInd w:w="-5" w:type="dxa"/>
        <w:tblLook w:val="04A0" w:firstRow="1" w:lastRow="0" w:firstColumn="1" w:lastColumn="0" w:noHBand="0" w:noVBand="1"/>
      </w:tblPr>
      <w:tblGrid>
        <w:gridCol w:w="8931"/>
      </w:tblGrid>
      <w:tr w:rsidR="0046771E" w14:paraId="7C4716CF" w14:textId="77777777" w:rsidTr="0046771E">
        <w:tc>
          <w:tcPr>
            <w:tcW w:w="8931" w:type="dxa"/>
          </w:tcPr>
          <w:p w14:paraId="5EE46D6F" w14:textId="05489A67" w:rsidR="0046771E" w:rsidRDefault="0046771E" w:rsidP="0046771E">
            <w:pPr>
              <w:pStyle w:val="Default"/>
              <w:numPr>
                <w:ilvl w:val="0"/>
                <w:numId w:val="5"/>
              </w:numPr>
              <w:spacing w:after="120"/>
              <w:ind w:left="318"/>
              <w:jc w:val="both"/>
            </w:pPr>
            <w:r>
              <w:t>N</w:t>
            </w:r>
            <w:r w:rsidRPr="00EF0851">
              <w:t>oteikt pašvaldības ieguldījumu kategorijas, kuras neattiecas uz šo principu, jo kalpo kopējam novada labumam</w:t>
            </w:r>
          </w:p>
        </w:tc>
      </w:tr>
    </w:tbl>
    <w:p w14:paraId="02165AF0" w14:textId="77777777" w:rsidR="002839BB" w:rsidRDefault="002839BB" w:rsidP="002839BB">
      <w:pPr>
        <w:pStyle w:val="Default"/>
        <w:spacing w:before="120"/>
        <w:ind w:right="-624"/>
        <w:jc w:val="both"/>
      </w:pPr>
      <w:r>
        <w:t>Pašvaldības darbojas atbilstoši Pašvaldību likumam, likumam “</w:t>
      </w:r>
      <w:r w:rsidRPr="006B5AFF">
        <w:t>Par budžeta un finanšu vadību</w:t>
      </w:r>
      <w:r>
        <w:t xml:space="preserve">”, Teritorijas attīstības plānošanas likumam, kā arī citiem normatīviem aktiem. </w:t>
      </w:r>
      <w:r w:rsidRPr="006B5AFF">
        <w:t>Saskaņā ar tiem</w:t>
      </w:r>
      <w:r>
        <w:t>,</w:t>
      </w:r>
      <w:r w:rsidRPr="006B5AFF">
        <w:t xml:space="preserve"> </w:t>
      </w:r>
      <w:r>
        <w:t xml:space="preserve">katrai </w:t>
      </w:r>
      <w:r w:rsidRPr="006B5AFF">
        <w:t>pašvaldīb</w:t>
      </w:r>
      <w:r>
        <w:t>ai</w:t>
      </w:r>
      <w:r w:rsidRPr="006B5AFF">
        <w:t xml:space="preserve"> jāpilda pašvaldības autonomās funkcijas, kas nodrošina kopējo sabiedrības labumu visā pašvaldības teritorijā, nevis tikai atsevišķos ciemos vai apdzīvotās vietās.</w:t>
      </w:r>
      <w:r>
        <w:t xml:space="preserve"> </w:t>
      </w:r>
      <w:r w:rsidRPr="00393947">
        <w:t>Sabiedriskie labumi ir tie, kurus nevar ierobežot tikai noteiktam iedzīvotāju lokam, un to izmantošana vienas personas labā nemazina iespēju tos izmantot citiem.</w:t>
      </w:r>
      <w:r>
        <w:t xml:space="preserve"> </w:t>
      </w:r>
    </w:p>
    <w:p w14:paraId="7F849220" w14:textId="795D7724" w:rsidR="002839BB" w:rsidRDefault="002839BB" w:rsidP="002839BB">
      <w:pPr>
        <w:pStyle w:val="Default"/>
        <w:spacing w:before="120"/>
        <w:ind w:right="-624"/>
        <w:jc w:val="both"/>
      </w:pPr>
      <w:r>
        <w:t>Faktiski koplietošanas infrastruktūras un pakalpojumi, kas ir pieejami un kurus izmanto visi novada iedzīvotāji, ir: izglītības iestādes un izglītības pakalpojumi, ceļi un ielas, teritorijas labiekārtojuma objekti, sabiedriskā drošība, sociālās iestādes un sociālie pakalpojumi, kultūras iestādes un kultūras pakalpojumi, sporta iestādes un sporta pakalpojumi. Ja infrastruktūra ir izņēmumi, tad nav saprotams, kādas aktivitātes domāts atbalstīt, piemērojot nodokļu “mājās atgriešanās” principu.</w:t>
      </w:r>
      <w:r w:rsidRPr="007A4A9F">
        <w:t xml:space="preserve"> </w:t>
      </w:r>
      <w:r>
        <w:t>Turklāt nav iespējams noteikt, cik no katrā ciemā dzīvojošajiem ir deklarēti, cik nav un, kuri lieto un cik lielā apjomā izmanto citos ciemos izveidotās infrastruktūras. Tas nav iespējams un tas noteikti nedotu vēlamo efektu.</w:t>
      </w:r>
    </w:p>
    <w:p w14:paraId="65BA1063" w14:textId="11B090B3" w:rsidR="00F657DB" w:rsidRDefault="00F657DB" w:rsidP="00F657DB">
      <w:pPr>
        <w:pStyle w:val="Default"/>
        <w:spacing w:before="120"/>
        <w:ind w:right="-624"/>
        <w:jc w:val="both"/>
        <w:rPr>
          <w:b/>
          <w:bCs/>
        </w:rPr>
      </w:pPr>
      <w:r w:rsidRPr="0019102A">
        <w:rPr>
          <w:b/>
          <w:bCs/>
        </w:rPr>
        <w:t>SECIN</w:t>
      </w:r>
      <w:r>
        <w:rPr>
          <w:b/>
          <w:bCs/>
        </w:rPr>
        <w:t xml:space="preserve">ĀJUMS: </w:t>
      </w:r>
      <w:r>
        <w:rPr>
          <w:b/>
          <w:bCs/>
        </w:rPr>
        <w:tab/>
      </w:r>
      <w:r w:rsidR="00DB0621" w:rsidRPr="00DB0621">
        <w:rPr>
          <w:b/>
          <w:bCs/>
        </w:rPr>
        <w:t>Priekšlikums precizējams, jo</w:t>
      </w:r>
      <w:r w:rsidR="00DB0621">
        <w:rPr>
          <w:b/>
          <w:bCs/>
        </w:rPr>
        <w:t xml:space="preserve"> jānosaka</w:t>
      </w:r>
      <w:r w:rsidR="00DB0621" w:rsidRPr="00DB0621">
        <w:rPr>
          <w:b/>
          <w:bCs/>
        </w:rPr>
        <w:t xml:space="preserve"> ieguldījumu kategorijas, </w:t>
      </w:r>
    </w:p>
    <w:p w14:paraId="36E6D6EF" w14:textId="045C6406" w:rsidR="0046771E" w:rsidRDefault="00DB0621" w:rsidP="00AA4B30">
      <w:pPr>
        <w:pStyle w:val="Default"/>
        <w:spacing w:after="120"/>
        <w:ind w:left="1440" w:right="-624" w:firstLine="720"/>
        <w:jc w:val="both"/>
      </w:pPr>
      <w:r w:rsidRPr="00DB0621">
        <w:rPr>
          <w:b/>
          <w:bCs/>
        </w:rPr>
        <w:t>kas nekalpo</w:t>
      </w:r>
      <w:r w:rsidR="00F657DB">
        <w:rPr>
          <w:b/>
          <w:bCs/>
        </w:rPr>
        <w:t>s</w:t>
      </w:r>
      <w:r w:rsidRPr="00DB0621">
        <w:rPr>
          <w:b/>
          <w:bCs/>
        </w:rPr>
        <w:t xml:space="preserve"> kopējam labumam.</w:t>
      </w:r>
    </w:p>
    <w:tbl>
      <w:tblPr>
        <w:tblStyle w:val="Reatabula"/>
        <w:tblW w:w="8931" w:type="dxa"/>
        <w:tblInd w:w="-5" w:type="dxa"/>
        <w:tblLook w:val="04A0" w:firstRow="1" w:lastRow="0" w:firstColumn="1" w:lastColumn="0" w:noHBand="0" w:noVBand="1"/>
      </w:tblPr>
      <w:tblGrid>
        <w:gridCol w:w="8931"/>
      </w:tblGrid>
      <w:tr w:rsidR="0046771E" w14:paraId="077D61E3" w14:textId="77777777" w:rsidTr="0046771E">
        <w:tc>
          <w:tcPr>
            <w:tcW w:w="8931" w:type="dxa"/>
          </w:tcPr>
          <w:p w14:paraId="69D76653" w14:textId="7B6CDE64" w:rsidR="0046771E" w:rsidRDefault="0046771E" w:rsidP="0046771E">
            <w:pPr>
              <w:pStyle w:val="Default"/>
              <w:numPr>
                <w:ilvl w:val="0"/>
                <w:numId w:val="5"/>
              </w:numPr>
              <w:spacing w:after="120"/>
              <w:ind w:left="318"/>
              <w:jc w:val="both"/>
            </w:pPr>
            <w:r>
              <w:t>U</w:t>
            </w:r>
            <w:r w:rsidRPr="00EF0851">
              <w:t>zdot atbildīgajiem speciālistiem izstrādāt priekšlikumu par procentuālo lielumu no apdzīvoto vietu nodokļiem, ko varētu noteikt kā “mājās atgriešanās” ieguldījumus</w:t>
            </w:r>
            <w:r>
              <w:t>.</w:t>
            </w:r>
          </w:p>
        </w:tc>
      </w:tr>
    </w:tbl>
    <w:p w14:paraId="46FEB62E" w14:textId="77777777" w:rsidR="00DB0621" w:rsidRDefault="001E34BE" w:rsidP="00DB0621">
      <w:pPr>
        <w:pStyle w:val="Default"/>
        <w:spacing w:before="120"/>
        <w:ind w:right="-624"/>
        <w:jc w:val="both"/>
      </w:pPr>
      <w:r>
        <w:t xml:space="preserve">Ņemot vērā Pašvaldību likumu un likumu “Par budžeta un finanšu vadību”, pašvaldībām ir pienākums nodrošināt sabiedriskos pakalpojumus visā tās teritorijā, ievērojot </w:t>
      </w:r>
      <w:r w:rsidRPr="004A5D80">
        <w:t>sabiedrības interešu vienlīdzību un teritoriālās attīstības līdzsvarotību</w:t>
      </w:r>
      <w:r>
        <w:t xml:space="preserve">. </w:t>
      </w:r>
      <w:r w:rsidRPr="004A5D80">
        <w:t>Tādēļ pašvaldības līdzekļi n</w:t>
      </w:r>
      <w:r>
        <w:t xml:space="preserve">etiek </w:t>
      </w:r>
      <w:r>
        <w:lastRenderedPageBreak/>
        <w:t xml:space="preserve">dalīti </w:t>
      </w:r>
      <w:r w:rsidRPr="004A5D80">
        <w:t>pēc to ģeogrāfiskās izcelsmes – budžets ir vienots un ieņēmumi no konkrētas vietas (piemēram, iedzīvotāju ienākuma nodoklis no konkrētā ciema) netiek piesaistīti konkrētām teritorijām</w:t>
      </w:r>
      <w:r>
        <w:t xml:space="preserve">. </w:t>
      </w:r>
      <w:r w:rsidRPr="00D85F22">
        <w:t>Tas ir nostiprināts arī Eiropas Vietējo pašvaldību hartas 9. pantā:</w:t>
      </w:r>
      <w:r>
        <w:t xml:space="preserve"> “</w:t>
      </w:r>
      <w:r w:rsidRPr="00D85F22">
        <w:t>Pašvaldību finanšu resursi tiek izmantoti brīvi, īstenojot tām piešķirtās pilnvaras.</w:t>
      </w:r>
      <w:r>
        <w:t>”</w:t>
      </w:r>
      <w:r>
        <w:rPr>
          <w:rStyle w:val="Vresatsauce"/>
        </w:rPr>
        <w:footnoteReference w:id="2"/>
      </w:r>
      <w:r>
        <w:t xml:space="preserve">Nav </w:t>
      </w:r>
      <w:r w:rsidR="004A5D80">
        <w:t xml:space="preserve">arī zināmi piemēri citās </w:t>
      </w:r>
      <w:r w:rsidR="00730915">
        <w:t>ES</w:t>
      </w:r>
      <w:r w:rsidR="004A5D80">
        <w:t xml:space="preserve"> valstīs, kur šāds princips tiktu pielietots.</w:t>
      </w:r>
    </w:p>
    <w:p w14:paraId="754DCD11" w14:textId="553F520E" w:rsidR="00DB0621" w:rsidRDefault="00F657DB" w:rsidP="00DB0621">
      <w:pPr>
        <w:pStyle w:val="Default"/>
        <w:spacing w:before="120"/>
        <w:ind w:right="-624"/>
        <w:jc w:val="both"/>
      </w:pPr>
      <w:r>
        <w:t>P</w:t>
      </w:r>
      <w:r w:rsidR="001A7E42">
        <w:t xml:space="preserve">riekšlikums </w:t>
      </w:r>
      <w:r>
        <w:t xml:space="preserve">ir </w:t>
      </w:r>
      <w:r w:rsidR="001A7E42">
        <w:t>pretrunā ar novada ilgtspējīgu attīstības stratēģiju (2013-2037), kurā noteikts, ka līdz 2037. gada</w:t>
      </w:r>
      <w:r>
        <w:t>m</w:t>
      </w:r>
      <w:r w:rsidR="001A7E42">
        <w:t xml:space="preserve"> Ādažu novadā v</w:t>
      </w:r>
      <w:r w:rsidR="001A7E42" w:rsidRPr="001A7E42">
        <w:t>ieda pārvaldība un finansiāla patstāvība palīdzēs veidot operatīvus un kvalitatīvus pakalpojumus visiem, kas šeit dzīvo, strādā vai atpūšas.</w:t>
      </w:r>
    </w:p>
    <w:p w14:paraId="4AEC4C45" w14:textId="77777777" w:rsidR="00DB0621" w:rsidRDefault="001E34BE" w:rsidP="00DB0621">
      <w:pPr>
        <w:pStyle w:val="Default"/>
        <w:spacing w:before="120"/>
        <w:ind w:right="-624"/>
        <w:jc w:val="both"/>
      </w:pPr>
      <w:r>
        <w:t xml:space="preserve">Jāņem vērā, ka atsevišķi infrastruktūras objekti tiek / būtu jāplāno ārpus ciemu teritorijām (piem., veloceliņi un ceļa infrastruktūra starp apdzīvotām vietām; meliorācijas infrastruktūra), tāpēc, pielietojot fiskālās iesaistes metodiku, šādus projektus nevarētu pamatot un paredzēt tiem pašvaldības finansējumu. </w:t>
      </w:r>
    </w:p>
    <w:p w14:paraId="0992FD2A" w14:textId="395D49FD" w:rsidR="00D85F22" w:rsidRDefault="00D85F22" w:rsidP="00DB0621">
      <w:pPr>
        <w:pStyle w:val="Default"/>
        <w:spacing w:before="120"/>
        <w:ind w:right="-624"/>
        <w:jc w:val="both"/>
      </w:pPr>
      <w:r>
        <w:t>P</w:t>
      </w:r>
      <w:r w:rsidRPr="00D85F22">
        <w:t>ašvaldībai nav tiesiska pamata plānot investīcijas katrā apdzīvotā vietā tikai proporcionāli no tās iegūtajiem nodokļiem.</w:t>
      </w:r>
      <w:r>
        <w:t xml:space="preserve"> Turklāt</w:t>
      </w:r>
      <w:r w:rsidR="00913960">
        <w:t>, kā liecina zinātniskajā literatūrā pieejamā informācija, teritoriālā fiskālās iesaistes metodika (</w:t>
      </w:r>
      <w:proofErr w:type="spellStart"/>
      <w:r w:rsidR="00913960" w:rsidRPr="00913960">
        <w:rPr>
          <w:i/>
          <w:iCs/>
        </w:rPr>
        <w:t>fiscal</w:t>
      </w:r>
      <w:proofErr w:type="spellEnd"/>
      <w:r w:rsidR="00913960" w:rsidRPr="00913960">
        <w:rPr>
          <w:i/>
          <w:iCs/>
        </w:rPr>
        <w:t xml:space="preserve"> </w:t>
      </w:r>
      <w:proofErr w:type="spellStart"/>
      <w:r w:rsidR="00913960" w:rsidRPr="00913960">
        <w:rPr>
          <w:i/>
          <w:iCs/>
        </w:rPr>
        <w:t>earmarking</w:t>
      </w:r>
      <w:proofErr w:type="spellEnd"/>
      <w:r w:rsidR="00913960" w:rsidRPr="00913960">
        <w:rPr>
          <w:i/>
          <w:iCs/>
        </w:rPr>
        <w:t xml:space="preserve"> </w:t>
      </w:r>
      <w:proofErr w:type="spellStart"/>
      <w:r w:rsidR="00913960" w:rsidRPr="00913960">
        <w:rPr>
          <w:i/>
          <w:iCs/>
        </w:rPr>
        <w:t>by</w:t>
      </w:r>
      <w:proofErr w:type="spellEnd"/>
      <w:r w:rsidR="00913960" w:rsidRPr="00913960">
        <w:rPr>
          <w:i/>
          <w:iCs/>
        </w:rPr>
        <w:t xml:space="preserve"> </w:t>
      </w:r>
      <w:proofErr w:type="spellStart"/>
      <w:r w:rsidR="00913960" w:rsidRPr="00913960">
        <w:rPr>
          <w:i/>
          <w:iCs/>
        </w:rPr>
        <w:t>locality</w:t>
      </w:r>
      <w:proofErr w:type="spellEnd"/>
      <w:r w:rsidR="00913960">
        <w:t>) varētu radīt vairākas problēmas:</w:t>
      </w:r>
    </w:p>
    <w:p w14:paraId="1369880A" w14:textId="07905EFE" w:rsidR="00913960" w:rsidRDefault="00913960" w:rsidP="00AA4B30">
      <w:pPr>
        <w:pStyle w:val="Default"/>
        <w:numPr>
          <w:ilvl w:val="0"/>
          <w:numId w:val="1"/>
        </w:numPr>
        <w:spacing w:before="120" w:after="120"/>
        <w:ind w:left="714" w:right="-624" w:hanging="357"/>
        <w:jc w:val="both"/>
      </w:pPr>
      <w:r w:rsidRPr="00913960">
        <w:t>Mazākiem vai sociāli vājākiem ciemiem ar mazākiem ienākumiem netiktu nodrošināti vienlīdzīgi pakalpojumi</w:t>
      </w:r>
      <w:r>
        <w:t xml:space="preserve">. </w:t>
      </w:r>
      <w:r w:rsidRPr="00913960">
        <w:t xml:space="preserve">Tas </w:t>
      </w:r>
      <w:r>
        <w:t>būtu</w:t>
      </w:r>
      <w:r w:rsidRPr="00913960">
        <w:t xml:space="preserve"> pre</w:t>
      </w:r>
      <w:r>
        <w:t xml:space="preserve">trunā ar </w:t>
      </w:r>
      <w:r w:rsidRPr="00913960">
        <w:t>sabiedrības līdzvērtīgu iespēju principam, kas nostiprināts Satversmes 91. pantā un Teritorijas attīstības plānošanas likumā</w:t>
      </w:r>
      <w:r>
        <w:t>.</w:t>
      </w:r>
    </w:p>
    <w:p w14:paraId="4A5B4146" w14:textId="7CD25E44" w:rsidR="00913960" w:rsidRDefault="00913960" w:rsidP="00913960">
      <w:pPr>
        <w:pStyle w:val="Default"/>
        <w:numPr>
          <w:ilvl w:val="0"/>
          <w:numId w:val="1"/>
        </w:numPr>
        <w:spacing w:after="120"/>
        <w:ind w:right="-625"/>
        <w:jc w:val="both"/>
      </w:pPr>
      <w:r w:rsidRPr="00913960">
        <w:t>Bagātākie ciemi kļūtu vēl turīgāki, jo tie piesaistītu vairāk investīciju</w:t>
      </w:r>
      <w:r>
        <w:t>. Attiecīgi, n</w:t>
      </w:r>
      <w:r w:rsidRPr="00913960">
        <w:t>abadzīgākajos ciemos infrastruktūra un dzīves kvalitāte pasliktinātos, radot iekšēju “pašvaldības līmeņa nevienlīdzību”.</w:t>
      </w:r>
    </w:p>
    <w:p w14:paraId="44ACD62A" w14:textId="156B560A" w:rsidR="00913960" w:rsidRDefault="00913960" w:rsidP="00913960">
      <w:pPr>
        <w:pStyle w:val="Default"/>
        <w:numPr>
          <w:ilvl w:val="0"/>
          <w:numId w:val="1"/>
        </w:numPr>
        <w:spacing w:after="120"/>
        <w:ind w:right="-625"/>
        <w:jc w:val="both"/>
      </w:pPr>
      <w:r w:rsidRPr="00913960">
        <w:t>Investīciju atdeve nav lineāra ar nodokļu iemaksām. Dažreiz visracionālāk ir ieguldīt vairāk tur, kur ir strukturāli vājāka attīstība, lai panāktu kopēju ilgtspējīgu izaugsmi.</w:t>
      </w:r>
      <w:r>
        <w:t xml:space="preserve"> </w:t>
      </w:r>
      <w:r w:rsidR="004D444F">
        <w:t>P</w:t>
      </w:r>
      <w:r w:rsidRPr="00913960">
        <w:t>ubliskajiem ieguldījumiem jābalstās uz sabiedrisko vajadzību un efektivitātes kritērijiem, nevis ieņēmumu ģeogrāfiju</w:t>
      </w:r>
      <w:r>
        <w:t>.</w:t>
      </w:r>
    </w:p>
    <w:p w14:paraId="0EDE16FA" w14:textId="043C1465" w:rsidR="00913960" w:rsidRDefault="00913960" w:rsidP="001E34BE">
      <w:pPr>
        <w:pStyle w:val="Default"/>
        <w:numPr>
          <w:ilvl w:val="0"/>
          <w:numId w:val="1"/>
        </w:numPr>
        <w:spacing w:after="120"/>
        <w:ind w:right="-625"/>
        <w:jc w:val="both"/>
      </w:pPr>
      <w:r w:rsidRPr="00913960">
        <w:t>Šāda pieeja varētu tikt uzskatīta par neobjektīvu vai diskriminējošu attiecībā uz pašvaldības iedzīvotājiem</w:t>
      </w:r>
      <w:r>
        <w:t xml:space="preserve">. </w:t>
      </w:r>
      <w:r w:rsidRPr="00913960">
        <w:t>Tas var radīt arī audita un finanšu uzraudzības problēmas, jo investīcijas nebūtu pamatotas ar faktiskajām vajadzībām</w:t>
      </w:r>
      <w:r>
        <w:t>.</w:t>
      </w:r>
    </w:p>
    <w:p w14:paraId="64677ECE" w14:textId="77777777" w:rsidR="00F657DB" w:rsidRDefault="00F657DB" w:rsidP="00F657DB">
      <w:pPr>
        <w:pStyle w:val="Default"/>
        <w:ind w:right="-625"/>
        <w:jc w:val="both"/>
        <w:rPr>
          <w:b/>
          <w:bCs/>
        </w:rPr>
      </w:pPr>
    </w:p>
    <w:p w14:paraId="6A83FE3B" w14:textId="793BCB75" w:rsidR="00F657DB" w:rsidRDefault="00F657DB" w:rsidP="00F657DB">
      <w:pPr>
        <w:pStyle w:val="Default"/>
        <w:ind w:right="-625"/>
        <w:jc w:val="both"/>
        <w:rPr>
          <w:b/>
          <w:bCs/>
        </w:rPr>
      </w:pPr>
      <w:r w:rsidRPr="00AA4B30">
        <w:rPr>
          <w:b/>
          <w:bCs/>
        </w:rPr>
        <w:t xml:space="preserve">KOPSAVILKUMS: </w:t>
      </w:r>
      <w:r w:rsidRPr="00AA4B30">
        <w:rPr>
          <w:b/>
          <w:bCs/>
        </w:rPr>
        <w:tab/>
        <w:t>Pašvaldības a</w:t>
      </w:r>
      <w:r w:rsidR="00511DBB" w:rsidRPr="00AA4B30">
        <w:rPr>
          <w:b/>
          <w:bCs/>
        </w:rPr>
        <w:t xml:space="preserve">dministrācijas ieskatā pašvaldības budžeta līdzekļi </w:t>
      </w:r>
    </w:p>
    <w:p w14:paraId="1FF8909E" w14:textId="47661ABF" w:rsidR="004A5D80" w:rsidRPr="00AA4B30" w:rsidRDefault="00511DBB" w:rsidP="00AA4B30">
      <w:pPr>
        <w:pStyle w:val="Default"/>
        <w:ind w:left="2160" w:right="-625"/>
        <w:jc w:val="both"/>
        <w:rPr>
          <w:b/>
          <w:bCs/>
        </w:rPr>
      </w:pPr>
      <w:r w:rsidRPr="00AA4B30">
        <w:rPr>
          <w:b/>
          <w:bCs/>
        </w:rPr>
        <w:t>jāskata kopīgi un jāizmanto atbilstoši sabiedrības kopējām vajadzībām.</w:t>
      </w:r>
      <w:r w:rsidR="00913960" w:rsidRPr="00AA4B30">
        <w:rPr>
          <w:b/>
          <w:bCs/>
        </w:rPr>
        <w:t xml:space="preserve"> </w:t>
      </w:r>
      <w:r w:rsidR="00F657DB" w:rsidRPr="00AA4B30">
        <w:rPr>
          <w:b/>
          <w:bCs/>
        </w:rPr>
        <w:t>K</w:t>
      </w:r>
      <w:r w:rsidR="00913960" w:rsidRPr="00AA4B30">
        <w:rPr>
          <w:b/>
          <w:bCs/>
        </w:rPr>
        <w:t>atrā apdzīvotā vietā nepieciešams veikt vismaz nelielas investīcijas kopējās dzīves kvalitātes uzlabošanai, tomēr to nevajadzētu sasaistīt ar iemaksāto nodokļu apmēru.</w:t>
      </w:r>
    </w:p>
    <w:p w14:paraId="78BCE4DF" w14:textId="77777777" w:rsidR="00284957" w:rsidRDefault="00284957" w:rsidP="00A935B7">
      <w:pPr>
        <w:pStyle w:val="Default"/>
        <w:spacing w:after="120"/>
        <w:ind w:right="-625"/>
        <w:jc w:val="both"/>
      </w:pPr>
    </w:p>
    <w:p w14:paraId="459E2615" w14:textId="422BF837" w:rsidR="00B0211C" w:rsidRDefault="00447285">
      <w:pPr>
        <w:pStyle w:val="Default"/>
        <w:spacing w:after="120"/>
        <w:ind w:right="-625"/>
        <w:jc w:val="both"/>
      </w:pPr>
      <w:r>
        <w:t>Pašvaldības izpilddirektors</w:t>
      </w:r>
      <w:r>
        <w:tab/>
      </w:r>
      <w:r>
        <w:tab/>
      </w:r>
      <w:r>
        <w:tab/>
      </w:r>
      <w:r>
        <w:tab/>
      </w:r>
      <w:r>
        <w:tab/>
        <w:t xml:space="preserve">                        Guntis Porietis</w:t>
      </w:r>
    </w:p>
    <w:p w14:paraId="0786C9D3" w14:textId="77777777" w:rsidR="00447285" w:rsidRDefault="00447285">
      <w:pPr>
        <w:pStyle w:val="Default"/>
        <w:spacing w:after="120"/>
        <w:ind w:right="-625"/>
        <w:jc w:val="both"/>
      </w:pPr>
    </w:p>
    <w:p w14:paraId="711498B5" w14:textId="77777777" w:rsidR="00447285" w:rsidRDefault="00447285">
      <w:pPr>
        <w:pStyle w:val="Default"/>
        <w:spacing w:after="120"/>
        <w:ind w:right="-625"/>
        <w:jc w:val="both"/>
      </w:pPr>
    </w:p>
    <w:p w14:paraId="0DEA6B73" w14:textId="00119B0D" w:rsidR="00447285" w:rsidRPr="00447285" w:rsidRDefault="00447285" w:rsidP="00447285">
      <w:pPr>
        <w:pStyle w:val="Default"/>
        <w:ind w:right="-624"/>
        <w:jc w:val="both"/>
        <w:rPr>
          <w:color w:val="auto"/>
          <w:sz w:val="22"/>
          <w:szCs w:val="22"/>
        </w:rPr>
      </w:pPr>
      <w:proofErr w:type="spellStart"/>
      <w:r w:rsidRPr="00447285">
        <w:rPr>
          <w:color w:val="auto"/>
          <w:sz w:val="22"/>
          <w:szCs w:val="22"/>
        </w:rPr>
        <w:t>I.Gotharde</w:t>
      </w:r>
      <w:proofErr w:type="spellEnd"/>
      <w:r w:rsidRPr="00447285">
        <w:rPr>
          <w:color w:val="auto"/>
          <w:sz w:val="22"/>
          <w:szCs w:val="22"/>
        </w:rPr>
        <w:t xml:space="preserve">, </w:t>
      </w:r>
      <w:r>
        <w:rPr>
          <w:color w:val="auto"/>
          <w:sz w:val="22"/>
          <w:szCs w:val="22"/>
        </w:rPr>
        <w:t>22032341</w:t>
      </w:r>
    </w:p>
    <w:p w14:paraId="3CEA1DD7" w14:textId="77777777" w:rsidR="00447285" w:rsidRPr="00447285" w:rsidRDefault="00447285" w:rsidP="00447285">
      <w:pPr>
        <w:pStyle w:val="Default"/>
        <w:ind w:right="-624"/>
        <w:jc w:val="both"/>
        <w:rPr>
          <w:color w:val="auto"/>
          <w:sz w:val="22"/>
          <w:szCs w:val="22"/>
        </w:rPr>
      </w:pPr>
      <w:proofErr w:type="spellStart"/>
      <w:r w:rsidRPr="00447285">
        <w:rPr>
          <w:color w:val="auto"/>
          <w:sz w:val="22"/>
          <w:szCs w:val="22"/>
        </w:rPr>
        <w:t>I.Pērkone</w:t>
      </w:r>
      <w:proofErr w:type="spellEnd"/>
      <w:r w:rsidRPr="00447285">
        <w:rPr>
          <w:color w:val="auto"/>
          <w:sz w:val="22"/>
          <w:szCs w:val="22"/>
        </w:rPr>
        <w:t xml:space="preserve">, </w:t>
      </w:r>
    </w:p>
    <w:p w14:paraId="7A9D7895" w14:textId="77777777" w:rsidR="00447285" w:rsidRPr="00447285" w:rsidRDefault="00447285" w:rsidP="00447285">
      <w:pPr>
        <w:pStyle w:val="Default"/>
        <w:ind w:right="-624"/>
        <w:jc w:val="both"/>
        <w:rPr>
          <w:color w:val="auto"/>
          <w:sz w:val="22"/>
          <w:szCs w:val="22"/>
        </w:rPr>
      </w:pPr>
      <w:proofErr w:type="spellStart"/>
      <w:r w:rsidRPr="00447285">
        <w:rPr>
          <w:color w:val="auto"/>
          <w:sz w:val="22"/>
          <w:szCs w:val="22"/>
        </w:rPr>
        <w:lastRenderedPageBreak/>
        <w:t>S.Mūze</w:t>
      </w:r>
      <w:proofErr w:type="spellEnd"/>
      <w:r w:rsidRPr="00447285">
        <w:rPr>
          <w:color w:val="auto"/>
          <w:sz w:val="22"/>
          <w:szCs w:val="22"/>
        </w:rPr>
        <w:t xml:space="preserve">, </w:t>
      </w:r>
    </w:p>
    <w:p w14:paraId="168226B3" w14:textId="7C87A3A2" w:rsidR="00447285" w:rsidRPr="00447285" w:rsidRDefault="00447285" w:rsidP="00447285">
      <w:pPr>
        <w:pStyle w:val="Default"/>
        <w:ind w:right="-624"/>
        <w:jc w:val="both"/>
        <w:rPr>
          <w:color w:val="auto"/>
          <w:sz w:val="22"/>
          <w:szCs w:val="22"/>
        </w:rPr>
      </w:pPr>
      <w:proofErr w:type="spellStart"/>
      <w:r w:rsidRPr="00447285">
        <w:rPr>
          <w:color w:val="auto"/>
          <w:sz w:val="22"/>
          <w:szCs w:val="22"/>
        </w:rPr>
        <w:t>A.Snigireva</w:t>
      </w:r>
      <w:proofErr w:type="spellEnd"/>
    </w:p>
    <w:sectPr w:rsidR="00447285" w:rsidRPr="0044728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7D2D" w14:textId="77777777" w:rsidR="00334F7E" w:rsidRDefault="00334F7E" w:rsidP="007C78E6">
      <w:pPr>
        <w:spacing w:after="0" w:line="240" w:lineRule="auto"/>
      </w:pPr>
      <w:r>
        <w:separator/>
      </w:r>
    </w:p>
  </w:endnote>
  <w:endnote w:type="continuationSeparator" w:id="0">
    <w:p w14:paraId="490DCBE1" w14:textId="77777777" w:rsidR="00334F7E" w:rsidRDefault="00334F7E" w:rsidP="007C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1B41" w14:textId="77777777" w:rsidR="00334F7E" w:rsidRDefault="00334F7E" w:rsidP="007C78E6">
      <w:pPr>
        <w:spacing w:after="0" w:line="240" w:lineRule="auto"/>
      </w:pPr>
      <w:r>
        <w:separator/>
      </w:r>
    </w:p>
  </w:footnote>
  <w:footnote w:type="continuationSeparator" w:id="0">
    <w:p w14:paraId="41C6EDF4" w14:textId="77777777" w:rsidR="00334F7E" w:rsidRDefault="00334F7E" w:rsidP="007C78E6">
      <w:pPr>
        <w:spacing w:after="0" w:line="240" w:lineRule="auto"/>
      </w:pPr>
      <w:r>
        <w:continuationSeparator/>
      </w:r>
    </w:p>
  </w:footnote>
  <w:footnote w:id="1">
    <w:p w14:paraId="0B311910" w14:textId="5ADC3C87" w:rsidR="003E4153" w:rsidRPr="00AA4B30" w:rsidRDefault="00F657DB" w:rsidP="00F657DB">
      <w:pPr>
        <w:pStyle w:val="Vresteksts"/>
        <w:ind w:right="-625"/>
        <w:jc w:val="both"/>
        <w:rPr>
          <w:rFonts w:ascii="Times New Roman" w:hAnsi="Times New Roman" w:cs="Times New Roman"/>
        </w:rPr>
      </w:pPr>
      <w:r>
        <w:rPr>
          <w:rStyle w:val="Vresatsauce"/>
        </w:rPr>
        <w:footnoteRef/>
      </w:r>
      <w:r>
        <w:t xml:space="preserve"> </w:t>
      </w:r>
      <w:r w:rsidRPr="001E55AB">
        <w:rPr>
          <w:rFonts w:ascii="Times New Roman" w:hAnsi="Times New Roman" w:cs="Times New Roman"/>
        </w:rPr>
        <w:t>Likuma “Par iedzīvotāju ienākuma nodokli” 26. pants, Ministru kabineta 2014. gada 16. decembra noteikumi Nr. 785 “Kārtība, kādā iedzīvotāju ienākuma nodokli, ar nodokli saistīto nokavējuma naudu un soda naudu ieskaita budžetā”</w:t>
      </w:r>
    </w:p>
  </w:footnote>
  <w:footnote w:id="2">
    <w:p w14:paraId="5D6A4879" w14:textId="02069903" w:rsidR="001E34BE" w:rsidRPr="001E34BE" w:rsidRDefault="001E34BE" w:rsidP="001E34BE">
      <w:pPr>
        <w:pStyle w:val="Vresteksts"/>
        <w:jc w:val="both"/>
        <w:rPr>
          <w:rFonts w:ascii="Times New Roman" w:hAnsi="Times New Roman" w:cs="Times New Roman"/>
        </w:rPr>
      </w:pPr>
      <w:r w:rsidRPr="001E34BE">
        <w:rPr>
          <w:rStyle w:val="Vresatsauce"/>
          <w:rFonts w:ascii="Times New Roman" w:hAnsi="Times New Roman" w:cs="Times New Roman"/>
        </w:rPr>
        <w:footnoteRef/>
      </w:r>
      <w:r w:rsidRPr="001E34BE">
        <w:rPr>
          <w:rFonts w:ascii="Times New Roman" w:hAnsi="Times New Roman" w:cs="Times New Roman"/>
        </w:rPr>
        <w:t xml:space="preserve"> </w:t>
      </w:r>
      <w:hyperlink r:id="rId1" w:history="1">
        <w:r w:rsidR="00642D6D" w:rsidRPr="00953423">
          <w:rPr>
            <w:rStyle w:val="Hipersaite"/>
            <w:rFonts w:ascii="Times New Roman" w:hAnsi="Times New Roman" w:cs="Times New Roman"/>
          </w:rPr>
          <w:t>https://rm.coe.int/european-charter-for-local-self-government-english-version-pdf-a6-59-p/16807198a3</w:t>
        </w:r>
      </w:hyperlink>
      <w:r w:rsidR="00642D6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243"/>
    <w:multiLevelType w:val="hybridMultilevel"/>
    <w:tmpl w:val="BCB63CC8"/>
    <w:lvl w:ilvl="0" w:tplc="0426000F">
      <w:start w:val="1"/>
      <w:numFmt w:val="decimal"/>
      <w:lvlText w:val="%1."/>
      <w:lvlJc w:val="left"/>
      <w:pPr>
        <w:ind w:left="36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11A27"/>
    <w:multiLevelType w:val="hybridMultilevel"/>
    <w:tmpl w:val="023E4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0604A0"/>
    <w:multiLevelType w:val="hybridMultilevel"/>
    <w:tmpl w:val="FA620AB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C83CDA"/>
    <w:multiLevelType w:val="hybridMultilevel"/>
    <w:tmpl w:val="4F8E7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6114EA6"/>
    <w:multiLevelType w:val="hybridMultilevel"/>
    <w:tmpl w:val="DAB2871E"/>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5" w15:restartNumberingAfterBreak="0">
    <w:nsid w:val="4E740391"/>
    <w:multiLevelType w:val="hybridMultilevel"/>
    <w:tmpl w:val="21ECB8A2"/>
    <w:lvl w:ilvl="0" w:tplc="939A1DF2">
      <w:start w:val="3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24518562">
    <w:abstractNumId w:val="3"/>
  </w:num>
  <w:num w:numId="2" w16cid:durableId="1534683682">
    <w:abstractNumId w:val="0"/>
  </w:num>
  <w:num w:numId="3" w16cid:durableId="1441299239">
    <w:abstractNumId w:val="5"/>
  </w:num>
  <w:num w:numId="4" w16cid:durableId="1009673262">
    <w:abstractNumId w:val="1"/>
  </w:num>
  <w:num w:numId="5" w16cid:durableId="26830574">
    <w:abstractNumId w:val="2"/>
  </w:num>
  <w:num w:numId="6" w16cid:durableId="1904679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51"/>
    <w:rsid w:val="00064439"/>
    <w:rsid w:val="000D10D2"/>
    <w:rsid w:val="00127A6C"/>
    <w:rsid w:val="00156C97"/>
    <w:rsid w:val="0019102A"/>
    <w:rsid w:val="001A7E42"/>
    <w:rsid w:val="001B2C94"/>
    <w:rsid w:val="001E34BE"/>
    <w:rsid w:val="001E55AB"/>
    <w:rsid w:val="0024512D"/>
    <w:rsid w:val="002839BB"/>
    <w:rsid w:val="00284957"/>
    <w:rsid w:val="00296DCC"/>
    <w:rsid w:val="002E06E3"/>
    <w:rsid w:val="002E7223"/>
    <w:rsid w:val="00334F7E"/>
    <w:rsid w:val="003444FE"/>
    <w:rsid w:val="00393947"/>
    <w:rsid w:val="003D7F01"/>
    <w:rsid w:val="003E4153"/>
    <w:rsid w:val="00431528"/>
    <w:rsid w:val="00447285"/>
    <w:rsid w:val="0046771E"/>
    <w:rsid w:val="0049298D"/>
    <w:rsid w:val="004A5D80"/>
    <w:rsid w:val="004D444F"/>
    <w:rsid w:val="004E0B56"/>
    <w:rsid w:val="004F0967"/>
    <w:rsid w:val="004F1345"/>
    <w:rsid w:val="00511DBB"/>
    <w:rsid w:val="00575E86"/>
    <w:rsid w:val="005A6927"/>
    <w:rsid w:val="00600A0D"/>
    <w:rsid w:val="00642D6D"/>
    <w:rsid w:val="00675274"/>
    <w:rsid w:val="0068629B"/>
    <w:rsid w:val="00690E5C"/>
    <w:rsid w:val="006B5AFF"/>
    <w:rsid w:val="006F5111"/>
    <w:rsid w:val="00730915"/>
    <w:rsid w:val="007606D8"/>
    <w:rsid w:val="00771176"/>
    <w:rsid w:val="007A4A9F"/>
    <w:rsid w:val="007C1034"/>
    <w:rsid w:val="007C78E6"/>
    <w:rsid w:val="0086717E"/>
    <w:rsid w:val="0089199C"/>
    <w:rsid w:val="008A49FB"/>
    <w:rsid w:val="008A76AC"/>
    <w:rsid w:val="008C25D3"/>
    <w:rsid w:val="008D4012"/>
    <w:rsid w:val="008D4BC0"/>
    <w:rsid w:val="008E6EBB"/>
    <w:rsid w:val="00901CA0"/>
    <w:rsid w:val="00913960"/>
    <w:rsid w:val="00955AE9"/>
    <w:rsid w:val="0097722C"/>
    <w:rsid w:val="009A6F23"/>
    <w:rsid w:val="009C78DC"/>
    <w:rsid w:val="009D189B"/>
    <w:rsid w:val="009F3175"/>
    <w:rsid w:val="00A935B7"/>
    <w:rsid w:val="00AA4B30"/>
    <w:rsid w:val="00B0211C"/>
    <w:rsid w:val="00B647B9"/>
    <w:rsid w:val="00BA1ECF"/>
    <w:rsid w:val="00BC2A66"/>
    <w:rsid w:val="00C902CD"/>
    <w:rsid w:val="00D21E6A"/>
    <w:rsid w:val="00D85F22"/>
    <w:rsid w:val="00DB0621"/>
    <w:rsid w:val="00DD04CF"/>
    <w:rsid w:val="00E429BA"/>
    <w:rsid w:val="00EE1F23"/>
    <w:rsid w:val="00EF0851"/>
    <w:rsid w:val="00F01747"/>
    <w:rsid w:val="00F13C90"/>
    <w:rsid w:val="00F223DF"/>
    <w:rsid w:val="00F345CF"/>
    <w:rsid w:val="00F657DB"/>
    <w:rsid w:val="00FB2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852D"/>
  <w15:chartTrackingRefBased/>
  <w15:docId w15:val="{361DD77E-6B29-4D7D-9204-44A99C56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F0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F0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F08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F08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F08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F08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08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08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08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08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08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08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08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08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08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08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08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08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0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08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08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08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08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0851"/>
    <w:rPr>
      <w:i/>
      <w:iCs/>
      <w:color w:val="404040" w:themeColor="text1" w:themeTint="BF"/>
    </w:rPr>
  </w:style>
  <w:style w:type="paragraph" w:styleId="Sarakstarindkopa">
    <w:name w:val="List Paragraph"/>
    <w:basedOn w:val="Parasts"/>
    <w:uiPriority w:val="34"/>
    <w:qFormat/>
    <w:rsid w:val="00EF0851"/>
    <w:pPr>
      <w:ind w:left="720"/>
      <w:contextualSpacing/>
    </w:pPr>
  </w:style>
  <w:style w:type="character" w:styleId="Intensvsizclums">
    <w:name w:val="Intense Emphasis"/>
    <w:basedOn w:val="Noklusjumarindkopasfonts"/>
    <w:uiPriority w:val="21"/>
    <w:qFormat/>
    <w:rsid w:val="00EF0851"/>
    <w:rPr>
      <w:i/>
      <w:iCs/>
      <w:color w:val="2F5496" w:themeColor="accent1" w:themeShade="BF"/>
    </w:rPr>
  </w:style>
  <w:style w:type="paragraph" w:styleId="Intensvscitts">
    <w:name w:val="Intense Quote"/>
    <w:basedOn w:val="Parasts"/>
    <w:next w:val="Parasts"/>
    <w:link w:val="IntensvscittsRakstz"/>
    <w:uiPriority w:val="30"/>
    <w:qFormat/>
    <w:rsid w:val="00EF0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F0851"/>
    <w:rPr>
      <w:i/>
      <w:iCs/>
      <w:color w:val="2F5496" w:themeColor="accent1" w:themeShade="BF"/>
    </w:rPr>
  </w:style>
  <w:style w:type="character" w:styleId="Intensvaatsauce">
    <w:name w:val="Intense Reference"/>
    <w:basedOn w:val="Noklusjumarindkopasfonts"/>
    <w:uiPriority w:val="32"/>
    <w:qFormat/>
    <w:rsid w:val="00EF0851"/>
    <w:rPr>
      <w:b/>
      <w:bCs/>
      <w:smallCaps/>
      <w:color w:val="2F5496" w:themeColor="accent1" w:themeShade="BF"/>
      <w:spacing w:val="5"/>
    </w:rPr>
  </w:style>
  <w:style w:type="paragraph" w:customStyle="1" w:styleId="Default">
    <w:name w:val="Default"/>
    <w:rsid w:val="00EF0851"/>
    <w:pPr>
      <w:autoSpaceDE w:val="0"/>
      <w:autoSpaceDN w:val="0"/>
      <w:adjustRightInd w:val="0"/>
      <w:spacing w:after="0" w:line="240" w:lineRule="auto"/>
    </w:pPr>
    <w:rPr>
      <w:rFonts w:ascii="Times New Roman" w:hAnsi="Times New Roman" w:cs="Times New Roman"/>
      <w:color w:val="000000"/>
      <w:kern w:val="0"/>
    </w:rPr>
  </w:style>
  <w:style w:type="paragraph" w:styleId="Vresteksts">
    <w:name w:val="footnote text"/>
    <w:basedOn w:val="Parasts"/>
    <w:link w:val="VrestekstsRakstz"/>
    <w:uiPriority w:val="99"/>
    <w:semiHidden/>
    <w:unhideWhenUsed/>
    <w:rsid w:val="007C78E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78E6"/>
    <w:rPr>
      <w:sz w:val="20"/>
      <w:szCs w:val="20"/>
    </w:rPr>
  </w:style>
  <w:style w:type="character" w:styleId="Vresatsauce">
    <w:name w:val="footnote reference"/>
    <w:basedOn w:val="Noklusjumarindkopasfonts"/>
    <w:uiPriority w:val="99"/>
    <w:semiHidden/>
    <w:unhideWhenUsed/>
    <w:rsid w:val="007C78E6"/>
    <w:rPr>
      <w:vertAlign w:val="superscript"/>
    </w:rPr>
  </w:style>
  <w:style w:type="character" w:styleId="Komentraatsauce">
    <w:name w:val="annotation reference"/>
    <w:basedOn w:val="Noklusjumarindkopasfonts"/>
    <w:uiPriority w:val="99"/>
    <w:semiHidden/>
    <w:unhideWhenUsed/>
    <w:rsid w:val="00FB23B3"/>
    <w:rPr>
      <w:sz w:val="16"/>
      <w:szCs w:val="16"/>
    </w:rPr>
  </w:style>
  <w:style w:type="paragraph" w:styleId="Komentrateksts">
    <w:name w:val="annotation text"/>
    <w:basedOn w:val="Parasts"/>
    <w:link w:val="KomentratekstsRakstz"/>
    <w:uiPriority w:val="99"/>
    <w:unhideWhenUsed/>
    <w:rsid w:val="00FB23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FB23B3"/>
    <w:rPr>
      <w:sz w:val="20"/>
      <w:szCs w:val="20"/>
    </w:rPr>
  </w:style>
  <w:style w:type="paragraph" w:styleId="Komentratma">
    <w:name w:val="annotation subject"/>
    <w:basedOn w:val="Komentrateksts"/>
    <w:next w:val="Komentrateksts"/>
    <w:link w:val="KomentratmaRakstz"/>
    <w:uiPriority w:val="99"/>
    <w:semiHidden/>
    <w:unhideWhenUsed/>
    <w:rsid w:val="00FB23B3"/>
    <w:rPr>
      <w:b/>
      <w:bCs/>
    </w:rPr>
  </w:style>
  <w:style w:type="character" w:customStyle="1" w:styleId="KomentratmaRakstz">
    <w:name w:val="Komentāra tēma Rakstz."/>
    <w:basedOn w:val="KomentratekstsRakstz"/>
    <w:link w:val="Komentratma"/>
    <w:uiPriority w:val="99"/>
    <w:semiHidden/>
    <w:rsid w:val="00FB23B3"/>
    <w:rPr>
      <w:b/>
      <w:bCs/>
      <w:sz w:val="20"/>
      <w:szCs w:val="20"/>
    </w:rPr>
  </w:style>
  <w:style w:type="paragraph" w:styleId="Prskatjums">
    <w:name w:val="Revision"/>
    <w:hidden/>
    <w:uiPriority w:val="99"/>
    <w:semiHidden/>
    <w:rsid w:val="005A6927"/>
    <w:pPr>
      <w:spacing w:after="0" w:line="240" w:lineRule="auto"/>
    </w:pPr>
  </w:style>
  <w:style w:type="table" w:styleId="Reatabula">
    <w:name w:val="Table Grid"/>
    <w:basedOn w:val="Parastatabula"/>
    <w:uiPriority w:val="39"/>
    <w:rsid w:val="0019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2D6D"/>
    <w:rPr>
      <w:color w:val="0563C1" w:themeColor="hyperlink"/>
      <w:u w:val="single"/>
    </w:rPr>
  </w:style>
  <w:style w:type="character" w:styleId="Neatrisintapieminana">
    <w:name w:val="Unresolved Mention"/>
    <w:basedOn w:val="Noklusjumarindkopasfonts"/>
    <w:uiPriority w:val="99"/>
    <w:semiHidden/>
    <w:unhideWhenUsed/>
    <w:rsid w:val="0064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european-charter-for-local-self-government-english-version-pdf-a6-59-p/16807198a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9859-AA71-4DA6-BD42-5EB64EAB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6856</Words>
  <Characters>3909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Sintija Tenisa</cp:lastModifiedBy>
  <cp:revision>3</cp:revision>
  <dcterms:created xsi:type="dcterms:W3CDTF">2025-10-23T12:11:00Z</dcterms:created>
  <dcterms:modified xsi:type="dcterms:W3CDTF">2025-10-23T16:11:00Z</dcterms:modified>
</cp:coreProperties>
</file>