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99445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D0BCBFA" w:rsidR="00564CA6" w:rsidRPr="00994459" w:rsidRDefault="0099445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994459">
        <w:rPr>
          <w:rFonts w:ascii="Times New Roman" w:hAnsi="Times New Roman" w:cs="Times New Roman"/>
          <w:noProof/>
        </w:rPr>
        <w:t>05.08.2025.</w:t>
      </w:r>
    </w:p>
    <w:p w14:paraId="2794EE8C" w14:textId="77777777" w:rsidR="00564CA6" w:rsidRPr="00994459" w:rsidRDefault="00564CA6" w:rsidP="00564CA6">
      <w:pPr>
        <w:jc w:val="right"/>
        <w:rPr>
          <w:rFonts w:ascii="Times New Roman" w:hAnsi="Times New Roman" w:cs="Times New Roman"/>
          <w:noProof/>
        </w:rPr>
      </w:pPr>
    </w:p>
    <w:p w14:paraId="17904036" w14:textId="4FB72FDC" w:rsidR="00564CA6" w:rsidRPr="00994459" w:rsidRDefault="00994459" w:rsidP="00564CA6">
      <w:pPr>
        <w:jc w:val="right"/>
        <w:rPr>
          <w:rFonts w:ascii="Times New Roman" w:hAnsi="Times New Roman" w:cs="Times New Roman"/>
          <w:noProof/>
        </w:rPr>
      </w:pPr>
      <w:r w:rsidRPr="00994459">
        <w:rPr>
          <w:rFonts w:ascii="Times New Roman" w:hAnsi="Times New Roman" w:cs="Times New Roman"/>
          <w:noProof/>
        </w:rPr>
        <w:t>vēlamais datums izskatīšanai: [Attīstības komiteja] 13.08.2025.</w:t>
      </w:r>
    </w:p>
    <w:p w14:paraId="13FC18CF" w14:textId="6F3756D7" w:rsidR="00564CA6" w:rsidRPr="00994459" w:rsidRDefault="00994459" w:rsidP="00564CA6">
      <w:pPr>
        <w:jc w:val="right"/>
        <w:rPr>
          <w:rFonts w:ascii="Times New Roman" w:hAnsi="Times New Roman" w:cs="Times New Roman"/>
          <w:noProof/>
        </w:rPr>
      </w:pPr>
      <w:r w:rsidRPr="00994459">
        <w:rPr>
          <w:rFonts w:ascii="Times New Roman" w:hAnsi="Times New Roman" w:cs="Times New Roman"/>
          <w:noProof/>
        </w:rPr>
        <w:t>domē: 28.08.2025.</w:t>
      </w:r>
    </w:p>
    <w:p w14:paraId="495071B9" w14:textId="0E683683" w:rsidR="00564CA6" w:rsidRPr="00564CA6" w:rsidRDefault="00994459"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2E27ACB6" w14:textId="15F651EB" w:rsidR="00564CA6" w:rsidRPr="00564CA6" w:rsidRDefault="00994459"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994459" w:rsidP="00310BC7">
      <w:pPr>
        <w:ind w:left="5387" w:firstLine="279"/>
        <w:jc w:val="right"/>
        <w:rPr>
          <w:rFonts w:ascii="Times New Roman" w:hAnsi="Times New Roman"/>
          <w:bCs/>
        </w:rPr>
      </w:pPr>
      <w:r w:rsidRPr="004C33B2">
        <w:rPr>
          <w:rFonts w:ascii="Times New Roman" w:hAnsi="Times New Roman"/>
          <w:bCs/>
        </w:rPr>
        <w:t>APSTIPRINĀTI</w:t>
      </w:r>
    </w:p>
    <w:p w14:paraId="42F29BCD" w14:textId="1AF8F3F9" w:rsidR="00310BC7" w:rsidRPr="004C33B2" w:rsidRDefault="00994459"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AA021D">
        <w:rPr>
          <w:rFonts w:ascii="Times New Roman" w:hAnsi="Times New Roman"/>
          <w:noProof/>
        </w:rPr>
        <w:t>2025. gada 28.</w:t>
      </w:r>
      <w:r w:rsidR="00AA021D" w:rsidRPr="00AA021D">
        <w:rPr>
          <w:rFonts w:ascii="Times New Roman" w:hAnsi="Times New Roman"/>
          <w:noProof/>
        </w:rPr>
        <w:t>augusta</w:t>
      </w:r>
      <w:r w:rsidR="00AA021D" w:rsidRPr="004C33B2">
        <w:rPr>
          <w:rFonts w:ascii="Times New Roman" w:hAnsi="Times New Roman"/>
          <w:bCs/>
        </w:rPr>
        <w:t xml:space="preserve"> </w:t>
      </w:r>
      <w:r w:rsidRPr="004C33B2">
        <w:rPr>
          <w:rFonts w:ascii="Times New Roman" w:hAnsi="Times New Roman"/>
          <w:bCs/>
        </w:rPr>
        <w:t>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994459"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994459"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9944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AFED63B" w:rsidR="00564CA6" w:rsidRPr="00564CA6" w:rsidRDefault="00994459" w:rsidP="00564CA6">
      <w:pPr>
        <w:rPr>
          <w:rFonts w:ascii="Times New Roman" w:hAnsi="Times New Roman" w:cs="Times New Roman"/>
        </w:rPr>
      </w:pPr>
      <w:r>
        <w:rPr>
          <w:rFonts w:ascii="Times New Roman" w:hAnsi="Times New Roman" w:cs="Times New Roman"/>
        </w:rPr>
        <w:t xml:space="preserve">2025. gada 28. </w:t>
      </w:r>
      <w:r w:rsidR="00AA021D">
        <w:rPr>
          <w:rFonts w:ascii="Times New Roman" w:hAnsi="Times New Roman" w:cs="Times New Roman"/>
        </w:rPr>
        <w:t>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A18D866" w14:textId="77777777" w:rsidR="00994459" w:rsidRPr="005908CE" w:rsidRDefault="00994459" w:rsidP="00994459">
      <w:pPr>
        <w:jc w:val="center"/>
        <w:rPr>
          <w:rFonts w:ascii="Times New Roman" w:eastAsia="Times New Roman" w:hAnsi="Times New Roman"/>
          <w:b/>
          <w:color w:val="000000"/>
        </w:rPr>
      </w:pPr>
      <w:r w:rsidRPr="00410E9F">
        <w:rPr>
          <w:rFonts w:ascii="Times New Roman" w:eastAsia="Times New Roman" w:hAnsi="Times New Roman"/>
          <w:b/>
          <w:bCs/>
          <w:sz w:val="28"/>
          <w:szCs w:val="28"/>
          <w:lang w:eastAsia="lv-LV"/>
        </w:rPr>
        <w:t xml:space="preserve">Grozījumi Ādažu novada pašvaldības </w:t>
      </w:r>
      <w:bookmarkStart w:id="1" w:name="_Hlk156217500"/>
      <w:bookmarkStart w:id="2" w:name="_Hlk158895959"/>
      <w:r w:rsidRPr="00410E9F">
        <w:rPr>
          <w:rFonts w:ascii="Times New Roman" w:eastAsia="Times New Roman" w:hAnsi="Times New Roman"/>
          <w:b/>
          <w:bCs/>
          <w:sz w:val="28"/>
          <w:szCs w:val="28"/>
          <w:lang w:eastAsia="lv-LV"/>
        </w:rPr>
        <w:t>2023. gada 14. jūnija saistošajos noteikumos</w:t>
      </w:r>
      <w:r>
        <w:rPr>
          <w:rFonts w:ascii="Times New Roman" w:eastAsia="Times New Roman" w:hAnsi="Times New Roman"/>
          <w:b/>
          <w:bCs/>
          <w:sz w:val="28"/>
          <w:szCs w:val="28"/>
          <w:lang w:eastAsia="lv-LV"/>
        </w:rPr>
        <w:t xml:space="preserve"> </w:t>
      </w:r>
      <w:r w:rsidRPr="00410E9F">
        <w:rPr>
          <w:rFonts w:ascii="Times New Roman" w:eastAsia="Times New Roman" w:hAnsi="Times New Roman"/>
          <w:b/>
          <w:bCs/>
          <w:sz w:val="28"/>
          <w:szCs w:val="28"/>
          <w:lang w:eastAsia="lv-LV"/>
        </w:rPr>
        <w:t>Nr. 18/2023 “</w:t>
      </w:r>
      <w:r w:rsidRPr="00410E9F">
        <w:rPr>
          <w:rFonts w:ascii="Times New Roman" w:eastAsia="Times New Roman" w:hAnsi="Times New Roman"/>
          <w:b/>
          <w:color w:val="000000"/>
          <w:sz w:val="28"/>
          <w:szCs w:val="28"/>
        </w:rPr>
        <w:t>Ādažu novada pašvaldības nolikums</w:t>
      </w:r>
      <w:bookmarkEnd w:id="1"/>
      <w:r w:rsidRPr="00410E9F">
        <w:rPr>
          <w:rFonts w:ascii="Times New Roman" w:eastAsia="Times New Roman" w:hAnsi="Times New Roman"/>
          <w:b/>
          <w:color w:val="000000"/>
          <w:sz w:val="28"/>
          <w:szCs w:val="28"/>
        </w:rPr>
        <w:t>”</w:t>
      </w:r>
    </w:p>
    <w:bookmarkEnd w:id="2"/>
    <w:p w14:paraId="0632A6F6" w14:textId="77777777" w:rsidR="00994459" w:rsidRPr="005908CE" w:rsidRDefault="00994459" w:rsidP="00994459">
      <w:pPr>
        <w:autoSpaceDE w:val="0"/>
        <w:autoSpaceDN w:val="0"/>
        <w:adjustRightInd w:val="0"/>
        <w:ind w:left="5040"/>
        <w:jc w:val="right"/>
        <w:rPr>
          <w:rFonts w:ascii="Times New Roman" w:eastAsia="Times New Roman" w:hAnsi="Times New Roman"/>
          <w:i/>
          <w:iCs/>
          <w:lang w:eastAsia="lv-LV"/>
        </w:rPr>
      </w:pPr>
    </w:p>
    <w:p w14:paraId="603BE00A" w14:textId="77777777" w:rsidR="00994459" w:rsidRPr="005908CE" w:rsidRDefault="00994459" w:rsidP="00994459">
      <w:pPr>
        <w:widowControl w:val="0"/>
        <w:tabs>
          <w:tab w:val="left" w:pos="7365"/>
        </w:tabs>
        <w:spacing w:line="274" w:lineRule="exact"/>
        <w:ind w:left="4678"/>
        <w:jc w:val="right"/>
        <w:rPr>
          <w:rFonts w:ascii="Times New Roman" w:eastAsia="Times New Roman" w:hAnsi="Times New Roman"/>
          <w:i/>
          <w:iCs/>
        </w:rPr>
      </w:pPr>
      <w:r w:rsidRPr="005908CE">
        <w:rPr>
          <w:rFonts w:ascii="Times New Roman" w:eastAsia="Times New Roman" w:hAnsi="Times New Roman"/>
          <w:i/>
          <w:iCs/>
        </w:rPr>
        <w:t xml:space="preserve">Izdoti saskaņā </w:t>
      </w:r>
      <w:r>
        <w:rPr>
          <w:rFonts w:ascii="Times New Roman" w:eastAsia="Times New Roman" w:hAnsi="Times New Roman"/>
          <w:i/>
          <w:iCs/>
        </w:rPr>
        <w:t xml:space="preserve">Pašvaldību </w:t>
      </w:r>
      <w:r w:rsidRPr="005908CE">
        <w:rPr>
          <w:rFonts w:ascii="Times New Roman" w:eastAsia="Times New Roman" w:hAnsi="Times New Roman"/>
          <w:i/>
          <w:iCs/>
        </w:rPr>
        <w:t>likuma</w:t>
      </w:r>
      <w:r>
        <w:rPr>
          <w:rFonts w:ascii="Times New Roman" w:eastAsia="Times New Roman" w:hAnsi="Times New Roman"/>
          <w:i/>
          <w:iCs/>
        </w:rPr>
        <w:t xml:space="preserve"> 10. panta pirmās daļas 1. punktu un 49. pantu</w:t>
      </w:r>
    </w:p>
    <w:p w14:paraId="740ED412" w14:textId="77777777" w:rsidR="00994459" w:rsidRPr="004B2FEA" w:rsidRDefault="00994459" w:rsidP="00994459">
      <w:pPr>
        <w:autoSpaceDE w:val="0"/>
        <w:autoSpaceDN w:val="0"/>
        <w:adjustRightInd w:val="0"/>
        <w:ind w:left="5040"/>
        <w:jc w:val="right"/>
        <w:rPr>
          <w:rFonts w:ascii="Times New Roman" w:eastAsia="Times New Roman" w:hAnsi="Times New Roman"/>
          <w:i/>
          <w:iCs/>
          <w:lang w:eastAsia="lv-LV"/>
        </w:rPr>
      </w:pPr>
    </w:p>
    <w:p w14:paraId="77EA9AB7" w14:textId="0E7D60A1" w:rsidR="00994459" w:rsidRPr="005908CE" w:rsidRDefault="00994459" w:rsidP="004832CF">
      <w:pPr>
        <w:spacing w:after="120"/>
        <w:jc w:val="both"/>
        <w:rPr>
          <w:rFonts w:ascii="Times New Roman" w:hAnsi="Times New Roman"/>
        </w:rPr>
      </w:pPr>
      <w:r w:rsidRPr="005908CE">
        <w:rPr>
          <w:rFonts w:ascii="Times New Roman" w:hAnsi="Times New Roman"/>
          <w:noProof/>
        </w:rPr>
        <w:t xml:space="preserve">Izdarīt </w:t>
      </w:r>
      <w:r w:rsidRPr="005908CE">
        <w:rPr>
          <w:rFonts w:ascii="Times New Roman" w:hAnsi="Times New Roman"/>
        </w:rPr>
        <w:t xml:space="preserve">Ādažu novada </w:t>
      </w:r>
      <w:r w:rsidRPr="009874F4">
        <w:rPr>
          <w:rFonts w:ascii="Times New Roman" w:hAnsi="Times New Roman"/>
        </w:rPr>
        <w:t xml:space="preserve">pašvaldības </w:t>
      </w:r>
      <w:r w:rsidR="007A598D">
        <w:rPr>
          <w:rFonts w:ascii="Times New Roman" w:hAnsi="Times New Roman"/>
        </w:rPr>
        <w:t xml:space="preserve">domes </w:t>
      </w:r>
      <w:r w:rsidRPr="009874F4">
        <w:rPr>
          <w:rFonts w:ascii="Times New Roman" w:eastAsia="Times New Roman" w:hAnsi="Times New Roman"/>
          <w:lang w:eastAsia="lv-LV"/>
        </w:rPr>
        <w:t>2023. gada 14. jūnija saistošajos noteikumos Nr. 18/2023 "</w:t>
      </w:r>
      <w:r w:rsidRPr="009874F4">
        <w:rPr>
          <w:rFonts w:ascii="Times New Roman" w:eastAsia="Times New Roman" w:hAnsi="Times New Roman"/>
          <w:color w:val="000000"/>
        </w:rPr>
        <w:t>Ādažu novada pašvaldības nolikums</w:t>
      </w:r>
      <w:r w:rsidRPr="009874F4">
        <w:rPr>
          <w:rFonts w:ascii="Times New Roman" w:eastAsia="Times New Roman" w:hAnsi="Times New Roman"/>
          <w:lang w:eastAsia="lv-LV"/>
        </w:rPr>
        <w:t>"</w:t>
      </w:r>
      <w:r>
        <w:rPr>
          <w:rFonts w:ascii="Times New Roman" w:eastAsia="Times New Roman" w:hAnsi="Times New Roman"/>
          <w:b/>
          <w:bCs/>
          <w:lang w:eastAsia="lv-LV"/>
        </w:rPr>
        <w:t xml:space="preserve"> </w:t>
      </w:r>
      <w:r w:rsidRPr="000C1766">
        <w:rPr>
          <w:rFonts w:ascii="Times New Roman" w:eastAsia="Times New Roman" w:hAnsi="Times New Roman"/>
          <w:lang w:eastAsia="lv-LV"/>
        </w:rPr>
        <w:t>(</w:t>
      </w:r>
      <w:r w:rsidRPr="000C1766">
        <w:rPr>
          <w:rFonts w:ascii="Times New Roman" w:hAnsi="Times New Roman"/>
        </w:rPr>
        <w:t>p</w:t>
      </w:r>
      <w:r w:rsidRPr="005908CE">
        <w:rPr>
          <w:rFonts w:ascii="Times New Roman" w:hAnsi="Times New Roman"/>
        </w:rPr>
        <w:t>ublicēti laikrakstā “Latvijas Vēstnesis”, 202</w:t>
      </w:r>
      <w:r>
        <w:rPr>
          <w:rFonts w:ascii="Times New Roman" w:hAnsi="Times New Roman"/>
        </w:rPr>
        <w:t>3</w:t>
      </w:r>
      <w:r w:rsidRPr="005908CE">
        <w:rPr>
          <w:rFonts w:ascii="Times New Roman" w:hAnsi="Times New Roman"/>
        </w:rPr>
        <w:t>., Nr. 1</w:t>
      </w:r>
      <w:r>
        <w:rPr>
          <w:rFonts w:ascii="Times New Roman" w:hAnsi="Times New Roman"/>
        </w:rPr>
        <w:t>17, 2024., Nr.</w:t>
      </w:r>
      <w:r w:rsidR="007A598D">
        <w:rPr>
          <w:rFonts w:ascii="Times New Roman" w:hAnsi="Times New Roman"/>
        </w:rPr>
        <w:t xml:space="preserve"> </w:t>
      </w:r>
      <w:r>
        <w:rPr>
          <w:rFonts w:ascii="Times New Roman" w:hAnsi="Times New Roman"/>
        </w:rPr>
        <w:t>67</w:t>
      </w:r>
      <w:r w:rsidRPr="005908CE">
        <w:rPr>
          <w:rFonts w:ascii="Times New Roman" w:hAnsi="Times New Roman"/>
        </w:rPr>
        <w:t>) šādus grozījumus:</w:t>
      </w:r>
    </w:p>
    <w:p w14:paraId="7E3E5922" w14:textId="2FB70EDC" w:rsidR="00994459" w:rsidRDefault="00994459" w:rsidP="004832CF">
      <w:pPr>
        <w:numPr>
          <w:ilvl w:val="0"/>
          <w:numId w:val="7"/>
        </w:numPr>
        <w:tabs>
          <w:tab w:val="left" w:pos="993"/>
        </w:tabs>
        <w:spacing w:after="120"/>
        <w:ind w:left="426" w:hanging="426"/>
        <w:jc w:val="both"/>
        <w:rPr>
          <w:rFonts w:ascii="Times New Roman" w:hAnsi="Times New Roman"/>
        </w:rPr>
      </w:pPr>
      <w:r>
        <w:rPr>
          <w:rFonts w:ascii="Times New Roman" w:hAnsi="Times New Roman"/>
        </w:rPr>
        <w:t>Aizstāt 15.3. apakšpunktā vārdus “Carnikavas pamatskola” ar vārdiem “Carnikavas vidusskola”</w:t>
      </w:r>
      <w:r w:rsidR="007A598D">
        <w:rPr>
          <w:rFonts w:ascii="Times New Roman" w:hAnsi="Times New Roman"/>
        </w:rPr>
        <w:t>.</w:t>
      </w:r>
    </w:p>
    <w:p w14:paraId="38EE7AE4" w14:textId="1CC1E956" w:rsidR="00994459" w:rsidRDefault="00994459" w:rsidP="004832CF">
      <w:pPr>
        <w:numPr>
          <w:ilvl w:val="0"/>
          <w:numId w:val="7"/>
        </w:numPr>
        <w:tabs>
          <w:tab w:val="left" w:pos="993"/>
        </w:tabs>
        <w:spacing w:after="120"/>
        <w:ind w:left="426" w:hanging="426"/>
        <w:jc w:val="both"/>
        <w:rPr>
          <w:rFonts w:ascii="Times New Roman" w:hAnsi="Times New Roman"/>
        </w:rPr>
      </w:pPr>
      <w:r>
        <w:rPr>
          <w:rFonts w:ascii="Times New Roman" w:hAnsi="Times New Roman"/>
        </w:rPr>
        <w:t xml:space="preserve">Svītrot 22.1.3. un 22.2.4. </w:t>
      </w:r>
      <w:r w:rsidRPr="00CD440C">
        <w:rPr>
          <w:rFonts w:ascii="Times New Roman" w:hAnsi="Times New Roman"/>
        </w:rPr>
        <w:t>apakšpunkt</w:t>
      </w:r>
      <w:r>
        <w:rPr>
          <w:rFonts w:ascii="Times New Roman" w:hAnsi="Times New Roman"/>
        </w:rPr>
        <w:t>u</w:t>
      </w:r>
      <w:r w:rsidR="007A598D">
        <w:rPr>
          <w:rFonts w:ascii="Times New Roman" w:hAnsi="Times New Roman"/>
        </w:rPr>
        <w:t>.</w:t>
      </w:r>
    </w:p>
    <w:p w14:paraId="2FED5B50" w14:textId="77777777" w:rsidR="00994459" w:rsidRPr="004832CF" w:rsidRDefault="00994459" w:rsidP="004832CF">
      <w:pPr>
        <w:numPr>
          <w:ilvl w:val="0"/>
          <w:numId w:val="7"/>
        </w:numPr>
        <w:tabs>
          <w:tab w:val="left" w:pos="993"/>
        </w:tabs>
        <w:spacing w:after="120"/>
        <w:ind w:left="426" w:hanging="426"/>
        <w:jc w:val="both"/>
        <w:rPr>
          <w:rFonts w:ascii="Times New Roman" w:hAnsi="Times New Roman"/>
        </w:rPr>
      </w:pPr>
      <w:r w:rsidRPr="007A598D">
        <w:rPr>
          <w:rFonts w:ascii="Times New Roman" w:hAnsi="Times New Roman"/>
        </w:rPr>
        <w:t xml:space="preserve">Svītrot 26.2. punktu. </w:t>
      </w:r>
    </w:p>
    <w:p w14:paraId="3FD4E7C6" w14:textId="77777777" w:rsidR="00994459" w:rsidRDefault="00994459" w:rsidP="00994459">
      <w:pPr>
        <w:tabs>
          <w:tab w:val="left" w:pos="993"/>
        </w:tabs>
        <w:jc w:val="both"/>
        <w:rPr>
          <w:rFonts w:ascii="Times New Roman" w:hAnsi="Times New Roman"/>
        </w:rPr>
      </w:pPr>
    </w:p>
    <w:p w14:paraId="438B46CD" w14:textId="77777777" w:rsidR="007A598D" w:rsidRDefault="007A598D" w:rsidP="00994459">
      <w:pPr>
        <w:tabs>
          <w:tab w:val="left" w:pos="993"/>
        </w:tabs>
        <w:jc w:val="both"/>
        <w:rPr>
          <w:rFonts w:ascii="Times New Roman" w:hAnsi="Times New Roman"/>
        </w:rPr>
      </w:pPr>
    </w:p>
    <w:p w14:paraId="65CC7D5B" w14:textId="77777777" w:rsidR="00994459" w:rsidRPr="005908CE" w:rsidRDefault="00994459" w:rsidP="00994459">
      <w:pPr>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priekšsēdētāja</w:t>
      </w:r>
      <w:r w:rsidRPr="005908CE">
        <w:rPr>
          <w:rFonts w:ascii="Times New Roman" w:eastAsia="Times New Roman" w:hAnsi="Times New Roman"/>
          <w:lang w:eastAsia="lv-LV"/>
        </w:rPr>
        <w:tab/>
        <w:t xml:space="preserve">                   </w:t>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t>K.</w:t>
      </w:r>
      <w:r>
        <w:rPr>
          <w:rFonts w:ascii="Times New Roman" w:eastAsia="Times New Roman" w:hAnsi="Times New Roman"/>
          <w:lang w:eastAsia="lv-LV"/>
        </w:rPr>
        <w:t xml:space="preserve"> </w:t>
      </w:r>
      <w:r w:rsidRPr="005908CE">
        <w:rPr>
          <w:rFonts w:ascii="Times New Roman" w:eastAsia="Times New Roman" w:hAnsi="Times New Roman"/>
          <w:lang w:eastAsia="lv-LV"/>
        </w:rPr>
        <w:t>Miķelsone</w:t>
      </w:r>
    </w:p>
    <w:p w14:paraId="70F1F182" w14:textId="77777777" w:rsidR="00994459" w:rsidRPr="005908CE" w:rsidRDefault="00994459" w:rsidP="00994459">
      <w:pPr>
        <w:jc w:val="center"/>
        <w:rPr>
          <w:rFonts w:ascii="Times New Roman" w:hAnsi="Times New Roman"/>
        </w:rPr>
      </w:pPr>
    </w:p>
    <w:p w14:paraId="0CCB062F" w14:textId="77777777" w:rsidR="00994459" w:rsidRPr="005908CE" w:rsidRDefault="00994459" w:rsidP="00994459">
      <w:pPr>
        <w:jc w:val="center"/>
        <w:rPr>
          <w:rFonts w:ascii="Times New Roman" w:hAnsi="Times New Roman"/>
        </w:rPr>
      </w:pPr>
      <w:r w:rsidRPr="005908CE">
        <w:rPr>
          <w:rFonts w:ascii="Times New Roman" w:hAnsi="Times New Roman"/>
        </w:rPr>
        <w:t>ŠIS DOKUMENTS IR ELEKTRONISKI PARAKSTĪTS AR DROŠU ELEKTRONISKO PARAKSTU UN SATUR LAIKA ZĪMOGU</w:t>
      </w:r>
    </w:p>
    <w:p w14:paraId="63B8F996" w14:textId="77777777" w:rsidR="00994459" w:rsidRPr="001E6B9B" w:rsidRDefault="00994459" w:rsidP="00994459">
      <w:pPr>
        <w:jc w:val="center"/>
        <w:rPr>
          <w:rFonts w:ascii="Times New Roman" w:eastAsia="Times New Roman" w:hAnsi="Times New Roman"/>
          <w:b/>
          <w:bCs/>
        </w:rPr>
      </w:pPr>
      <w:r w:rsidRPr="002E6229">
        <w:rPr>
          <w:rFonts w:ascii="Times New Roman" w:eastAsia="Times New Roman" w:hAnsi="Times New Roman"/>
          <w:lang w:eastAsia="lv-LV"/>
        </w:rPr>
        <w:br w:type="page"/>
      </w:r>
      <w:r w:rsidRPr="001E6B9B">
        <w:rPr>
          <w:rFonts w:ascii="Times New Roman" w:eastAsia="Times New Roman" w:hAnsi="Times New Roman"/>
          <w:b/>
          <w:bCs/>
        </w:rPr>
        <w:lastRenderedPageBreak/>
        <w:t>PASKAIDROJUMA RAKSTS</w:t>
      </w:r>
    </w:p>
    <w:p w14:paraId="5AB9598E" w14:textId="562152CB" w:rsidR="00994459" w:rsidRPr="001E6B9B" w:rsidRDefault="00994459" w:rsidP="007A598D">
      <w:pPr>
        <w:jc w:val="center"/>
        <w:rPr>
          <w:rFonts w:ascii="Times New Roman" w:eastAsia="Times New Roman" w:hAnsi="Times New Roman"/>
          <w:b/>
        </w:rPr>
      </w:pPr>
      <w:r w:rsidRPr="001E6B9B">
        <w:rPr>
          <w:rFonts w:ascii="Times New Roman" w:eastAsia="Times New Roman" w:hAnsi="Times New Roman"/>
          <w:b/>
        </w:rPr>
        <w:t xml:space="preserve">Ādažu novada pašvaldības </w:t>
      </w:r>
      <w:r w:rsidR="007A598D">
        <w:rPr>
          <w:rFonts w:ascii="Times New Roman" w:eastAsia="Times New Roman" w:hAnsi="Times New Roman"/>
          <w:b/>
        </w:rPr>
        <w:t xml:space="preserve">domes </w:t>
      </w:r>
      <w:r w:rsidRPr="001E6B9B">
        <w:rPr>
          <w:rFonts w:ascii="Times New Roman" w:eastAsia="Times New Roman" w:hAnsi="Times New Roman"/>
          <w:b/>
        </w:rPr>
        <w:t>202</w:t>
      </w:r>
      <w:r>
        <w:rPr>
          <w:rFonts w:ascii="Times New Roman" w:eastAsia="Times New Roman" w:hAnsi="Times New Roman"/>
          <w:b/>
        </w:rPr>
        <w:t>5</w:t>
      </w:r>
      <w:r w:rsidRPr="001E6B9B">
        <w:rPr>
          <w:rFonts w:ascii="Times New Roman" w:eastAsia="Times New Roman" w:hAnsi="Times New Roman"/>
          <w:b/>
        </w:rPr>
        <w:t xml:space="preserve">. gada </w:t>
      </w:r>
      <w:r>
        <w:rPr>
          <w:rFonts w:ascii="Times New Roman" w:eastAsia="Times New Roman" w:hAnsi="Times New Roman"/>
          <w:b/>
        </w:rPr>
        <w:t>28</w:t>
      </w:r>
      <w:r w:rsidRPr="001E6B9B">
        <w:rPr>
          <w:rFonts w:ascii="Times New Roman" w:eastAsia="Times New Roman" w:hAnsi="Times New Roman"/>
          <w:b/>
        </w:rPr>
        <w:t>.</w:t>
      </w:r>
      <w:r>
        <w:rPr>
          <w:rFonts w:ascii="Times New Roman" w:eastAsia="Times New Roman" w:hAnsi="Times New Roman"/>
          <w:b/>
        </w:rPr>
        <w:t xml:space="preserve"> augusta</w:t>
      </w:r>
      <w:r w:rsidRPr="001E6B9B">
        <w:rPr>
          <w:rFonts w:ascii="Times New Roman" w:eastAsia="Times New Roman" w:hAnsi="Times New Roman"/>
          <w:b/>
        </w:rPr>
        <w:t xml:space="preserve"> saistošajiem noteikumiem Nr.</w:t>
      </w:r>
      <w:r w:rsidRPr="001E6B9B">
        <w:rPr>
          <w:rFonts w:ascii="Times New Roman" w:eastAsia="Times New Roman" w:hAnsi="Times New Roman"/>
          <w:b/>
          <w:i/>
          <w:iCs/>
        </w:rPr>
        <w:t xml:space="preserve"> </w:t>
      </w:r>
      <w:r w:rsidRPr="001E6B9B">
        <w:rPr>
          <w:rFonts w:ascii="Times New Roman" w:eastAsia="Times New Roman" w:hAnsi="Times New Roman"/>
          <w:b/>
        </w:rPr>
        <w:t>/202</w:t>
      </w:r>
      <w:r>
        <w:rPr>
          <w:rFonts w:ascii="Times New Roman" w:eastAsia="Times New Roman" w:hAnsi="Times New Roman"/>
          <w:b/>
        </w:rPr>
        <w:t>5</w:t>
      </w:r>
      <w:r w:rsidRPr="001E6B9B">
        <w:rPr>
          <w:rFonts w:ascii="Times New Roman" w:eastAsia="Times New Roman" w:hAnsi="Times New Roman"/>
          <w:b/>
        </w:rPr>
        <w:t xml:space="preserve"> </w:t>
      </w:r>
      <w:r w:rsidRPr="001E6B9B">
        <w:rPr>
          <w:rFonts w:ascii="Times New Roman" w:eastAsia="Times New Roman" w:hAnsi="Times New Roman"/>
          <w:b/>
          <w:lang w:eastAsia="lv-LV"/>
        </w:rPr>
        <w:t>“</w:t>
      </w:r>
      <w:r w:rsidRPr="005908CE">
        <w:rPr>
          <w:rFonts w:ascii="Times New Roman" w:eastAsia="Times New Roman" w:hAnsi="Times New Roman"/>
          <w:b/>
          <w:bCs/>
          <w:lang w:eastAsia="lv-LV"/>
        </w:rPr>
        <w:t>Grozījumi Ādažu novada pašvaldības 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gada </w:t>
      </w:r>
      <w:r>
        <w:rPr>
          <w:rFonts w:ascii="Times New Roman" w:eastAsia="Times New Roman" w:hAnsi="Times New Roman"/>
          <w:b/>
          <w:bCs/>
          <w:lang w:eastAsia="lv-LV"/>
        </w:rPr>
        <w:t>14</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jūnija</w:t>
      </w:r>
      <w:r w:rsidRPr="005908CE">
        <w:rPr>
          <w:rFonts w:ascii="Times New Roman" w:eastAsia="Times New Roman" w:hAnsi="Times New Roman"/>
          <w:b/>
          <w:bCs/>
          <w:lang w:eastAsia="lv-LV"/>
        </w:rPr>
        <w:t xml:space="preserve"> saistošajos noteikumos Nr. </w:t>
      </w:r>
      <w:r>
        <w:rPr>
          <w:rFonts w:ascii="Times New Roman" w:eastAsia="Times New Roman" w:hAnsi="Times New Roman"/>
          <w:b/>
          <w:bCs/>
          <w:lang w:eastAsia="lv-LV"/>
        </w:rPr>
        <w:t>18</w:t>
      </w:r>
      <w:r w:rsidRPr="005908CE">
        <w:rPr>
          <w:rFonts w:ascii="Times New Roman" w:eastAsia="Times New Roman" w:hAnsi="Times New Roman"/>
          <w:b/>
          <w:bCs/>
          <w:lang w:eastAsia="lv-LV"/>
        </w:rPr>
        <w:t>/202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w:t>
      </w:r>
      <w:r>
        <w:rPr>
          <w:rFonts w:ascii="Times New Roman" w:eastAsia="Times New Roman" w:hAnsi="Times New Roman"/>
          <w:b/>
          <w:color w:val="000000"/>
        </w:rPr>
        <w:t xml:space="preserve">Ādažu novada </w:t>
      </w:r>
      <w:r w:rsidRPr="005908CE">
        <w:rPr>
          <w:rFonts w:ascii="Times New Roman" w:eastAsia="Times New Roman" w:hAnsi="Times New Roman"/>
          <w:b/>
          <w:color w:val="000000"/>
        </w:rPr>
        <w:t xml:space="preserve">pašvaldības </w:t>
      </w:r>
      <w:r>
        <w:rPr>
          <w:rFonts w:ascii="Times New Roman" w:eastAsia="Times New Roman" w:hAnsi="Times New Roman"/>
          <w:b/>
          <w:color w:val="000000"/>
        </w:rPr>
        <w:t>nolikums”</w:t>
      </w:r>
      <w:r w:rsidRPr="001E6B9B">
        <w:rPr>
          <w:rFonts w:ascii="Times New Roman" w:eastAsia="Times New Roman" w:hAnsi="Times New Roman"/>
          <w:b/>
          <w:lang w:eastAsia="lv-LV"/>
        </w:rPr>
        <w:t>”</w:t>
      </w:r>
    </w:p>
    <w:p w14:paraId="13AD85A3" w14:textId="77777777" w:rsidR="00994459" w:rsidRPr="001E6B9B" w:rsidRDefault="00994459" w:rsidP="00994459">
      <w:pPr>
        <w:autoSpaceDE w:val="0"/>
        <w:autoSpaceDN w:val="0"/>
        <w:adjustRightInd w:val="0"/>
        <w:jc w:val="right"/>
        <w:rPr>
          <w:rFonts w:ascii="Times New Roman" w:eastAsia="Times New Roman" w:hAnsi="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94459" w:rsidRPr="001E6B9B" w14:paraId="479DF943" w14:textId="77777777" w:rsidTr="00A27D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02EC8B05" w14:textId="77777777" w:rsidR="00994459" w:rsidRPr="007A598D" w:rsidRDefault="00994459" w:rsidP="007A598D">
            <w:pPr>
              <w:spacing w:before="40" w:after="40"/>
              <w:jc w:val="center"/>
              <w:rPr>
                <w:rFonts w:ascii="Times New Roman" w:eastAsia="Times New Roman" w:hAnsi="Times New Roman" w:cs="Times New Roman"/>
                <w:b/>
                <w:bCs/>
              </w:rPr>
            </w:pPr>
            <w:r w:rsidRPr="007A598D">
              <w:rPr>
                <w:rFonts w:ascii="Times New Roman" w:eastAsia="Times New Roman" w:hAnsi="Times New Roman" w:cs="Times New Roman"/>
                <w:b/>
                <w:bCs/>
              </w:rPr>
              <w:t>Paskaidrojuma raksta sadaļas un norādāmā informācija</w:t>
            </w:r>
          </w:p>
        </w:tc>
      </w:tr>
      <w:tr w:rsidR="00994459" w:rsidRPr="001E6B9B" w14:paraId="4D38D2E7" w14:textId="77777777" w:rsidTr="00A27D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12704CE5" w14:textId="77777777" w:rsidR="00994459" w:rsidRPr="007A598D" w:rsidRDefault="00994459" w:rsidP="007A598D">
            <w:pPr>
              <w:numPr>
                <w:ilvl w:val="0"/>
                <w:numId w:val="5"/>
              </w:numPr>
              <w:tabs>
                <w:tab w:val="left" w:pos="455"/>
              </w:tabs>
              <w:autoSpaceDE w:val="0"/>
              <w:autoSpaceDN w:val="0"/>
              <w:adjustRightInd w:val="0"/>
              <w:spacing w:before="40" w:after="40"/>
              <w:ind w:left="567" w:hanging="567"/>
              <w:jc w:val="both"/>
              <w:outlineLvl w:val="0"/>
              <w:rPr>
                <w:rFonts w:ascii="Times New Roman" w:eastAsia="Times New Roman" w:hAnsi="Times New Roman" w:cs="Times New Roman"/>
                <w:b/>
              </w:rPr>
            </w:pPr>
            <w:r w:rsidRPr="007A598D">
              <w:rPr>
                <w:rFonts w:ascii="Times New Roman" w:eastAsia="Times New Roman" w:hAnsi="Times New Roman" w:cs="Times New Roman"/>
                <w:b/>
              </w:rPr>
              <w:t>Mērķis un nepieciešamības pamatojums</w:t>
            </w:r>
          </w:p>
          <w:p w14:paraId="7942B798" w14:textId="418C0AF9"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 xml:space="preserve">Saistošo noteikumu mērķis ir veikt grozījumus </w:t>
            </w:r>
            <w:r w:rsidRPr="007A598D">
              <w:rPr>
                <w:rFonts w:ascii="Times New Roman" w:eastAsia="Times New Roman" w:hAnsi="Times New Roman" w:cs="Times New Roman"/>
                <w:lang w:eastAsia="lv-LV"/>
              </w:rPr>
              <w:t xml:space="preserve">Ādažu novada pašvaldības </w:t>
            </w:r>
            <w:r w:rsidR="007A598D" w:rsidRPr="007A598D">
              <w:rPr>
                <w:rFonts w:ascii="Times New Roman" w:eastAsia="Times New Roman" w:hAnsi="Times New Roman" w:cs="Times New Roman"/>
                <w:lang w:eastAsia="lv-LV"/>
              </w:rPr>
              <w:t xml:space="preserve">domes </w:t>
            </w:r>
            <w:r w:rsidRPr="007A598D">
              <w:rPr>
                <w:rFonts w:ascii="Times New Roman" w:eastAsia="Times New Roman" w:hAnsi="Times New Roman" w:cs="Times New Roman"/>
                <w:lang w:eastAsia="lv-LV"/>
              </w:rPr>
              <w:t>2023. gada 14. jūnija saistošajos noteikumos Nr. 18/2023 "</w:t>
            </w:r>
            <w:r w:rsidRPr="007A598D">
              <w:rPr>
                <w:rFonts w:ascii="Times New Roman" w:eastAsia="Times New Roman" w:hAnsi="Times New Roman" w:cs="Times New Roman"/>
                <w:color w:val="000000"/>
              </w:rPr>
              <w:t xml:space="preserve">Ādažu novada pašvaldības nolikums” (turpmāk - Nolikums), lai tajos iestrādātu </w:t>
            </w:r>
            <w:proofErr w:type="spellStart"/>
            <w:r w:rsidRPr="007A598D">
              <w:rPr>
                <w:rFonts w:ascii="Times New Roman" w:eastAsia="Times New Roman" w:hAnsi="Times New Roman" w:cs="Times New Roman"/>
                <w:color w:val="000000"/>
              </w:rPr>
              <w:t>instituciāla</w:t>
            </w:r>
            <w:proofErr w:type="spellEnd"/>
            <w:r w:rsidRPr="007A598D">
              <w:rPr>
                <w:rFonts w:ascii="Times New Roman" w:eastAsia="Times New Roman" w:hAnsi="Times New Roman" w:cs="Times New Roman"/>
                <w:color w:val="000000"/>
              </w:rPr>
              <w:t xml:space="preserve"> rakstura izmaiņas. </w:t>
            </w:r>
          </w:p>
          <w:p w14:paraId="0F8A2A39" w14:textId="77777777"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hAnsi="Times New Roman" w:cs="Times New Roman"/>
              </w:rPr>
              <w:t>Nolikums, cita starpā, nosaka Ādažu novada pa</w:t>
            </w:r>
            <w:r w:rsidRPr="004832CF">
              <w:rPr>
                <w:rFonts w:ascii="Times New Roman" w:hAnsi="Times New Roman" w:cs="Times New Roman" w:hint="eastAsia"/>
              </w:rPr>
              <w:t>š</w:t>
            </w:r>
            <w:r w:rsidRPr="007A598D">
              <w:rPr>
                <w:rFonts w:ascii="Times New Roman" w:hAnsi="Times New Roman" w:cs="Times New Roman"/>
              </w:rPr>
              <w:t>vald</w:t>
            </w:r>
            <w:r w:rsidRPr="004832CF">
              <w:rPr>
                <w:rFonts w:ascii="Times New Roman" w:hAnsi="Times New Roman" w:cs="Times New Roman" w:hint="eastAsia"/>
              </w:rPr>
              <w:t>ī</w:t>
            </w:r>
            <w:r w:rsidRPr="007A598D">
              <w:rPr>
                <w:rFonts w:ascii="Times New Roman" w:hAnsi="Times New Roman" w:cs="Times New Roman"/>
              </w:rPr>
              <w:t>bas institucionālo sistēmu un darba organizāciju, kā arī amatpersonu rīcību ar pašvaldības mantu un finanšu resursiem.</w:t>
            </w:r>
          </w:p>
          <w:p w14:paraId="428284AE" w14:textId="57722BAF" w:rsidR="00994459" w:rsidRPr="007A598D" w:rsidRDefault="007A598D" w:rsidP="007A598D">
            <w:pPr>
              <w:numPr>
                <w:ilvl w:val="1"/>
                <w:numId w:val="5"/>
              </w:numPr>
              <w:spacing w:before="40" w:after="40"/>
              <w:ind w:left="426" w:hanging="426"/>
              <w:jc w:val="both"/>
              <w:rPr>
                <w:rFonts w:ascii="Times New Roman" w:eastAsia="Times New Roman" w:hAnsi="Times New Roman" w:cs="Times New Roman"/>
              </w:rPr>
            </w:pPr>
            <w:r>
              <w:rPr>
                <w:rFonts w:ascii="Times New Roman" w:eastAsia="Times New Roman" w:hAnsi="Times New Roman" w:cs="Times New Roman"/>
              </w:rPr>
              <w:t>Ņemot vērā, ka</w:t>
            </w:r>
            <w:r w:rsidR="00994459" w:rsidRPr="007A598D">
              <w:rPr>
                <w:rFonts w:ascii="Times New Roman" w:eastAsia="Times New Roman" w:hAnsi="Times New Roman" w:cs="Times New Roman"/>
              </w:rPr>
              <w:t xml:space="preserve"> reorganizācijas rezultātā Carnikavas pamatskola ir kļuvusi par Carnikavas vidusskolu</w:t>
            </w:r>
            <w:r>
              <w:rPr>
                <w:rFonts w:ascii="Times New Roman" w:eastAsia="Times New Roman" w:hAnsi="Times New Roman" w:cs="Times New Roman"/>
              </w:rPr>
              <w:t>,</w:t>
            </w:r>
            <w:r w:rsidR="00994459" w:rsidRPr="007A598D">
              <w:rPr>
                <w:rFonts w:ascii="Times New Roman" w:eastAsia="Times New Roman" w:hAnsi="Times New Roman" w:cs="Times New Roman"/>
              </w:rPr>
              <w:t xml:space="preserve"> ir nepieciešams veikt izmaiņas </w:t>
            </w:r>
            <w:r>
              <w:rPr>
                <w:rFonts w:ascii="Times New Roman" w:eastAsia="Times New Roman" w:hAnsi="Times New Roman" w:cs="Times New Roman"/>
              </w:rPr>
              <w:t xml:space="preserve">pašvaldības </w:t>
            </w:r>
            <w:r w:rsidR="00994459" w:rsidRPr="007A598D">
              <w:rPr>
                <w:rFonts w:ascii="Times New Roman" w:eastAsia="Times New Roman" w:hAnsi="Times New Roman" w:cs="Times New Roman"/>
              </w:rPr>
              <w:t xml:space="preserve">iestāžu  sarakstā. </w:t>
            </w:r>
          </w:p>
          <w:p w14:paraId="2428D4FD" w14:textId="4BF3A4A5"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Pašvaldība</w:t>
            </w:r>
            <w:r w:rsidR="007A598D">
              <w:rPr>
                <w:rFonts w:ascii="Times New Roman" w:eastAsia="Times New Roman" w:hAnsi="Times New Roman" w:cs="Times New Roman"/>
              </w:rPr>
              <w:t>s dome</w:t>
            </w:r>
            <w:r w:rsidRPr="007A598D">
              <w:rPr>
                <w:rFonts w:ascii="Times New Roman" w:eastAsia="Times New Roman" w:hAnsi="Times New Roman" w:cs="Times New Roman"/>
              </w:rPr>
              <w:t xml:space="preserve"> 2025. gada 27. februārī pieņēma jaunus saistošos noteikumus Nr. 8/2025.  “Bērnu reģistrācijas, uzņemšanas un atskaitīšanas kārtība Ādažu novada pašvaldības izglītības iestādēs, kurās īsteno pirmsskolas izglītības programmas”, vairs neparedz</w:t>
            </w:r>
            <w:r w:rsidR="007A598D">
              <w:rPr>
                <w:rFonts w:ascii="Times New Roman" w:eastAsia="Times New Roman" w:hAnsi="Times New Roman" w:cs="Times New Roman"/>
              </w:rPr>
              <w:t>ot veidot</w:t>
            </w:r>
            <w:r w:rsidRPr="007A598D">
              <w:rPr>
                <w:rFonts w:ascii="Times New Roman" w:eastAsia="Times New Roman" w:hAnsi="Times New Roman" w:cs="Times New Roman"/>
              </w:rPr>
              <w:t xml:space="preserve"> Bērnu uzņemšanas pirmsskolas izglītības iestādēs komisiju, tāpēc ir nepieciešams svītrot</w:t>
            </w:r>
            <w:r w:rsidR="007A598D">
              <w:rPr>
                <w:rFonts w:ascii="Times New Roman" w:eastAsia="Times New Roman" w:hAnsi="Times New Roman" w:cs="Times New Roman"/>
              </w:rPr>
              <w:t xml:space="preserve"> šo komisiju no pašvaldības institucionālās organizācijas</w:t>
            </w:r>
            <w:r w:rsidRPr="007A598D">
              <w:rPr>
                <w:rFonts w:ascii="Times New Roman" w:eastAsia="Times New Roman" w:hAnsi="Times New Roman" w:cs="Times New Roman"/>
              </w:rPr>
              <w:t>.</w:t>
            </w:r>
          </w:p>
          <w:p w14:paraId="4D7FB637" w14:textId="6C13DD88"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lang w:eastAsia="lv-LV"/>
              </w:rPr>
              <w:t xml:space="preserve">2025. gada 28. augustā pašvaldības dome apstiprināja grozījumus Ādažu novada pašvaldības domes 2022. gada 23. novembra saistošajos noteikumos Nr. 80/2022 “Par Ādažu pašvaldības līdzfinansējumu daudzdzīvokļu dzīvojamām mājām piesaistīto zemesgabalu labiekārtošanai” un grozījumus Ādažu novada pašvaldības domes 2022. gada 23. novembra saistošajos noteikumos Nr. 81/2022 “Par Ādažu novada pašvaldības līdzfinansējumu daudzdzīvokļu dzīvojamo māju energoefektivitātes pasākumu veikšanai”, </w:t>
            </w:r>
            <w:r w:rsidR="007A598D">
              <w:rPr>
                <w:rFonts w:ascii="Times New Roman" w:eastAsia="Times New Roman" w:hAnsi="Times New Roman" w:cs="Times New Roman"/>
                <w:lang w:eastAsia="lv-LV"/>
              </w:rPr>
              <w:t>nosakot</w:t>
            </w:r>
            <w:r w:rsidRPr="007A598D">
              <w:rPr>
                <w:rFonts w:ascii="Times New Roman" w:eastAsia="Times New Roman" w:hAnsi="Times New Roman" w:cs="Times New Roman"/>
                <w:lang w:eastAsia="lv-LV"/>
              </w:rPr>
              <w:t xml:space="preserve">, ka līdzfinansējumu daudzdzīvokļu dzīvojamām mājām piesaistīto zemesgabalu labiekārtošanai un daudzdzīvokļu dzīvojamo māju energoefektivitātes pasākumu veikšanai piešķirs pašvaldības aģentūras “Carnikavas komunālserviss” izveidota komisija. Iepriekš līdzfinansējumu piešķīra domes izveidota komisija, līdz ar to ir nepieciešams </w:t>
            </w:r>
            <w:r w:rsidR="007A598D" w:rsidRPr="007A598D">
              <w:rPr>
                <w:rFonts w:ascii="Times New Roman" w:eastAsia="Times New Roman" w:hAnsi="Times New Roman" w:cs="Times New Roman"/>
                <w:lang w:eastAsia="lv-LV"/>
              </w:rPr>
              <w:t>svītrot šo komisiju no pašvaldības institucionālās organizācijas</w:t>
            </w:r>
            <w:r w:rsidRPr="007A598D">
              <w:rPr>
                <w:rFonts w:ascii="Times New Roman" w:eastAsia="Times New Roman" w:hAnsi="Times New Roman" w:cs="Times New Roman"/>
                <w:lang w:eastAsia="lv-LV"/>
              </w:rPr>
              <w:t xml:space="preserve">.      </w:t>
            </w:r>
          </w:p>
          <w:p w14:paraId="377E40AF" w14:textId="5D6E29D6"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Ādažu novada pašvaldība un Ropažu novada pašvaldība pieņēm</w:t>
            </w:r>
            <w:r w:rsidR="007A598D">
              <w:rPr>
                <w:rFonts w:ascii="Times New Roman" w:eastAsia="Times New Roman" w:hAnsi="Times New Roman" w:cs="Times New Roman"/>
              </w:rPr>
              <w:t>a</w:t>
            </w:r>
            <w:r w:rsidRPr="007A598D">
              <w:rPr>
                <w:rFonts w:ascii="Times New Roman" w:eastAsia="Times New Roman" w:hAnsi="Times New Roman" w:cs="Times New Roman"/>
              </w:rPr>
              <w:t xml:space="preserve"> lēmumus par Sabiedrības ar ierobežotu atbildību "Garkalnes ūdens", </w:t>
            </w:r>
            <w:proofErr w:type="spellStart"/>
            <w:r w:rsidRPr="007A598D">
              <w:rPr>
                <w:rFonts w:ascii="Times New Roman" w:eastAsia="Times New Roman" w:hAnsi="Times New Roman" w:cs="Times New Roman"/>
              </w:rPr>
              <w:t>reģ</w:t>
            </w:r>
            <w:proofErr w:type="spellEnd"/>
            <w:r w:rsidRPr="007A598D">
              <w:rPr>
                <w:rFonts w:ascii="Times New Roman" w:eastAsia="Times New Roman" w:hAnsi="Times New Roman" w:cs="Times New Roman"/>
              </w:rPr>
              <w:t>. Nr. 40103217948 (turpmāk – SIA “Garkalnes ūdens”) reorganizāciju, sadalot to sašķelšanas ceļā, t.sk., nodot SIA “Ādažu ūdens” SIA “Garkalnes ūdens” mantu, finanses, tiesības un saistības pakalpojumu sniegšanai Ādažu pagasta Baltezera un Alderu ciemu daļās</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 un ar 2025. gada 1. augustu sabiedriskos pakalpojumus (ūdensapgāde, notekūdeņu savākšana, attīrīšana un novadīšana) Ādažu pagasta Baltezera ciema un Alderu ciema daļās, kur to iepriekš nodrošināja SIA “Garkalnes ūdens”</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 </w:t>
            </w:r>
            <w:r w:rsidR="007A598D">
              <w:rPr>
                <w:rFonts w:ascii="Times New Roman" w:eastAsia="Times New Roman" w:hAnsi="Times New Roman" w:cs="Times New Roman"/>
              </w:rPr>
              <w:t xml:space="preserve">to </w:t>
            </w:r>
            <w:r w:rsidRPr="007A598D">
              <w:rPr>
                <w:rFonts w:ascii="Times New Roman" w:eastAsia="Times New Roman" w:hAnsi="Times New Roman" w:cs="Times New Roman"/>
              </w:rPr>
              <w:t xml:space="preserve">nodrošina </w:t>
            </w:r>
            <w:r w:rsidR="007A598D">
              <w:rPr>
                <w:rFonts w:ascii="Times New Roman" w:eastAsia="Times New Roman" w:hAnsi="Times New Roman" w:cs="Times New Roman"/>
              </w:rPr>
              <w:t xml:space="preserve">SIA </w:t>
            </w:r>
            <w:r w:rsidRPr="007A598D">
              <w:rPr>
                <w:rFonts w:ascii="Times New Roman" w:eastAsia="Times New Roman" w:hAnsi="Times New Roman" w:cs="Times New Roman"/>
              </w:rPr>
              <w:t xml:space="preserve">“Ādažu ūdens”, un SIA </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Garkalnes ūdens” beidz pastāvēt, līdz ar to ir nepieciešams </w:t>
            </w:r>
            <w:r w:rsidR="007A598D" w:rsidRPr="007A598D">
              <w:rPr>
                <w:rFonts w:ascii="Times New Roman" w:eastAsia="Times New Roman" w:hAnsi="Times New Roman" w:cs="Times New Roman"/>
              </w:rPr>
              <w:t xml:space="preserve">svītrot šo </w:t>
            </w:r>
            <w:r w:rsidR="007A598D">
              <w:rPr>
                <w:rFonts w:ascii="Times New Roman" w:eastAsia="Times New Roman" w:hAnsi="Times New Roman" w:cs="Times New Roman"/>
              </w:rPr>
              <w:t>uzņēmumu</w:t>
            </w:r>
            <w:r w:rsidR="007A598D" w:rsidRPr="007A598D">
              <w:rPr>
                <w:rFonts w:ascii="Times New Roman" w:eastAsia="Times New Roman" w:hAnsi="Times New Roman" w:cs="Times New Roman"/>
              </w:rPr>
              <w:t xml:space="preserve"> no pašvaldības institucionālās organizācijas</w:t>
            </w:r>
            <w:r w:rsidRPr="007A598D">
              <w:rPr>
                <w:rFonts w:ascii="Times New Roman" w:eastAsia="Times New Roman" w:hAnsi="Times New Roman" w:cs="Times New Roman"/>
              </w:rPr>
              <w:t xml:space="preserve">.  </w:t>
            </w:r>
          </w:p>
          <w:p w14:paraId="01845836" w14:textId="77777777" w:rsidR="00994459" w:rsidRPr="007A598D" w:rsidRDefault="00994459" w:rsidP="007A598D">
            <w:pPr>
              <w:keepNext/>
              <w:spacing w:before="40" w:after="40"/>
              <w:ind w:left="360"/>
              <w:jc w:val="both"/>
              <w:outlineLvl w:val="0"/>
              <w:rPr>
                <w:rFonts w:ascii="Times New Roman" w:eastAsia="Times New Roman" w:hAnsi="Times New Roman" w:cs="Times New Roman"/>
              </w:rPr>
            </w:pPr>
          </w:p>
        </w:tc>
      </w:tr>
      <w:tr w:rsidR="00994459" w:rsidRPr="001E6B9B" w14:paraId="0FD1096D" w14:textId="77777777" w:rsidTr="00A27D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17FFC61B" w14:textId="77777777" w:rsidR="00994459" w:rsidRPr="007A598D" w:rsidRDefault="00994459"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 xml:space="preserve">Fiskālā ietekme uz pašvaldības budžetu </w:t>
            </w:r>
          </w:p>
          <w:p w14:paraId="4A5FC51C" w14:textId="77777777" w:rsidR="00994459" w:rsidRPr="007A598D" w:rsidRDefault="00994459" w:rsidP="007A598D">
            <w:pPr>
              <w:numPr>
                <w:ilvl w:val="1"/>
                <w:numId w:val="5"/>
              </w:numPr>
              <w:spacing w:before="40" w:after="40"/>
              <w:ind w:left="426"/>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Saistošajiem noteikumiem nav tiešas ietekmes uz pašvaldības budžetu, jo tie izriet no iepriekš pieņemtajiem domes lēmumiem.</w:t>
            </w:r>
            <w:bookmarkStart w:id="3" w:name="_Hlk155881647"/>
          </w:p>
          <w:bookmarkEnd w:id="3"/>
          <w:p w14:paraId="5719B211" w14:textId="77777777" w:rsidR="00994459" w:rsidRPr="007A598D" w:rsidRDefault="00994459" w:rsidP="007A598D">
            <w:pPr>
              <w:numPr>
                <w:ilvl w:val="1"/>
                <w:numId w:val="5"/>
              </w:numPr>
              <w:spacing w:before="40" w:after="40"/>
              <w:ind w:left="426"/>
              <w:jc w:val="both"/>
              <w:rPr>
                <w:rFonts w:ascii="Times New Roman" w:eastAsia="Times New Roman" w:hAnsi="Times New Roman" w:cs="Times New Roman"/>
                <w:lang w:eastAsia="lv-LV"/>
              </w:rPr>
            </w:pPr>
            <w:r w:rsidRPr="007A598D">
              <w:rPr>
                <w:rFonts w:ascii="Times New Roman" w:hAnsi="Times New Roman" w:cs="Times New Roman"/>
                <w:shd w:val="clear" w:color="auto" w:fill="FFFFFF"/>
              </w:rPr>
              <w:t>Saistošo noteikumu izpildei nav paredzēts veidot jaunas darba vietas.</w:t>
            </w:r>
          </w:p>
        </w:tc>
      </w:tr>
      <w:tr w:rsidR="00994459" w:rsidRPr="001E6B9B" w14:paraId="4732CB0B"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61634681" w14:textId="77777777" w:rsidR="00994459" w:rsidRPr="007A598D" w:rsidRDefault="00994459" w:rsidP="007A598D">
            <w:pPr>
              <w:numPr>
                <w:ilvl w:val="0"/>
                <w:numId w:val="5"/>
              </w:numPr>
              <w:autoSpaceDE w:val="0"/>
              <w:autoSpaceDN w:val="0"/>
              <w:adjustRightInd w:val="0"/>
              <w:spacing w:before="40" w:after="40"/>
              <w:ind w:left="426" w:hanging="426"/>
              <w:jc w:val="both"/>
              <w:rPr>
                <w:rFonts w:ascii="Times New Roman" w:eastAsia="Times New Roman" w:hAnsi="Times New Roman" w:cs="Times New Roman"/>
                <w:bCs/>
                <w:i/>
                <w:iCs/>
              </w:rPr>
            </w:pPr>
            <w:r w:rsidRPr="007A598D">
              <w:rPr>
                <w:rFonts w:ascii="Times New Roman" w:eastAsia="Times New Roman" w:hAnsi="Times New Roman" w:cs="Times New Roman"/>
                <w:b/>
              </w:rPr>
              <w:t>Sociālā ietekme, ietekme uz vidi, iedzīvotāju veselību, uzņēmējdarbības vidi pašvaldības teritorijā, kā arī uz konkurenci</w:t>
            </w:r>
          </w:p>
          <w:p w14:paraId="3894ADA3"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Sociālā ietekme – nav attiecināms.</w:t>
            </w:r>
          </w:p>
          <w:p w14:paraId="3AD619D6"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vidi – nav attiecināms.</w:t>
            </w:r>
          </w:p>
          <w:p w14:paraId="42A9F57E"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lastRenderedPageBreak/>
              <w:t>Ietekme uz iedzīvotāju veselību – nav attiecināms.</w:t>
            </w:r>
            <w:r w:rsidRPr="007A598D">
              <w:rPr>
                <w:rFonts w:ascii="Times New Roman" w:eastAsia="Times New Roman" w:hAnsi="Times New Roman" w:cs="Times New Roman"/>
                <w:b/>
                <w:bCs/>
                <w:lang w:eastAsia="lv-LV"/>
              </w:rPr>
              <w:t> </w:t>
            </w:r>
          </w:p>
          <w:p w14:paraId="0D3BB8F2"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konkurenci – noteikumiem nav tiešas ietekmes uz uzņēmējdarbības vidi un  konkurenci.</w:t>
            </w:r>
          </w:p>
        </w:tc>
      </w:tr>
      <w:tr w:rsidR="00994459" w:rsidRPr="001E6B9B" w14:paraId="4C533CCB" w14:textId="77777777" w:rsidTr="00A27D7F">
        <w:trPr>
          <w:trHeight w:val="552"/>
        </w:trPr>
        <w:tc>
          <w:tcPr>
            <w:tcW w:w="9209" w:type="dxa"/>
            <w:tcBorders>
              <w:top w:val="single" w:sz="4" w:space="0" w:color="auto"/>
              <w:left w:val="single" w:sz="4" w:space="0" w:color="auto"/>
              <w:bottom w:val="single" w:sz="4" w:space="0" w:color="auto"/>
              <w:right w:val="single" w:sz="4" w:space="0" w:color="auto"/>
            </w:tcBorders>
          </w:tcPr>
          <w:p w14:paraId="02A44881" w14:textId="77777777" w:rsidR="00994459" w:rsidRPr="007A598D" w:rsidRDefault="00994459" w:rsidP="007A598D">
            <w:pPr>
              <w:numPr>
                <w:ilvl w:val="0"/>
                <w:numId w:val="5"/>
              </w:numPr>
              <w:shd w:val="clear" w:color="auto" w:fill="FFFFFF"/>
              <w:autoSpaceDE w:val="0"/>
              <w:autoSpaceDN w:val="0"/>
              <w:adjustRightInd w:val="0"/>
              <w:spacing w:before="40" w:after="40"/>
              <w:ind w:left="426" w:hanging="426"/>
              <w:jc w:val="both"/>
              <w:rPr>
                <w:rFonts w:ascii="Times New Roman" w:eastAsia="Times New Roman" w:hAnsi="Times New Roman" w:cs="Times New Roman"/>
                <w:b/>
                <w:bCs/>
              </w:rPr>
            </w:pPr>
            <w:r w:rsidRPr="007A598D">
              <w:rPr>
                <w:rFonts w:ascii="Times New Roman" w:eastAsia="Times New Roman" w:hAnsi="Times New Roman" w:cs="Times New Roman"/>
                <w:b/>
                <w:bCs/>
              </w:rPr>
              <w:lastRenderedPageBreak/>
              <w:t>Ietekme uz administratīvajām procedūrām un to izmaksām</w:t>
            </w:r>
          </w:p>
          <w:p w14:paraId="737E38BA" w14:textId="77777777" w:rsidR="00994459" w:rsidRPr="007A598D" w:rsidRDefault="00994459" w:rsidP="007A598D">
            <w:pPr>
              <w:tabs>
                <w:tab w:val="left" w:pos="426"/>
              </w:tabs>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Šiem noteikumiem nav tiešas ietekmes uz līdzšinējām administratīvajām procedūrām vai to izmaksām, jo tie izstrādāti, pamatojoties uz iepriekš pieņemtajiem domes lēmumiem. </w:t>
            </w:r>
          </w:p>
        </w:tc>
      </w:tr>
      <w:tr w:rsidR="00994459" w:rsidRPr="001E6B9B" w14:paraId="21426661" w14:textId="77777777" w:rsidTr="00A27D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30502704" w14:textId="77777777" w:rsidR="00994459" w:rsidRPr="007A598D" w:rsidRDefault="00994459" w:rsidP="007A598D">
            <w:pPr>
              <w:numPr>
                <w:ilvl w:val="0"/>
                <w:numId w:val="5"/>
              </w:numPr>
              <w:autoSpaceDE w:val="0"/>
              <w:autoSpaceDN w:val="0"/>
              <w:adjustRightInd w:val="0"/>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Ietekme uz pašvaldības funkcijām un cilvēkresursiem</w:t>
            </w:r>
          </w:p>
          <w:p w14:paraId="0DF5942E" w14:textId="77777777" w:rsidR="00994459" w:rsidRPr="007A598D" w:rsidRDefault="00994459" w:rsidP="007A598D">
            <w:pPr>
              <w:shd w:val="clear" w:color="auto" w:fill="FFFFFF"/>
              <w:spacing w:before="40" w:after="4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Sakarā ar saistošo noteikumu izpildi ir noteikti jauni pienākumi vai uzdevumi esošajiem darbiniekiem, institūcijām, </w:t>
            </w:r>
            <w:r w:rsidRPr="007A598D">
              <w:rPr>
                <w:rFonts w:ascii="Times New Roman" w:hAnsi="Times New Roman" w:cs="Times New Roman"/>
                <w:shd w:val="clear" w:color="auto" w:fill="FFFFFF"/>
              </w:rPr>
              <w:t xml:space="preserve">to izpildei šobrīd nav paredzēts piesaistīt </w:t>
            </w:r>
            <w:r w:rsidRPr="007A598D">
              <w:rPr>
                <w:rFonts w:ascii="Times New Roman" w:eastAsia="Times New Roman" w:hAnsi="Times New Roman" w:cs="Times New Roman"/>
              </w:rPr>
              <w:t>papildu resursus.</w:t>
            </w:r>
          </w:p>
        </w:tc>
      </w:tr>
      <w:tr w:rsidR="00994459" w:rsidRPr="001E6B9B" w14:paraId="1E0B4C12"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5E5D86" w14:textId="77777777" w:rsidR="00994459" w:rsidRPr="007A598D" w:rsidRDefault="00994459"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Informācija par izpildes nodrošināšanu</w:t>
            </w:r>
          </w:p>
          <w:p w14:paraId="3E369FB1" w14:textId="77777777" w:rsidR="00994459" w:rsidRPr="007A598D" w:rsidRDefault="00994459"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Noteikumu izpildes nodrošināšanai nepieciešami resursi – tikai cilvēkresursi. </w:t>
            </w:r>
          </w:p>
          <w:p w14:paraId="5099241D" w14:textId="77777777" w:rsidR="00994459" w:rsidRPr="007A598D" w:rsidRDefault="00994459" w:rsidP="007A598D">
            <w:pPr>
              <w:spacing w:before="40" w:after="40"/>
              <w:jc w:val="both"/>
              <w:rPr>
                <w:rFonts w:ascii="Times New Roman" w:eastAsia="Times New Roman" w:hAnsi="Times New Roman" w:cs="Times New Roman"/>
              </w:rPr>
            </w:pPr>
          </w:p>
        </w:tc>
      </w:tr>
      <w:tr w:rsidR="00994459" w:rsidRPr="001E6B9B" w14:paraId="37286AE3"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327218B8" w14:textId="77777777" w:rsidR="00994459" w:rsidRPr="007A598D" w:rsidRDefault="00994459"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Prasību un izmaksu samērīgums pret ieguvumiem, ko sniedz mērķa sasniegšana</w:t>
            </w:r>
          </w:p>
          <w:p w14:paraId="5E2B1DF0" w14:textId="77777777" w:rsidR="00994459" w:rsidRPr="007A598D" w:rsidRDefault="00994459"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994459" w:rsidRPr="001E6B9B" w14:paraId="6F4EB4AD"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2499531E" w14:textId="77777777" w:rsidR="00994459" w:rsidRPr="007A598D" w:rsidRDefault="00994459" w:rsidP="007A598D">
            <w:pPr>
              <w:numPr>
                <w:ilvl w:val="0"/>
                <w:numId w:val="5"/>
              </w:numPr>
              <w:spacing w:before="40" w:after="40"/>
              <w:ind w:left="455" w:hanging="425"/>
              <w:jc w:val="both"/>
              <w:rPr>
                <w:rFonts w:ascii="Times New Roman" w:eastAsia="Times New Roman" w:hAnsi="Times New Roman" w:cs="Times New Roman"/>
                <w:b/>
              </w:rPr>
            </w:pPr>
            <w:r w:rsidRPr="007A598D">
              <w:rPr>
                <w:rFonts w:ascii="Times New Roman" w:eastAsia="Times New Roman" w:hAnsi="Times New Roman" w:cs="Times New Roman"/>
                <w:b/>
              </w:rPr>
              <w:t>Izstrādes gaitā veiktās konsultācijas ar privātpersonām un institūcijām</w:t>
            </w:r>
          </w:p>
          <w:p w14:paraId="291678C5" w14:textId="77777777" w:rsidR="00994459" w:rsidRPr="007A598D" w:rsidRDefault="00994459"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Šo noteikumu izstrādes procesā atsevišķas konsultācijas ar sabiedrības pārstāvjiem (tostarp biedrībām, nodibinājumiem, apvienībām, u.tml.) nenotika.</w:t>
            </w:r>
          </w:p>
          <w:p w14:paraId="5E23F35C" w14:textId="77777777" w:rsidR="00994459" w:rsidRPr="007A598D" w:rsidRDefault="00994459"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Konsultācijām tika izmantots šāds sabiedrības līdzdalības veids: pēc noteikumu izskatīšanas domes Finanšu komitejā, to projekts tika publicēts pašvaldības oficiālajā tīmekļvietnē </w:t>
            </w:r>
            <w:hyperlink r:id="rId8" w:history="1">
              <w:r w:rsidRPr="007A598D">
                <w:rPr>
                  <w:rFonts w:ascii="Times New Roman" w:eastAsia="Times New Roman" w:hAnsi="Times New Roman" w:cs="Times New Roman"/>
                  <w:color w:val="0000FF"/>
                  <w:u w:val="single"/>
                  <w:lang w:eastAsia="lv-LV"/>
                </w:rPr>
                <w:t>www.adazunovads.lv</w:t>
              </w:r>
            </w:hyperlink>
            <w:r w:rsidRPr="007A598D">
              <w:rPr>
                <w:rFonts w:ascii="Times New Roman" w:eastAsia="Times New Roman" w:hAnsi="Times New Roman" w:cs="Times New Roman"/>
                <w:lang w:eastAsia="lv-LV"/>
              </w:rPr>
              <w:t xml:space="preserve">, kā arī informācija par projektu tika publicēta sociālajā tīkla </w:t>
            </w:r>
            <w:proofErr w:type="spellStart"/>
            <w:r w:rsidRPr="007A598D">
              <w:rPr>
                <w:rFonts w:ascii="Times New Roman" w:eastAsia="Times New Roman" w:hAnsi="Times New Roman" w:cs="Times New Roman"/>
                <w:i/>
                <w:iCs/>
                <w:lang w:eastAsia="lv-LV"/>
              </w:rPr>
              <w:t>Facebook</w:t>
            </w:r>
            <w:proofErr w:type="spellEnd"/>
            <w:r w:rsidRPr="007A598D">
              <w:rPr>
                <w:rFonts w:ascii="Times New Roman" w:eastAsia="Times New Roman" w:hAnsi="Times New Roman" w:cs="Times New Roman"/>
                <w:lang w:eastAsia="lv-LV"/>
              </w:rPr>
              <w:t xml:space="preserve"> pašvaldības profilā, lai sasniegtu </w:t>
            </w:r>
            <w:proofErr w:type="spellStart"/>
            <w:r w:rsidRPr="007A598D">
              <w:rPr>
                <w:rFonts w:ascii="Times New Roman" w:eastAsia="Times New Roman" w:hAnsi="Times New Roman" w:cs="Times New Roman"/>
                <w:lang w:eastAsia="lv-LV"/>
              </w:rPr>
              <w:t>mērķgrupu</w:t>
            </w:r>
            <w:proofErr w:type="spellEnd"/>
            <w:r w:rsidRPr="007A598D">
              <w:rPr>
                <w:rFonts w:ascii="Times New Roman" w:eastAsia="Times New Roman" w:hAnsi="Times New Roman" w:cs="Times New Roman"/>
                <w:lang w:eastAsia="lv-LV"/>
              </w:rPr>
              <w:t>, kā arī noskaidrotu pēc iespējas plašākas sabiedrības viedokli.</w:t>
            </w:r>
          </w:p>
          <w:p w14:paraId="243BE970" w14:textId="62EE51B6" w:rsidR="00994459" w:rsidRPr="007A598D" w:rsidRDefault="00994459"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Publikācijā noteiktajā termiņā – no 14.08.2025. līdz 27.08.2025. netika saņemti sabiedrības pārstāvju priekšlikumi.</w:t>
            </w:r>
          </w:p>
          <w:p w14:paraId="29773F70" w14:textId="77777777" w:rsidR="00994459" w:rsidRPr="007A598D" w:rsidRDefault="00994459"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 institūcijām netika saņemti viedokļi un atzinumi par noteikumu projektu.</w:t>
            </w:r>
          </w:p>
          <w:p w14:paraId="5EC965AE" w14:textId="77777777" w:rsidR="00994459" w:rsidRPr="007A598D" w:rsidRDefault="00994459"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Cita veida saziņa un konsultācijas nav notikušas.</w:t>
            </w:r>
          </w:p>
        </w:tc>
      </w:tr>
    </w:tbl>
    <w:p w14:paraId="39764357" w14:textId="77777777" w:rsidR="00994459" w:rsidRPr="001E6B9B" w:rsidRDefault="00994459" w:rsidP="00994459">
      <w:pPr>
        <w:rPr>
          <w:rFonts w:ascii="Times New Roman" w:eastAsia="Times New Roman" w:hAnsi="Times New Roman"/>
          <w:b/>
          <w:bCs/>
        </w:rPr>
      </w:pPr>
    </w:p>
    <w:p w14:paraId="09022911" w14:textId="77777777" w:rsidR="00994459" w:rsidRDefault="00994459" w:rsidP="00994459">
      <w:pPr>
        <w:rPr>
          <w:rFonts w:ascii="Times New Roman" w:eastAsia="Times New Roman" w:hAnsi="Times New Roman"/>
          <w:b/>
          <w:bCs/>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994459"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994459"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994459">
      <w:pPr>
        <w:rPr>
          <w:rFonts w:ascii="Times New Roman" w:eastAsia="Calibri" w:hAnsi="Times New Roman"/>
        </w:rPr>
      </w:pPr>
      <w:r>
        <w:rPr>
          <w:rFonts w:ascii="Times New Roman" w:eastAsia="Calibri" w:hAnsi="Times New Roman"/>
        </w:rPr>
        <w:br w:type="page"/>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A489" w14:textId="77777777" w:rsidR="00994459" w:rsidRDefault="00994459">
      <w:r>
        <w:separator/>
      </w:r>
    </w:p>
  </w:endnote>
  <w:endnote w:type="continuationSeparator" w:id="0">
    <w:p w14:paraId="356EE2E5" w14:textId="77777777" w:rsidR="00994459" w:rsidRDefault="0099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661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944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554E" w14:textId="77777777" w:rsidR="00994459" w:rsidRDefault="00994459">
      <w:r>
        <w:separator/>
      </w:r>
    </w:p>
  </w:footnote>
  <w:footnote w:type="continuationSeparator" w:id="0">
    <w:p w14:paraId="1F79B50C" w14:textId="77777777" w:rsidR="00994459" w:rsidRDefault="0099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0F0383"/>
    <w:multiLevelType w:val="multilevel"/>
    <w:tmpl w:val="8586FC18"/>
    <w:lvl w:ilvl="0">
      <w:start w:val="1"/>
      <w:numFmt w:val="decimal"/>
      <w:lvlText w:val="%1."/>
      <w:lvlJc w:val="left"/>
      <w:pPr>
        <w:ind w:left="360" w:hanging="360"/>
      </w:pPr>
      <w:rPr>
        <w:rFonts w:hint="default"/>
      </w:rPr>
    </w:lvl>
    <w:lvl w:ilvl="1">
      <w:start w:val="1"/>
      <w:numFmt w:val="decimal"/>
      <w:isLgl/>
      <w:lvlText w:val="%2."/>
      <w:lvlJc w:val="left"/>
      <w:pPr>
        <w:ind w:left="927" w:hanging="360"/>
      </w:pPr>
      <w:rPr>
        <w:rFonts w:ascii="Times New Roman" w:eastAsia="Calibri" w:hAnsi="Times New Roman" w:cs="Times New Roman"/>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 w15:restartNumberingAfterBreak="0">
    <w:nsid w:val="107752F3"/>
    <w:multiLevelType w:val="hybridMultilevel"/>
    <w:tmpl w:val="63841CA0"/>
    <w:lvl w:ilvl="0" w:tplc="75F0FC6C">
      <w:start w:val="1"/>
      <w:numFmt w:val="decimal"/>
      <w:lvlText w:val="%1."/>
      <w:lvlJc w:val="left"/>
      <w:pPr>
        <w:ind w:left="720" w:hanging="360"/>
      </w:pPr>
      <w:rPr>
        <w:rFonts w:hint="default"/>
      </w:rPr>
    </w:lvl>
    <w:lvl w:ilvl="1" w:tplc="5D841D5E" w:tentative="1">
      <w:start w:val="1"/>
      <w:numFmt w:val="lowerLetter"/>
      <w:lvlText w:val="%2."/>
      <w:lvlJc w:val="left"/>
      <w:pPr>
        <w:ind w:left="1440" w:hanging="360"/>
      </w:pPr>
    </w:lvl>
    <w:lvl w:ilvl="2" w:tplc="008C3810" w:tentative="1">
      <w:start w:val="1"/>
      <w:numFmt w:val="lowerRoman"/>
      <w:lvlText w:val="%3."/>
      <w:lvlJc w:val="right"/>
      <w:pPr>
        <w:ind w:left="2160" w:hanging="180"/>
      </w:pPr>
    </w:lvl>
    <w:lvl w:ilvl="3" w:tplc="360AAF72" w:tentative="1">
      <w:start w:val="1"/>
      <w:numFmt w:val="decimal"/>
      <w:lvlText w:val="%4."/>
      <w:lvlJc w:val="left"/>
      <w:pPr>
        <w:ind w:left="2880" w:hanging="360"/>
      </w:pPr>
    </w:lvl>
    <w:lvl w:ilvl="4" w:tplc="4A6C6BE2" w:tentative="1">
      <w:start w:val="1"/>
      <w:numFmt w:val="lowerLetter"/>
      <w:lvlText w:val="%5."/>
      <w:lvlJc w:val="left"/>
      <w:pPr>
        <w:ind w:left="3600" w:hanging="360"/>
      </w:pPr>
    </w:lvl>
    <w:lvl w:ilvl="5" w:tplc="2A50A854" w:tentative="1">
      <w:start w:val="1"/>
      <w:numFmt w:val="lowerRoman"/>
      <w:lvlText w:val="%6."/>
      <w:lvlJc w:val="right"/>
      <w:pPr>
        <w:ind w:left="4320" w:hanging="180"/>
      </w:pPr>
    </w:lvl>
    <w:lvl w:ilvl="6" w:tplc="413C141C" w:tentative="1">
      <w:start w:val="1"/>
      <w:numFmt w:val="decimal"/>
      <w:lvlText w:val="%7."/>
      <w:lvlJc w:val="left"/>
      <w:pPr>
        <w:ind w:left="5040" w:hanging="360"/>
      </w:pPr>
    </w:lvl>
    <w:lvl w:ilvl="7" w:tplc="CFCA010C" w:tentative="1">
      <w:start w:val="1"/>
      <w:numFmt w:val="lowerLetter"/>
      <w:lvlText w:val="%8."/>
      <w:lvlJc w:val="left"/>
      <w:pPr>
        <w:ind w:left="5760" w:hanging="360"/>
      </w:pPr>
    </w:lvl>
    <w:lvl w:ilvl="8" w:tplc="5FE8CCBA" w:tentative="1">
      <w:start w:val="1"/>
      <w:numFmt w:val="lowerRoman"/>
      <w:lvlText w:val="%9."/>
      <w:lvlJc w:val="right"/>
      <w:pPr>
        <w:ind w:left="6480" w:hanging="180"/>
      </w:pPr>
    </w:lvl>
  </w:abstractNum>
  <w:abstractNum w:abstractNumId="3" w15:restartNumberingAfterBreak="0">
    <w:nsid w:val="23390CD8"/>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0B5139"/>
    <w:multiLevelType w:val="hybridMultilevel"/>
    <w:tmpl w:val="ECBA4B7A"/>
    <w:lvl w:ilvl="0" w:tplc="1EB6967C">
      <w:start w:val="1"/>
      <w:numFmt w:val="decimal"/>
      <w:lvlText w:val="%1."/>
      <w:lvlJc w:val="left"/>
      <w:pPr>
        <w:ind w:left="720" w:hanging="360"/>
      </w:pPr>
      <w:rPr>
        <w:rFonts w:cstheme="minorBidi" w:hint="default"/>
      </w:rPr>
    </w:lvl>
    <w:lvl w:ilvl="1" w:tplc="A3F6B6BA" w:tentative="1">
      <w:start w:val="1"/>
      <w:numFmt w:val="lowerLetter"/>
      <w:lvlText w:val="%2."/>
      <w:lvlJc w:val="left"/>
      <w:pPr>
        <w:ind w:left="1440" w:hanging="360"/>
      </w:pPr>
    </w:lvl>
    <w:lvl w:ilvl="2" w:tplc="AD1A5586" w:tentative="1">
      <w:start w:val="1"/>
      <w:numFmt w:val="lowerRoman"/>
      <w:lvlText w:val="%3."/>
      <w:lvlJc w:val="right"/>
      <w:pPr>
        <w:ind w:left="2160" w:hanging="180"/>
      </w:pPr>
    </w:lvl>
    <w:lvl w:ilvl="3" w:tplc="4B52DB8A" w:tentative="1">
      <w:start w:val="1"/>
      <w:numFmt w:val="decimal"/>
      <w:lvlText w:val="%4."/>
      <w:lvlJc w:val="left"/>
      <w:pPr>
        <w:ind w:left="2880" w:hanging="360"/>
      </w:pPr>
    </w:lvl>
    <w:lvl w:ilvl="4" w:tplc="BFF6F5F6" w:tentative="1">
      <w:start w:val="1"/>
      <w:numFmt w:val="lowerLetter"/>
      <w:lvlText w:val="%5."/>
      <w:lvlJc w:val="left"/>
      <w:pPr>
        <w:ind w:left="3600" w:hanging="360"/>
      </w:pPr>
    </w:lvl>
    <w:lvl w:ilvl="5" w:tplc="7D98C4B4" w:tentative="1">
      <w:start w:val="1"/>
      <w:numFmt w:val="lowerRoman"/>
      <w:lvlText w:val="%6."/>
      <w:lvlJc w:val="right"/>
      <w:pPr>
        <w:ind w:left="4320" w:hanging="180"/>
      </w:pPr>
    </w:lvl>
    <w:lvl w:ilvl="6" w:tplc="DFF081E8" w:tentative="1">
      <w:start w:val="1"/>
      <w:numFmt w:val="decimal"/>
      <w:lvlText w:val="%7."/>
      <w:lvlJc w:val="left"/>
      <w:pPr>
        <w:ind w:left="5040" w:hanging="360"/>
      </w:pPr>
    </w:lvl>
    <w:lvl w:ilvl="7" w:tplc="25D02906" w:tentative="1">
      <w:start w:val="1"/>
      <w:numFmt w:val="lowerLetter"/>
      <w:lvlText w:val="%8."/>
      <w:lvlJc w:val="left"/>
      <w:pPr>
        <w:ind w:left="5760" w:hanging="360"/>
      </w:pPr>
    </w:lvl>
    <w:lvl w:ilvl="8" w:tplc="3364C968" w:tentative="1">
      <w:start w:val="1"/>
      <w:numFmt w:val="lowerRoman"/>
      <w:lvlText w:val="%9."/>
      <w:lvlJc w:val="right"/>
      <w:pPr>
        <w:ind w:left="6480" w:hanging="180"/>
      </w:pPr>
    </w:lvl>
  </w:abstractNum>
  <w:num w:numId="1" w16cid:durableId="1080567416">
    <w:abstractNumId w:val="4"/>
  </w:num>
  <w:num w:numId="2" w16cid:durableId="1964530278">
    <w:abstractNumId w:val="2"/>
  </w:num>
  <w:num w:numId="3" w16cid:durableId="1884442053">
    <w:abstractNumId w:val="0"/>
  </w:num>
  <w:num w:numId="4" w16cid:durableId="1274290402">
    <w:abstractNumId w:val="6"/>
  </w:num>
  <w:num w:numId="5" w16cid:durableId="2037660034">
    <w:abstractNumId w:val="3"/>
  </w:num>
  <w:num w:numId="6" w16cid:durableId="1322468127">
    <w:abstractNumId w:val="5"/>
  </w:num>
  <w:num w:numId="7" w16cid:durableId="207245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4406"/>
    <w:rsid w:val="00070E3F"/>
    <w:rsid w:val="00195A73"/>
    <w:rsid w:val="0021016D"/>
    <w:rsid w:val="0025391B"/>
    <w:rsid w:val="0025478F"/>
    <w:rsid w:val="00297558"/>
    <w:rsid w:val="00310BC7"/>
    <w:rsid w:val="00351D48"/>
    <w:rsid w:val="003F7DB3"/>
    <w:rsid w:val="004832CF"/>
    <w:rsid w:val="00492BDF"/>
    <w:rsid w:val="004B10EA"/>
    <w:rsid w:val="004C33B2"/>
    <w:rsid w:val="004D516C"/>
    <w:rsid w:val="0053073B"/>
    <w:rsid w:val="00543508"/>
    <w:rsid w:val="00564A42"/>
    <w:rsid w:val="00564CA6"/>
    <w:rsid w:val="005C7FA1"/>
    <w:rsid w:val="00617AAC"/>
    <w:rsid w:val="00646188"/>
    <w:rsid w:val="00693F05"/>
    <w:rsid w:val="006D3451"/>
    <w:rsid w:val="0074092B"/>
    <w:rsid w:val="007A598D"/>
    <w:rsid w:val="007B4DDB"/>
    <w:rsid w:val="008257F8"/>
    <w:rsid w:val="00843A74"/>
    <w:rsid w:val="009139A1"/>
    <w:rsid w:val="00994459"/>
    <w:rsid w:val="00996740"/>
    <w:rsid w:val="009E353D"/>
    <w:rsid w:val="00A52B04"/>
    <w:rsid w:val="00AA021D"/>
    <w:rsid w:val="00B00D0E"/>
    <w:rsid w:val="00B36CD4"/>
    <w:rsid w:val="00BB16A4"/>
    <w:rsid w:val="00C9477C"/>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7A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4242</Words>
  <Characters>2419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2024-06-01T14:39:00Z</dcterms:created>
  <dcterms:modified xsi:type="dcterms:W3CDTF">2025-08-21T08:44:00Z</dcterms:modified>
</cp:coreProperties>
</file>