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05B" w14:textId="14BD32A9" w:rsidR="00120FD1" w:rsidRDefault="00533507" w:rsidP="00A830D2">
      <w:pPr>
        <w:spacing w:before="120" w:after="0" w:line="240" w:lineRule="auto"/>
        <w:jc w:val="center"/>
        <w:rPr>
          <w:rFonts w:ascii="Times New Roman" w:hAnsi="Times New Roman" w:cs="Times New Roman"/>
          <w:b/>
          <w:bCs/>
          <w:sz w:val="28"/>
          <w:szCs w:val="28"/>
        </w:rPr>
      </w:pPr>
      <w:r w:rsidRPr="00533507">
        <w:rPr>
          <w:rFonts w:ascii="Times New Roman" w:hAnsi="Times New Roman" w:cs="Times New Roman"/>
          <w:b/>
          <w:bCs/>
          <w:sz w:val="28"/>
          <w:szCs w:val="28"/>
        </w:rPr>
        <w:t>Informatīvais ziņojums</w:t>
      </w:r>
    </w:p>
    <w:p w14:paraId="33C94E11" w14:textId="767140EE" w:rsidR="00A830D2" w:rsidRPr="00533507" w:rsidRDefault="00A830D2" w:rsidP="00CF2C5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par Jūras ielas 4, Carnikavā ēkas turpmāko izmantošanu</w:t>
      </w:r>
    </w:p>
    <w:p w14:paraId="657A7D17" w14:textId="77777777" w:rsidR="00533507" w:rsidRDefault="00533507" w:rsidP="00A830D2">
      <w:pPr>
        <w:spacing w:before="120" w:after="0" w:line="240" w:lineRule="auto"/>
        <w:jc w:val="both"/>
        <w:rPr>
          <w:rFonts w:ascii="Times New Roman" w:hAnsi="Times New Roman" w:cs="Times New Roman"/>
          <w:sz w:val="24"/>
          <w:szCs w:val="24"/>
        </w:rPr>
      </w:pPr>
    </w:p>
    <w:p w14:paraId="2956CAF0" w14:textId="4665EB72" w:rsidR="00C16C67" w:rsidRDefault="00FB45B3" w:rsidP="00A830D2">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 </w:t>
      </w:r>
      <w:r w:rsidR="006D7425">
        <w:rPr>
          <w:rFonts w:ascii="Times New Roman" w:hAnsi="Times New Roman" w:cs="Times New Roman"/>
          <w:sz w:val="24"/>
          <w:szCs w:val="24"/>
        </w:rPr>
        <w:t xml:space="preserve">Ādažu novada pašvaldības </w:t>
      </w:r>
      <w:r>
        <w:rPr>
          <w:rFonts w:ascii="Times New Roman" w:hAnsi="Times New Roman" w:cs="Times New Roman"/>
          <w:sz w:val="24"/>
          <w:szCs w:val="24"/>
        </w:rPr>
        <w:t>domes</w:t>
      </w:r>
      <w:r w:rsidR="006D7425">
        <w:rPr>
          <w:rFonts w:ascii="Times New Roman" w:hAnsi="Times New Roman" w:cs="Times New Roman"/>
          <w:sz w:val="24"/>
          <w:szCs w:val="24"/>
        </w:rPr>
        <w:t xml:space="preserve"> 27.02.2025. lēmum</w:t>
      </w:r>
      <w:r>
        <w:rPr>
          <w:rFonts w:ascii="Times New Roman" w:hAnsi="Times New Roman" w:cs="Times New Roman"/>
          <w:sz w:val="24"/>
          <w:szCs w:val="24"/>
        </w:rPr>
        <w:t>u</w:t>
      </w:r>
      <w:r w:rsidR="006D7425">
        <w:rPr>
          <w:rFonts w:ascii="Times New Roman" w:hAnsi="Times New Roman" w:cs="Times New Roman"/>
          <w:sz w:val="24"/>
          <w:szCs w:val="24"/>
        </w:rPr>
        <w:t xml:space="preserve"> Nr. 46 “</w:t>
      </w:r>
      <w:r w:rsidR="006D7425" w:rsidRPr="006D7425">
        <w:rPr>
          <w:rFonts w:ascii="Times New Roman" w:hAnsi="Times New Roman" w:cs="Times New Roman"/>
          <w:sz w:val="24"/>
          <w:szCs w:val="24"/>
        </w:rPr>
        <w:t>Par kolektīvā iesnieguma izskatīšanu</w:t>
      </w:r>
      <w:r w:rsidR="006D7425">
        <w:rPr>
          <w:rFonts w:ascii="Times New Roman" w:hAnsi="Times New Roman" w:cs="Times New Roman"/>
          <w:sz w:val="24"/>
          <w:szCs w:val="24"/>
        </w:rPr>
        <w:t xml:space="preserve">” tika nolemts pieņemt  kolektīvo iesniegumu par ēkas Jūras ielā 4, </w:t>
      </w:r>
      <w:r w:rsidR="006D7425" w:rsidRPr="00D065F6">
        <w:rPr>
          <w:rFonts w:ascii="Times New Roman" w:hAnsi="Times New Roman" w:cs="Times New Roman"/>
          <w:sz w:val="24"/>
          <w:szCs w:val="24"/>
        </w:rPr>
        <w:t>Carnikavā</w:t>
      </w:r>
      <w:r w:rsidR="00823A33" w:rsidRPr="00F10BA7">
        <w:rPr>
          <w:rFonts w:ascii="Times New Roman" w:hAnsi="Times New Roman" w:cs="Times New Roman"/>
          <w:sz w:val="24"/>
          <w:szCs w:val="24"/>
        </w:rPr>
        <w:t>,</w:t>
      </w:r>
      <w:r w:rsidR="00823A33" w:rsidRPr="00D065F6">
        <w:rPr>
          <w:rFonts w:ascii="Times New Roman" w:hAnsi="Times New Roman" w:cs="Times New Roman"/>
          <w:sz w:val="24"/>
          <w:szCs w:val="24"/>
        </w:rPr>
        <w:t xml:space="preserve"> Carnikavas pag., Ādažu nov.</w:t>
      </w:r>
      <w:r w:rsidR="00021908" w:rsidRPr="00D065F6">
        <w:rPr>
          <w:rFonts w:ascii="Times New Roman" w:hAnsi="Times New Roman" w:cs="Times New Roman"/>
          <w:sz w:val="24"/>
          <w:szCs w:val="24"/>
        </w:rPr>
        <w:t xml:space="preserve"> </w:t>
      </w:r>
      <w:r w:rsidR="00021908">
        <w:rPr>
          <w:rFonts w:ascii="Times New Roman" w:hAnsi="Times New Roman" w:cs="Times New Roman"/>
          <w:sz w:val="24"/>
          <w:szCs w:val="24"/>
        </w:rPr>
        <w:t>(turpmāk – Ēka)</w:t>
      </w:r>
      <w:r w:rsidR="006D7425">
        <w:rPr>
          <w:rFonts w:ascii="Times New Roman" w:hAnsi="Times New Roman" w:cs="Times New Roman"/>
          <w:sz w:val="24"/>
          <w:szCs w:val="24"/>
        </w:rPr>
        <w:t xml:space="preserve"> saglabāšanu</w:t>
      </w:r>
      <w:r>
        <w:rPr>
          <w:rFonts w:ascii="Times New Roman" w:hAnsi="Times New Roman" w:cs="Times New Roman"/>
          <w:sz w:val="24"/>
          <w:szCs w:val="24"/>
        </w:rPr>
        <w:t>,</w:t>
      </w:r>
      <w:r w:rsidR="006D7425">
        <w:rPr>
          <w:rFonts w:ascii="Times New Roman" w:hAnsi="Times New Roman" w:cs="Times New Roman"/>
          <w:sz w:val="24"/>
          <w:szCs w:val="24"/>
        </w:rPr>
        <w:t xml:space="preserve"> uzdo</w:t>
      </w:r>
      <w:r>
        <w:rPr>
          <w:rFonts w:ascii="Times New Roman" w:hAnsi="Times New Roman" w:cs="Times New Roman"/>
          <w:sz w:val="24"/>
          <w:szCs w:val="24"/>
        </w:rPr>
        <w:t>do</w:t>
      </w:r>
      <w:r w:rsidR="006D7425">
        <w:rPr>
          <w:rFonts w:ascii="Times New Roman" w:hAnsi="Times New Roman" w:cs="Times New Roman"/>
          <w:sz w:val="24"/>
          <w:szCs w:val="24"/>
        </w:rPr>
        <w:t xml:space="preserve">t </w:t>
      </w:r>
      <w:r w:rsidR="006D7425" w:rsidRPr="006D7425">
        <w:rPr>
          <w:rFonts w:ascii="Times New Roman" w:hAnsi="Times New Roman" w:cs="Times New Roman"/>
          <w:sz w:val="24"/>
          <w:szCs w:val="24"/>
        </w:rPr>
        <w:t xml:space="preserve">Centrālās pārvaldes </w:t>
      </w:r>
      <w:r w:rsidR="006D7425">
        <w:rPr>
          <w:rFonts w:ascii="Times New Roman" w:hAnsi="Times New Roman" w:cs="Times New Roman"/>
          <w:sz w:val="24"/>
          <w:szCs w:val="24"/>
        </w:rPr>
        <w:t xml:space="preserve">Attīstības un projektu nodaļai </w:t>
      </w:r>
      <w:r>
        <w:rPr>
          <w:rFonts w:ascii="Times New Roman" w:hAnsi="Times New Roman" w:cs="Times New Roman"/>
          <w:sz w:val="24"/>
          <w:szCs w:val="24"/>
        </w:rPr>
        <w:t xml:space="preserve">organizēt </w:t>
      </w:r>
      <w:r w:rsidR="006D7425">
        <w:rPr>
          <w:rFonts w:ascii="Times New Roman" w:hAnsi="Times New Roman" w:cs="Times New Roman"/>
          <w:sz w:val="24"/>
          <w:szCs w:val="24"/>
        </w:rPr>
        <w:t xml:space="preserve">iesnieguma tālāku virzību. </w:t>
      </w:r>
    </w:p>
    <w:p w14:paraId="296724F3" w14:textId="1049C7BE" w:rsidR="003D6987" w:rsidRDefault="00FB45B3" w:rsidP="00CF2C5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3D6987" w:rsidRPr="00CF2C59">
        <w:rPr>
          <w:rFonts w:ascii="Times New Roman" w:hAnsi="Times New Roman" w:cs="Times New Roman"/>
          <w:sz w:val="24"/>
          <w:szCs w:val="24"/>
        </w:rPr>
        <w:t xml:space="preserve">omes sēdē </w:t>
      </w:r>
      <w:r w:rsidR="003D6987" w:rsidRPr="0058168B">
        <w:rPr>
          <w:rFonts w:ascii="Times New Roman" w:hAnsi="Times New Roman" w:cs="Times New Roman"/>
          <w:sz w:val="24"/>
          <w:szCs w:val="24"/>
        </w:rPr>
        <w:t>kolektīvā iesnieguma pārstāvji</w:t>
      </w:r>
      <w:r w:rsidR="003D6987" w:rsidRPr="000202B3">
        <w:rPr>
          <w:rFonts w:ascii="Times New Roman" w:hAnsi="Times New Roman" w:cs="Times New Roman"/>
          <w:b/>
          <w:bCs/>
          <w:sz w:val="24"/>
          <w:szCs w:val="24"/>
        </w:rPr>
        <w:t xml:space="preserve"> lūdza saglabāt Ēku, paredzot tās pieejamību kopienas </w:t>
      </w:r>
      <w:proofErr w:type="spellStart"/>
      <w:r w:rsidR="003D6987" w:rsidRPr="000202B3">
        <w:rPr>
          <w:rFonts w:ascii="Times New Roman" w:hAnsi="Times New Roman" w:cs="Times New Roman"/>
          <w:b/>
          <w:bCs/>
          <w:sz w:val="24"/>
          <w:szCs w:val="24"/>
        </w:rPr>
        <w:t>koprades</w:t>
      </w:r>
      <w:proofErr w:type="spellEnd"/>
      <w:r w:rsidR="003D6987" w:rsidRPr="000202B3">
        <w:rPr>
          <w:rFonts w:ascii="Times New Roman" w:hAnsi="Times New Roman" w:cs="Times New Roman"/>
          <w:b/>
          <w:bCs/>
          <w:sz w:val="24"/>
          <w:szCs w:val="24"/>
        </w:rPr>
        <w:t xml:space="preserve"> aktivitātēm </w:t>
      </w:r>
      <w:r w:rsidR="003D6987" w:rsidRPr="0058168B">
        <w:rPr>
          <w:rFonts w:ascii="Times New Roman" w:hAnsi="Times New Roman" w:cs="Times New Roman"/>
          <w:sz w:val="24"/>
          <w:szCs w:val="24"/>
        </w:rPr>
        <w:t xml:space="preserve">24 stundas diennaktī un 7 dienas nedēļā, </w:t>
      </w:r>
      <w:r w:rsidR="00B32413" w:rsidRPr="0058168B">
        <w:rPr>
          <w:rFonts w:ascii="Times New Roman" w:hAnsi="Times New Roman" w:cs="Times New Roman"/>
          <w:sz w:val="24"/>
          <w:szCs w:val="24"/>
        </w:rPr>
        <w:t xml:space="preserve">uzņemoties </w:t>
      </w:r>
      <w:r w:rsidR="003D6987" w:rsidRPr="0058168B">
        <w:rPr>
          <w:rFonts w:ascii="Times New Roman" w:hAnsi="Times New Roman" w:cs="Times New Roman"/>
          <w:sz w:val="24"/>
          <w:szCs w:val="24"/>
        </w:rPr>
        <w:t>tās uzturēšanu</w:t>
      </w:r>
      <w:r w:rsidR="00B32413" w:rsidRPr="005A18AB">
        <w:rPr>
          <w:rFonts w:ascii="Times New Roman" w:hAnsi="Times New Roman" w:cs="Times New Roman"/>
          <w:sz w:val="24"/>
          <w:szCs w:val="24"/>
        </w:rPr>
        <w:t xml:space="preserve">, kā arī </w:t>
      </w:r>
      <w:r w:rsidR="00802E41" w:rsidRPr="005A18AB">
        <w:rPr>
          <w:rFonts w:ascii="Times New Roman" w:hAnsi="Times New Roman" w:cs="Times New Roman"/>
          <w:sz w:val="24"/>
          <w:szCs w:val="24"/>
        </w:rPr>
        <w:t xml:space="preserve">norādīja, ka </w:t>
      </w:r>
      <w:r w:rsidR="00802E41" w:rsidRPr="0058168B">
        <w:rPr>
          <w:rFonts w:ascii="Times New Roman" w:hAnsi="Times New Roman" w:cs="Times New Roman"/>
          <w:b/>
          <w:bCs/>
          <w:sz w:val="24"/>
          <w:szCs w:val="24"/>
        </w:rPr>
        <w:t>Ēku paredzēts izmantot</w:t>
      </w:r>
      <w:r w:rsidR="00802E41" w:rsidRPr="00CF2C59">
        <w:rPr>
          <w:rFonts w:ascii="Times New Roman" w:hAnsi="Times New Roman" w:cs="Times New Roman"/>
          <w:sz w:val="24"/>
          <w:szCs w:val="24"/>
        </w:rPr>
        <w:t xml:space="preserve"> </w:t>
      </w:r>
      <w:r w:rsidR="00802E41" w:rsidRPr="00192A8C">
        <w:rPr>
          <w:rFonts w:ascii="Times New Roman" w:hAnsi="Times New Roman" w:cs="Times New Roman"/>
          <w:b/>
          <w:bCs/>
          <w:sz w:val="24"/>
          <w:szCs w:val="24"/>
        </w:rPr>
        <w:t xml:space="preserve">uz laiku </w:t>
      </w:r>
      <w:r w:rsidR="00802E41" w:rsidRPr="0058168B">
        <w:rPr>
          <w:rFonts w:ascii="Times New Roman" w:hAnsi="Times New Roman" w:cs="Times New Roman"/>
          <w:sz w:val="24"/>
          <w:szCs w:val="24"/>
        </w:rPr>
        <w:t xml:space="preserve">līdz jaunā </w:t>
      </w:r>
      <w:r w:rsidR="00B32413" w:rsidRPr="0058168B">
        <w:rPr>
          <w:rFonts w:ascii="Times New Roman" w:hAnsi="Times New Roman" w:cs="Times New Roman"/>
          <w:sz w:val="24"/>
          <w:szCs w:val="24"/>
        </w:rPr>
        <w:t>Carnikavas vidus</w:t>
      </w:r>
      <w:r w:rsidR="00802E41" w:rsidRPr="0058168B">
        <w:rPr>
          <w:rFonts w:ascii="Times New Roman" w:hAnsi="Times New Roman" w:cs="Times New Roman"/>
          <w:sz w:val="24"/>
          <w:szCs w:val="24"/>
        </w:rPr>
        <w:t>skolas korpusa būvniecībai</w:t>
      </w:r>
      <w:r w:rsidR="00B32413" w:rsidRPr="0058168B">
        <w:rPr>
          <w:rFonts w:ascii="Times New Roman" w:hAnsi="Times New Roman" w:cs="Times New Roman"/>
          <w:sz w:val="24"/>
          <w:szCs w:val="24"/>
        </w:rPr>
        <w:t>,</w:t>
      </w:r>
      <w:r w:rsidR="00802E41" w:rsidRPr="0058168B">
        <w:rPr>
          <w:rFonts w:ascii="Times New Roman" w:hAnsi="Times New Roman" w:cs="Times New Roman"/>
          <w:sz w:val="24"/>
          <w:szCs w:val="24"/>
        </w:rPr>
        <w:t xml:space="preserve"> vai līdz </w:t>
      </w:r>
      <w:r w:rsidR="00B32413" w:rsidRPr="0058168B">
        <w:rPr>
          <w:rFonts w:ascii="Times New Roman" w:hAnsi="Times New Roman" w:cs="Times New Roman"/>
          <w:sz w:val="24"/>
          <w:szCs w:val="24"/>
        </w:rPr>
        <w:t xml:space="preserve">citu telpu </w:t>
      </w:r>
      <w:r w:rsidR="00802E41" w:rsidRPr="0058168B">
        <w:rPr>
          <w:rFonts w:ascii="Times New Roman" w:hAnsi="Times New Roman" w:cs="Times New Roman"/>
          <w:sz w:val="24"/>
          <w:szCs w:val="24"/>
        </w:rPr>
        <w:t>ierādī</w:t>
      </w:r>
      <w:r w:rsidR="00B32413" w:rsidRPr="0058168B">
        <w:rPr>
          <w:rFonts w:ascii="Times New Roman" w:hAnsi="Times New Roman" w:cs="Times New Roman"/>
          <w:sz w:val="24"/>
          <w:szCs w:val="24"/>
        </w:rPr>
        <w:t>šanai</w:t>
      </w:r>
      <w:r w:rsidR="00802E41" w:rsidRPr="0058168B">
        <w:rPr>
          <w:rFonts w:ascii="Times New Roman" w:hAnsi="Times New Roman" w:cs="Times New Roman"/>
          <w:sz w:val="24"/>
          <w:szCs w:val="24"/>
        </w:rPr>
        <w:t xml:space="preserve"> </w:t>
      </w:r>
      <w:r w:rsidR="00B32413" w:rsidRPr="0058168B">
        <w:rPr>
          <w:rFonts w:ascii="Times New Roman" w:hAnsi="Times New Roman" w:cs="Times New Roman"/>
          <w:sz w:val="24"/>
          <w:szCs w:val="24"/>
        </w:rPr>
        <w:t>pašvaldības īpašumā</w:t>
      </w:r>
      <w:r w:rsidR="00802E41" w:rsidRPr="00CF2C59">
        <w:rPr>
          <w:rFonts w:ascii="Times New Roman" w:hAnsi="Times New Roman" w:cs="Times New Roman"/>
          <w:sz w:val="24"/>
          <w:szCs w:val="24"/>
        </w:rPr>
        <w:t xml:space="preserve"> “Blusu krogs”. Ēkā paredzēts īstenot gan bezmaksas projektus – piem., maiņa (grāmatas, inventārs), radošās darbnīcas</w:t>
      </w:r>
      <w:r>
        <w:rPr>
          <w:rFonts w:ascii="Times New Roman" w:hAnsi="Times New Roman" w:cs="Times New Roman"/>
          <w:sz w:val="24"/>
          <w:szCs w:val="24"/>
        </w:rPr>
        <w:t>,</w:t>
      </w:r>
      <w:r w:rsidR="00802E41" w:rsidRPr="00CF2C59">
        <w:rPr>
          <w:rFonts w:ascii="Times New Roman" w:hAnsi="Times New Roman" w:cs="Times New Roman"/>
          <w:sz w:val="24"/>
          <w:szCs w:val="24"/>
        </w:rPr>
        <w:t xml:space="preserve"> u.tml., gan sniegt maksas pakalpojumus.</w:t>
      </w:r>
    </w:p>
    <w:p w14:paraId="22E29363" w14:textId="19DE9AF7" w:rsidR="00192A8C" w:rsidRPr="00CF2C59" w:rsidRDefault="00192A8C" w:rsidP="00CF2C5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Informācijai:</w:t>
      </w:r>
    </w:p>
    <w:p w14:paraId="48F31529" w14:textId="0B52D22C" w:rsidR="00D578FE" w:rsidRPr="00192A8C" w:rsidRDefault="00D578FE" w:rsidP="0058168B">
      <w:pPr>
        <w:pStyle w:val="ListParagraph"/>
        <w:numPr>
          <w:ilvl w:val="0"/>
          <w:numId w:val="17"/>
        </w:numPr>
        <w:spacing w:before="120" w:after="0" w:line="240" w:lineRule="auto"/>
        <w:ind w:left="426" w:hanging="284"/>
        <w:contextualSpacing w:val="0"/>
        <w:jc w:val="both"/>
        <w:rPr>
          <w:rFonts w:ascii="Times New Roman" w:hAnsi="Times New Roman" w:cs="Times New Roman"/>
          <w:sz w:val="24"/>
          <w:szCs w:val="24"/>
        </w:rPr>
      </w:pPr>
      <w:bookmarkStart w:id="0" w:name="_Hlk192506229"/>
      <w:r w:rsidRPr="00192A8C">
        <w:rPr>
          <w:rFonts w:ascii="Times New Roman" w:hAnsi="Times New Roman" w:cs="Times New Roman"/>
          <w:sz w:val="24"/>
          <w:szCs w:val="24"/>
        </w:rPr>
        <w:t xml:space="preserve">Ādažu novada Attīstības programmā </w:t>
      </w:r>
      <w:r w:rsidR="005A18AB">
        <w:rPr>
          <w:rFonts w:ascii="Times New Roman" w:hAnsi="Times New Roman" w:cs="Times New Roman"/>
          <w:sz w:val="24"/>
          <w:szCs w:val="24"/>
        </w:rPr>
        <w:t xml:space="preserve">ir iekļauts </w:t>
      </w:r>
      <w:r w:rsidRPr="00192A8C">
        <w:rPr>
          <w:rFonts w:ascii="Times New Roman" w:hAnsi="Times New Roman" w:cs="Times New Roman"/>
          <w:sz w:val="24"/>
          <w:szCs w:val="24"/>
        </w:rPr>
        <w:t xml:space="preserve">pasākums “C5.1.2.3. Ādažu novada Mākslu skolas Carnikavas mācību punkta korpusa izbūve Nākotnes ielā 1, Carnikavā”, </w:t>
      </w:r>
      <w:r w:rsidR="00B32413">
        <w:rPr>
          <w:rFonts w:ascii="Times New Roman" w:hAnsi="Times New Roman" w:cs="Times New Roman"/>
          <w:sz w:val="24"/>
          <w:szCs w:val="24"/>
        </w:rPr>
        <w:t>t.sk. esošās Ēkas vietā (to nojaucot)</w:t>
      </w:r>
      <w:r w:rsidRPr="00192A8C">
        <w:rPr>
          <w:rFonts w:ascii="Times New Roman" w:hAnsi="Times New Roman" w:cs="Times New Roman"/>
          <w:sz w:val="24"/>
          <w:szCs w:val="24"/>
        </w:rPr>
        <w:t>.</w:t>
      </w:r>
    </w:p>
    <w:p w14:paraId="307F904D" w14:textId="4AA76086" w:rsidR="00D578FE" w:rsidRDefault="00B32413" w:rsidP="0058168B">
      <w:pPr>
        <w:pStyle w:val="ListParagraph"/>
        <w:numPr>
          <w:ilvl w:val="0"/>
          <w:numId w:val="17"/>
        </w:numPr>
        <w:spacing w:before="120" w:after="0" w:line="240" w:lineRule="auto"/>
        <w:ind w:left="426" w:hanging="284"/>
        <w:contextualSpacing w:val="0"/>
        <w:jc w:val="both"/>
        <w:rPr>
          <w:rFonts w:ascii="Times New Roman" w:hAnsi="Times New Roman" w:cs="Times New Roman"/>
          <w:sz w:val="24"/>
          <w:szCs w:val="24"/>
        </w:rPr>
      </w:pPr>
      <w:r>
        <w:rPr>
          <w:rFonts w:ascii="Times New Roman" w:hAnsi="Times New Roman" w:cs="Times New Roman"/>
          <w:sz w:val="24"/>
          <w:szCs w:val="24"/>
        </w:rPr>
        <w:t>Ēkas</w:t>
      </w:r>
      <w:r w:rsidR="00D578FE" w:rsidRPr="00192A8C">
        <w:rPr>
          <w:rFonts w:ascii="Times New Roman" w:hAnsi="Times New Roman" w:cs="Times New Roman"/>
          <w:sz w:val="24"/>
          <w:szCs w:val="24"/>
        </w:rPr>
        <w:t xml:space="preserve"> </w:t>
      </w:r>
      <w:r>
        <w:rPr>
          <w:rFonts w:ascii="Times New Roman" w:hAnsi="Times New Roman" w:cs="Times New Roman"/>
          <w:sz w:val="24"/>
          <w:szCs w:val="24"/>
        </w:rPr>
        <w:t>nojaukšanas iecere</w:t>
      </w:r>
      <w:r w:rsidR="00D578FE" w:rsidRPr="00192A8C">
        <w:rPr>
          <w:rFonts w:ascii="Times New Roman" w:hAnsi="Times New Roman" w:cs="Times New Roman"/>
          <w:sz w:val="24"/>
          <w:szCs w:val="24"/>
        </w:rPr>
        <w:t xml:space="preserve"> atbilst Carnikavas novada domes 25.01.2017. lēmumam “Par Carnikavas novada izglītības iestāžu investīciju projektu” (protokols Nr. 3, 1.§), un 24.03.2021. lēmumam “Par Carnikavas Mūzikas un mākslas skolas būvniecību” (protokols Nr. 5, 15.§), </w:t>
      </w:r>
      <w:r>
        <w:rPr>
          <w:rFonts w:ascii="Times New Roman" w:hAnsi="Times New Roman" w:cs="Times New Roman"/>
          <w:sz w:val="24"/>
          <w:szCs w:val="24"/>
        </w:rPr>
        <w:t>un</w:t>
      </w:r>
      <w:r w:rsidR="00D578FE" w:rsidRPr="00192A8C">
        <w:rPr>
          <w:rFonts w:ascii="Times New Roman" w:hAnsi="Times New Roman" w:cs="Times New Roman"/>
          <w:sz w:val="24"/>
          <w:szCs w:val="24"/>
        </w:rPr>
        <w:t xml:space="preserve"> nojaukšana bija </w:t>
      </w:r>
      <w:r>
        <w:rPr>
          <w:rFonts w:ascii="Times New Roman" w:hAnsi="Times New Roman" w:cs="Times New Roman"/>
          <w:sz w:val="24"/>
          <w:szCs w:val="24"/>
        </w:rPr>
        <w:t>iekļauta</w:t>
      </w:r>
      <w:r w:rsidR="00D578FE" w:rsidRPr="00192A8C">
        <w:rPr>
          <w:rFonts w:ascii="Times New Roman" w:hAnsi="Times New Roman" w:cs="Times New Roman"/>
          <w:sz w:val="24"/>
          <w:szCs w:val="24"/>
        </w:rPr>
        <w:t xml:space="preserve"> būvprojekt</w:t>
      </w:r>
      <w:r>
        <w:rPr>
          <w:rFonts w:ascii="Times New Roman" w:hAnsi="Times New Roman" w:cs="Times New Roman"/>
          <w:sz w:val="24"/>
          <w:szCs w:val="24"/>
        </w:rPr>
        <w:t>ā</w:t>
      </w:r>
      <w:r w:rsidR="00D578FE" w:rsidRPr="00192A8C">
        <w:rPr>
          <w:rFonts w:ascii="Times New Roman" w:hAnsi="Times New Roman" w:cs="Times New Roman"/>
          <w:sz w:val="24"/>
          <w:szCs w:val="24"/>
        </w:rPr>
        <w:t xml:space="preserve"> minimālā sastāvā “Carnikavas novada izglītības iestāžu mācību vides uzlabošanai nepieciešamo pārbūves būvprojektu izstrāde un autoruzraudzība (Skolas pārbūve, mūzikas mākslas skola, bibliotēka, Nākotnes iela 1, Jūras iela 4, Carnikava, Carnikavas novads, LV-2163)”. Ēkas vietā bija plānots izbūvēt korpusu mākslas un mūzikas skola</w:t>
      </w:r>
      <w:r>
        <w:rPr>
          <w:rFonts w:ascii="Times New Roman" w:hAnsi="Times New Roman" w:cs="Times New Roman"/>
          <w:sz w:val="24"/>
          <w:szCs w:val="24"/>
        </w:rPr>
        <w:t>i</w:t>
      </w:r>
      <w:r w:rsidR="00D578FE" w:rsidRPr="00192A8C">
        <w:rPr>
          <w:rFonts w:ascii="Times New Roman" w:hAnsi="Times New Roman" w:cs="Times New Roman"/>
          <w:sz w:val="24"/>
          <w:szCs w:val="24"/>
        </w:rPr>
        <w:t xml:space="preserve">, tomēr Izglītības un zinātnes ministrija neatbalstīja </w:t>
      </w:r>
      <w:r>
        <w:rPr>
          <w:rFonts w:ascii="Times New Roman" w:hAnsi="Times New Roman" w:cs="Times New Roman"/>
          <w:sz w:val="24"/>
          <w:szCs w:val="24"/>
        </w:rPr>
        <w:t>tā</w:t>
      </w:r>
      <w:r w:rsidR="00D578FE" w:rsidRPr="00192A8C">
        <w:rPr>
          <w:rFonts w:ascii="Times New Roman" w:hAnsi="Times New Roman" w:cs="Times New Roman"/>
          <w:sz w:val="24"/>
          <w:szCs w:val="24"/>
        </w:rPr>
        <w:t xml:space="preserve"> izbūvi, un </w:t>
      </w:r>
      <w:r>
        <w:rPr>
          <w:rFonts w:ascii="Times New Roman" w:hAnsi="Times New Roman" w:cs="Times New Roman"/>
          <w:sz w:val="24"/>
          <w:szCs w:val="24"/>
        </w:rPr>
        <w:t>Ē</w:t>
      </w:r>
      <w:r w:rsidRPr="00192A8C">
        <w:rPr>
          <w:rFonts w:ascii="Times New Roman" w:hAnsi="Times New Roman" w:cs="Times New Roman"/>
          <w:sz w:val="24"/>
          <w:szCs w:val="24"/>
        </w:rPr>
        <w:t xml:space="preserve">ka </w:t>
      </w:r>
      <w:r w:rsidR="00D578FE" w:rsidRPr="00192A8C">
        <w:rPr>
          <w:rFonts w:ascii="Times New Roman" w:hAnsi="Times New Roman" w:cs="Times New Roman"/>
          <w:sz w:val="24"/>
          <w:szCs w:val="24"/>
        </w:rPr>
        <w:t>palika nenojaukta.</w:t>
      </w:r>
    </w:p>
    <w:p w14:paraId="66F8E381" w14:textId="734C7792" w:rsidR="00D578FE" w:rsidRDefault="00192A8C" w:rsidP="0058168B">
      <w:pPr>
        <w:pStyle w:val="ListParagraph"/>
        <w:numPr>
          <w:ilvl w:val="0"/>
          <w:numId w:val="17"/>
        </w:numPr>
        <w:spacing w:before="120" w:after="0" w:line="240" w:lineRule="auto"/>
        <w:ind w:left="426"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Pašvaldība 04.04.2025. </w:t>
      </w:r>
      <w:r w:rsidRPr="00192A8C">
        <w:rPr>
          <w:rFonts w:ascii="Times New Roman" w:hAnsi="Times New Roman" w:cs="Times New Roman"/>
          <w:sz w:val="24"/>
          <w:szCs w:val="24"/>
        </w:rPr>
        <w:t>iesniedza projekta “Blusu kroga atjaunošanas projekta 1. kārta” (turpmāk – Projekts) pieteikumu rīcībā EJZAF M4.1. “Zvejas vai jūras kultūras mantojuma saglabāšanas un izmantošanas iniciatīvas”. Projekta ietvaros plānots īstenot “Blusu kroga</w:t>
      </w:r>
      <w:r w:rsidR="00B32413">
        <w:rPr>
          <w:rFonts w:ascii="Times New Roman" w:hAnsi="Times New Roman" w:cs="Times New Roman"/>
          <w:sz w:val="24"/>
          <w:szCs w:val="24"/>
        </w:rPr>
        <w:t>”</w:t>
      </w:r>
      <w:r w:rsidRPr="00192A8C">
        <w:rPr>
          <w:rFonts w:ascii="Times New Roman" w:hAnsi="Times New Roman" w:cs="Times New Roman"/>
          <w:sz w:val="24"/>
          <w:szCs w:val="24"/>
        </w:rPr>
        <w:t xml:space="preserve"> atjaunošanas 1. kārtu – pārbūvēt saimniecības ēku un paredzēt tajā universālu telpu plānojumu ar iespēju telpas lietot daudzfunkcionāli zvejas un cita kultūrvēsturiskā mantojuma saglabāšanai. Projekta pieteikums tiek vērtēts Lauku atbalsta dienestā</w:t>
      </w:r>
      <w:r>
        <w:rPr>
          <w:rFonts w:ascii="Times New Roman" w:hAnsi="Times New Roman" w:cs="Times New Roman"/>
          <w:sz w:val="24"/>
          <w:szCs w:val="24"/>
        </w:rPr>
        <w:t xml:space="preserve"> (turpmāk – LAD). </w:t>
      </w:r>
      <w:r w:rsidRPr="00192A8C">
        <w:rPr>
          <w:rFonts w:ascii="Times New Roman" w:hAnsi="Times New Roman" w:cs="Times New Roman"/>
          <w:sz w:val="24"/>
          <w:szCs w:val="24"/>
        </w:rPr>
        <w:t xml:space="preserve">12.05.2025. pašvaldība noslēdza līgumu ar SIA “BALTS UN MELNS” par būvprojekta “Kultūras un amatniecības centra īpašuma “Blusas” saimniecības ēkas pārbūve” izstrādi un autoruzraudzību. </w:t>
      </w:r>
      <w:r>
        <w:rPr>
          <w:rFonts w:ascii="Times New Roman" w:hAnsi="Times New Roman" w:cs="Times New Roman"/>
          <w:sz w:val="24"/>
          <w:szCs w:val="24"/>
        </w:rPr>
        <w:t>Projekta īstenošana plānota 2 gadu laikā pēc LAD lēmuma pieņemšanas.</w:t>
      </w:r>
    </w:p>
    <w:p w14:paraId="4486C3BF" w14:textId="5C8C39D5" w:rsidR="008A1B99" w:rsidRPr="0058168B" w:rsidRDefault="008A1B99" w:rsidP="0058168B">
      <w:pPr>
        <w:pStyle w:val="ListParagraph"/>
        <w:numPr>
          <w:ilvl w:val="0"/>
          <w:numId w:val="17"/>
        </w:numPr>
        <w:spacing w:before="120" w:after="0" w:line="240" w:lineRule="auto"/>
        <w:ind w:left="426"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Carnikavas vidusskolas (turpmāk – CVS) skolēnu skaits ar katru gadu palielinās. 2024./2025. </w:t>
      </w:r>
      <w:proofErr w:type="spellStart"/>
      <w:r>
        <w:rPr>
          <w:rFonts w:ascii="Times New Roman" w:hAnsi="Times New Roman" w:cs="Times New Roman"/>
          <w:sz w:val="24"/>
          <w:szCs w:val="24"/>
        </w:rPr>
        <w:t>m.g</w:t>
      </w:r>
      <w:proofErr w:type="spellEnd"/>
      <w:r>
        <w:rPr>
          <w:rFonts w:ascii="Times New Roman" w:hAnsi="Times New Roman" w:cs="Times New Roman"/>
          <w:sz w:val="24"/>
          <w:szCs w:val="24"/>
        </w:rPr>
        <w:t xml:space="preserve">. CVS mācījās 672 skolēni. Skolēnu skaita pieauguma tendences liecina, ka tuvāko 5 gadu laikā šis skaitlis pietuvosies skolas kapacitātes maksimumam, t.i., 900 skolēniem. </w:t>
      </w:r>
    </w:p>
    <w:p w14:paraId="1F68624A" w14:textId="153133B6" w:rsidR="00C1207D" w:rsidRPr="000C3544" w:rsidRDefault="008C75EE" w:rsidP="00500184">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Atbilstoši 10.07.2022. būves tehniskajā inventarizācijas lietā norādītajam, Ēkas kopējā platība ir 299,9 m</w:t>
      </w:r>
      <w:r w:rsidRPr="00026833">
        <w:rPr>
          <w:rFonts w:ascii="Times New Roman" w:hAnsi="Times New Roman" w:cs="Times New Roman"/>
          <w:sz w:val="24"/>
          <w:szCs w:val="24"/>
          <w:vertAlign w:val="superscript"/>
        </w:rPr>
        <w:t>2</w:t>
      </w:r>
      <w:r>
        <w:rPr>
          <w:rFonts w:ascii="Times New Roman" w:hAnsi="Times New Roman" w:cs="Times New Roman"/>
          <w:sz w:val="24"/>
          <w:szCs w:val="24"/>
        </w:rPr>
        <w:t>, t.sk., dzīvokļa platība ir 290,2 m</w:t>
      </w:r>
      <w:r w:rsidRPr="00026833">
        <w:rPr>
          <w:rFonts w:ascii="Times New Roman" w:hAnsi="Times New Roman" w:cs="Times New Roman"/>
          <w:sz w:val="24"/>
          <w:szCs w:val="24"/>
          <w:vertAlign w:val="superscript"/>
        </w:rPr>
        <w:t>2</w:t>
      </w:r>
      <w:r w:rsidR="003707F4">
        <w:rPr>
          <w:rFonts w:ascii="Times New Roman" w:hAnsi="Times New Roman" w:cs="Times New Roman"/>
          <w:sz w:val="24"/>
          <w:szCs w:val="24"/>
        </w:rPr>
        <w:t xml:space="preserve"> (dzīvojamā platība – 117,8 m</w:t>
      </w:r>
      <w:r w:rsidR="003707F4" w:rsidRPr="00026833">
        <w:rPr>
          <w:rFonts w:ascii="Times New Roman" w:hAnsi="Times New Roman" w:cs="Times New Roman"/>
          <w:sz w:val="24"/>
          <w:szCs w:val="24"/>
          <w:vertAlign w:val="superscript"/>
        </w:rPr>
        <w:t>2</w:t>
      </w:r>
      <w:r w:rsidR="003707F4">
        <w:rPr>
          <w:rFonts w:ascii="Times New Roman" w:hAnsi="Times New Roman" w:cs="Times New Roman"/>
          <w:sz w:val="24"/>
          <w:szCs w:val="24"/>
        </w:rPr>
        <w:t>, dzīvokļu palīgtelpu platība – 172,4 m</w:t>
      </w:r>
      <w:r w:rsidR="003707F4" w:rsidRPr="00026833">
        <w:rPr>
          <w:rFonts w:ascii="Times New Roman" w:hAnsi="Times New Roman" w:cs="Times New Roman"/>
          <w:sz w:val="24"/>
          <w:szCs w:val="24"/>
          <w:vertAlign w:val="superscript"/>
        </w:rPr>
        <w:t>2</w:t>
      </w:r>
      <w:r w:rsidR="003707F4">
        <w:rPr>
          <w:rFonts w:ascii="Times New Roman" w:hAnsi="Times New Roman" w:cs="Times New Roman"/>
          <w:sz w:val="24"/>
          <w:szCs w:val="24"/>
        </w:rPr>
        <w:t xml:space="preserve">) un dzīvokļu </w:t>
      </w:r>
      <w:proofErr w:type="spellStart"/>
      <w:r w:rsidR="003707F4">
        <w:rPr>
          <w:rFonts w:ascii="Times New Roman" w:hAnsi="Times New Roman" w:cs="Times New Roman"/>
          <w:sz w:val="24"/>
          <w:szCs w:val="24"/>
        </w:rPr>
        <w:t>ārtelpu</w:t>
      </w:r>
      <w:proofErr w:type="spellEnd"/>
      <w:r w:rsidR="003707F4">
        <w:rPr>
          <w:rFonts w:ascii="Times New Roman" w:hAnsi="Times New Roman" w:cs="Times New Roman"/>
          <w:sz w:val="24"/>
          <w:szCs w:val="24"/>
        </w:rPr>
        <w:t xml:space="preserve"> platība ir </w:t>
      </w:r>
      <w:r w:rsidR="003707F4" w:rsidRPr="000C3544">
        <w:rPr>
          <w:rFonts w:ascii="Times New Roman" w:hAnsi="Times New Roman" w:cs="Times New Roman"/>
          <w:sz w:val="24"/>
          <w:szCs w:val="24"/>
        </w:rPr>
        <w:t>9,7 m</w:t>
      </w:r>
      <w:r w:rsidR="003707F4" w:rsidRPr="000C3544">
        <w:rPr>
          <w:rFonts w:ascii="Times New Roman" w:hAnsi="Times New Roman" w:cs="Times New Roman"/>
          <w:sz w:val="24"/>
          <w:szCs w:val="24"/>
          <w:vertAlign w:val="superscript"/>
        </w:rPr>
        <w:t>2</w:t>
      </w:r>
      <w:r w:rsidRPr="000C3544">
        <w:rPr>
          <w:rFonts w:ascii="Times New Roman" w:hAnsi="Times New Roman" w:cs="Times New Roman"/>
          <w:sz w:val="24"/>
          <w:szCs w:val="24"/>
        </w:rPr>
        <w:t xml:space="preserve">. </w:t>
      </w:r>
      <w:r w:rsidR="003707F4" w:rsidRPr="000C3544">
        <w:rPr>
          <w:rFonts w:ascii="Times New Roman" w:hAnsi="Times New Roman" w:cs="Times New Roman"/>
          <w:sz w:val="24"/>
          <w:szCs w:val="24"/>
        </w:rPr>
        <w:t>Ēkā ir 31 telpa, no kurām</w:t>
      </w:r>
      <w:r w:rsidRPr="000C3544">
        <w:rPr>
          <w:rFonts w:ascii="Times New Roman" w:hAnsi="Times New Roman" w:cs="Times New Roman"/>
          <w:sz w:val="24"/>
          <w:szCs w:val="24"/>
        </w:rPr>
        <w:t xml:space="preserve"> </w:t>
      </w:r>
      <w:r w:rsidR="003707F4" w:rsidRPr="000C3544">
        <w:rPr>
          <w:rFonts w:ascii="Times New Roman" w:hAnsi="Times New Roman" w:cs="Times New Roman"/>
          <w:sz w:val="24"/>
          <w:szCs w:val="24"/>
        </w:rPr>
        <w:t>7 bija dzīvojamās telpas (50.51 m</w:t>
      </w:r>
      <w:r w:rsidR="003707F4" w:rsidRPr="000C3544">
        <w:rPr>
          <w:rFonts w:ascii="Times New Roman" w:hAnsi="Times New Roman" w:cs="Times New Roman"/>
          <w:sz w:val="24"/>
          <w:szCs w:val="24"/>
          <w:vertAlign w:val="superscript"/>
        </w:rPr>
        <w:t>2</w:t>
      </w:r>
      <w:r w:rsidR="003707F4" w:rsidRPr="000C3544">
        <w:rPr>
          <w:rFonts w:ascii="Times New Roman" w:hAnsi="Times New Roman" w:cs="Times New Roman"/>
          <w:sz w:val="24"/>
          <w:szCs w:val="24"/>
        </w:rPr>
        <w:t xml:space="preserve">), 1 dzīvokļa </w:t>
      </w:r>
      <w:proofErr w:type="spellStart"/>
      <w:r w:rsidR="003707F4" w:rsidRPr="000C3544">
        <w:rPr>
          <w:rFonts w:ascii="Times New Roman" w:hAnsi="Times New Roman" w:cs="Times New Roman"/>
          <w:sz w:val="24"/>
          <w:szCs w:val="24"/>
        </w:rPr>
        <w:t>ārtelpa</w:t>
      </w:r>
      <w:proofErr w:type="spellEnd"/>
      <w:r w:rsidR="003707F4" w:rsidRPr="000C3544">
        <w:rPr>
          <w:rFonts w:ascii="Times New Roman" w:hAnsi="Times New Roman" w:cs="Times New Roman"/>
          <w:sz w:val="24"/>
          <w:szCs w:val="24"/>
        </w:rPr>
        <w:t xml:space="preserve"> (lodžija 2,85 m</w:t>
      </w:r>
      <w:r w:rsidR="003707F4" w:rsidRPr="000C3544">
        <w:rPr>
          <w:rFonts w:ascii="Times New Roman" w:hAnsi="Times New Roman" w:cs="Times New Roman"/>
          <w:sz w:val="24"/>
          <w:szCs w:val="24"/>
          <w:vertAlign w:val="superscript"/>
        </w:rPr>
        <w:t>2</w:t>
      </w:r>
      <w:r w:rsidR="003707F4" w:rsidRPr="000C3544">
        <w:rPr>
          <w:rFonts w:ascii="Times New Roman" w:hAnsi="Times New Roman" w:cs="Times New Roman"/>
          <w:sz w:val="24"/>
          <w:szCs w:val="24"/>
        </w:rPr>
        <w:t>), kā arī 23 dzīvokļa palīgtelpas (86,56 m</w:t>
      </w:r>
      <w:r w:rsidR="003707F4" w:rsidRPr="000C3544">
        <w:rPr>
          <w:rFonts w:ascii="Times New Roman" w:hAnsi="Times New Roman" w:cs="Times New Roman"/>
          <w:sz w:val="24"/>
          <w:szCs w:val="24"/>
          <w:vertAlign w:val="superscript"/>
        </w:rPr>
        <w:t>2</w:t>
      </w:r>
      <w:r w:rsidR="003707F4" w:rsidRPr="000C3544">
        <w:rPr>
          <w:rFonts w:ascii="Times New Roman" w:hAnsi="Times New Roman" w:cs="Times New Roman"/>
          <w:sz w:val="24"/>
          <w:szCs w:val="24"/>
        </w:rPr>
        <w:t>).</w:t>
      </w:r>
      <w:r w:rsidR="00AB4CAB" w:rsidRPr="000C3544">
        <w:rPr>
          <w:rFonts w:ascii="Times New Roman" w:hAnsi="Times New Roman" w:cs="Times New Roman"/>
          <w:sz w:val="24"/>
          <w:szCs w:val="24"/>
        </w:rPr>
        <w:t xml:space="preserve"> Ēkai ir trīs virszemes un viens pazemes stāvs. </w:t>
      </w:r>
      <w:r w:rsidR="00823A33" w:rsidRPr="000C3544">
        <w:rPr>
          <w:rFonts w:ascii="Times New Roman" w:hAnsi="Times New Roman" w:cs="Times New Roman"/>
          <w:sz w:val="24"/>
          <w:szCs w:val="24"/>
        </w:rPr>
        <w:t>Saskaņā ar Nekustamā īpašuma valsts kadastra informācijas sistēmas datiem, Ēka uzcelta 1930. gadā, t</w:t>
      </w:r>
      <w:r w:rsidR="00D065F6" w:rsidRPr="000C3544">
        <w:rPr>
          <w:rFonts w:ascii="Times New Roman" w:hAnsi="Times New Roman" w:cs="Times New Roman"/>
          <w:sz w:val="24"/>
          <w:szCs w:val="24"/>
        </w:rPr>
        <w:t>ā</w:t>
      </w:r>
      <w:r w:rsidR="00823A33" w:rsidRPr="000C3544">
        <w:rPr>
          <w:rFonts w:ascii="Times New Roman" w:hAnsi="Times New Roman" w:cs="Times New Roman"/>
          <w:sz w:val="24"/>
          <w:szCs w:val="24"/>
        </w:rPr>
        <w:t xml:space="preserve">s </w:t>
      </w:r>
      <w:r w:rsidR="00AB4CAB" w:rsidRPr="000C3544">
        <w:rPr>
          <w:rFonts w:ascii="Times New Roman" w:hAnsi="Times New Roman" w:cs="Times New Roman"/>
          <w:sz w:val="24"/>
          <w:szCs w:val="24"/>
        </w:rPr>
        <w:t xml:space="preserve">galvenais </w:t>
      </w:r>
      <w:r w:rsidR="00AB4CAB" w:rsidRPr="000C3544">
        <w:rPr>
          <w:rFonts w:ascii="Times New Roman" w:hAnsi="Times New Roman" w:cs="Times New Roman"/>
          <w:sz w:val="24"/>
          <w:szCs w:val="24"/>
        </w:rPr>
        <w:lastRenderedPageBreak/>
        <w:t>lietošanas veids ir “”Skolas, universitātes un zinātniskajai pētniecībai paredzētās ēkas” (kods 1263).</w:t>
      </w:r>
      <w:r w:rsidR="00823A33" w:rsidRPr="000C3544">
        <w:rPr>
          <w:rFonts w:ascii="Times New Roman" w:hAnsi="Times New Roman" w:cs="Times New Roman"/>
          <w:sz w:val="24"/>
          <w:szCs w:val="24"/>
        </w:rPr>
        <w:t xml:space="preserve"> </w:t>
      </w:r>
    </w:p>
    <w:p w14:paraId="36EF7A84" w14:textId="663F360E" w:rsidR="00CC3249" w:rsidRDefault="000202B3" w:rsidP="0058168B">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Izvērtējot ē</w:t>
      </w:r>
      <w:r w:rsidR="006D7425" w:rsidRPr="00CF2C59">
        <w:rPr>
          <w:rFonts w:ascii="Times New Roman" w:hAnsi="Times New Roman" w:cs="Times New Roman"/>
          <w:sz w:val="24"/>
          <w:szCs w:val="24"/>
        </w:rPr>
        <w:t xml:space="preserve">kas konstrukciju </w:t>
      </w:r>
      <w:r w:rsidR="006D7425" w:rsidRPr="000202B3">
        <w:rPr>
          <w:rFonts w:ascii="Times New Roman" w:hAnsi="Times New Roman" w:cs="Times New Roman"/>
          <w:b/>
          <w:bCs/>
          <w:sz w:val="24"/>
          <w:szCs w:val="24"/>
        </w:rPr>
        <w:t>tehnisk</w:t>
      </w:r>
      <w:r w:rsidR="002F2CD5">
        <w:rPr>
          <w:rFonts w:ascii="Times New Roman" w:hAnsi="Times New Roman" w:cs="Times New Roman"/>
          <w:b/>
          <w:bCs/>
          <w:sz w:val="24"/>
          <w:szCs w:val="24"/>
        </w:rPr>
        <w:t>o</w:t>
      </w:r>
      <w:r w:rsidR="006D7425" w:rsidRPr="000202B3">
        <w:rPr>
          <w:rFonts w:ascii="Times New Roman" w:hAnsi="Times New Roman" w:cs="Times New Roman"/>
          <w:b/>
          <w:bCs/>
          <w:sz w:val="24"/>
          <w:szCs w:val="24"/>
        </w:rPr>
        <w:t xml:space="preserve"> stāvokli 2014.</w:t>
      </w:r>
      <w:r w:rsidR="002F2CD5">
        <w:rPr>
          <w:rFonts w:ascii="Times New Roman" w:hAnsi="Times New Roman" w:cs="Times New Roman"/>
          <w:b/>
          <w:bCs/>
          <w:sz w:val="24"/>
          <w:szCs w:val="24"/>
        </w:rPr>
        <w:t xml:space="preserve"> jūlijā</w:t>
      </w:r>
      <w:r w:rsidR="002F2CD5">
        <w:rPr>
          <w:rFonts w:ascii="Times New Roman" w:hAnsi="Times New Roman" w:cs="Times New Roman"/>
          <w:sz w:val="24"/>
          <w:szCs w:val="24"/>
        </w:rPr>
        <w:t>,</w:t>
      </w:r>
      <w:r w:rsidR="006D7425" w:rsidRPr="00CF2C59">
        <w:rPr>
          <w:rFonts w:ascii="Times New Roman" w:hAnsi="Times New Roman" w:cs="Times New Roman"/>
          <w:sz w:val="24"/>
          <w:szCs w:val="24"/>
        </w:rPr>
        <w:t xml:space="preserve"> tika secināts, ka</w:t>
      </w:r>
      <w:r w:rsidR="005A18AB">
        <w:rPr>
          <w:rFonts w:ascii="Times New Roman" w:hAnsi="Times New Roman" w:cs="Times New Roman"/>
          <w:sz w:val="24"/>
          <w:szCs w:val="24"/>
        </w:rPr>
        <w:t xml:space="preserve"> t</w:t>
      </w:r>
      <w:r w:rsidR="006D7425" w:rsidRPr="0058168B">
        <w:rPr>
          <w:rFonts w:ascii="Times New Roman" w:hAnsi="Times New Roman" w:cs="Times New Roman"/>
          <w:sz w:val="24"/>
          <w:szCs w:val="24"/>
        </w:rPr>
        <w:t>elpā</w:t>
      </w:r>
      <w:r w:rsidR="002F2CD5" w:rsidRPr="0058168B">
        <w:rPr>
          <w:rFonts w:ascii="Times New Roman" w:hAnsi="Times New Roman" w:cs="Times New Roman"/>
          <w:sz w:val="24"/>
          <w:szCs w:val="24"/>
        </w:rPr>
        <w:t>s</w:t>
      </w:r>
      <w:r w:rsidR="006D7425" w:rsidRPr="0058168B">
        <w:rPr>
          <w:rFonts w:ascii="Times New Roman" w:hAnsi="Times New Roman" w:cs="Times New Roman"/>
          <w:sz w:val="24"/>
          <w:szCs w:val="24"/>
        </w:rPr>
        <w:t xml:space="preserve"> ir nepietiekama vēdināšana</w:t>
      </w:r>
      <w:r w:rsidR="005A18AB">
        <w:rPr>
          <w:rFonts w:ascii="Times New Roman" w:hAnsi="Times New Roman" w:cs="Times New Roman"/>
          <w:sz w:val="24"/>
          <w:szCs w:val="24"/>
        </w:rPr>
        <w:t xml:space="preserve">, to </w:t>
      </w:r>
      <w:r w:rsidR="006D7425">
        <w:rPr>
          <w:rFonts w:ascii="Times New Roman" w:hAnsi="Times New Roman" w:cs="Times New Roman"/>
          <w:sz w:val="24"/>
          <w:szCs w:val="24"/>
        </w:rPr>
        <w:t>izgaismojums ir nepietiekams</w:t>
      </w:r>
      <w:r w:rsidR="005A18AB">
        <w:rPr>
          <w:rFonts w:ascii="Times New Roman" w:hAnsi="Times New Roman" w:cs="Times New Roman"/>
          <w:sz w:val="24"/>
          <w:szCs w:val="24"/>
        </w:rPr>
        <w:t xml:space="preserve">, Ēkas </w:t>
      </w:r>
      <w:r w:rsidR="00CC3249">
        <w:rPr>
          <w:rFonts w:ascii="Times New Roman" w:hAnsi="Times New Roman" w:cs="Times New Roman"/>
          <w:sz w:val="24"/>
          <w:szCs w:val="24"/>
        </w:rPr>
        <w:t>konstrukciju nestspēja neatbilst sabiedriskām ēkām</w:t>
      </w:r>
      <w:r w:rsidR="005A18AB">
        <w:rPr>
          <w:rFonts w:ascii="Times New Roman" w:hAnsi="Times New Roman" w:cs="Times New Roman"/>
          <w:sz w:val="24"/>
          <w:szCs w:val="24"/>
        </w:rPr>
        <w:t>, k</w:t>
      </w:r>
      <w:r w:rsidR="00CC3249">
        <w:rPr>
          <w:rFonts w:ascii="Times New Roman" w:hAnsi="Times New Roman" w:cs="Times New Roman"/>
          <w:sz w:val="24"/>
          <w:szCs w:val="24"/>
        </w:rPr>
        <w:t>oka sijas un deform</w:t>
      </w:r>
      <w:r w:rsidR="002F2CD5">
        <w:rPr>
          <w:rFonts w:ascii="Times New Roman" w:hAnsi="Times New Roman" w:cs="Times New Roman"/>
          <w:sz w:val="24"/>
          <w:szCs w:val="24"/>
        </w:rPr>
        <w:t>ējoties</w:t>
      </w:r>
      <w:r w:rsidR="00CC3249">
        <w:rPr>
          <w:rFonts w:ascii="Times New Roman" w:hAnsi="Times New Roman" w:cs="Times New Roman"/>
          <w:sz w:val="24"/>
          <w:szCs w:val="24"/>
        </w:rPr>
        <w:t xml:space="preserve"> r</w:t>
      </w:r>
      <w:r w:rsidR="002F2CD5">
        <w:rPr>
          <w:rFonts w:ascii="Times New Roman" w:hAnsi="Times New Roman" w:cs="Times New Roman"/>
          <w:sz w:val="24"/>
          <w:szCs w:val="24"/>
        </w:rPr>
        <w:t>ada</w:t>
      </w:r>
      <w:r w:rsidR="00CC3249">
        <w:rPr>
          <w:rFonts w:ascii="Times New Roman" w:hAnsi="Times New Roman" w:cs="Times New Roman"/>
          <w:sz w:val="24"/>
          <w:szCs w:val="24"/>
        </w:rPr>
        <w:t xml:space="preserve"> plaisas</w:t>
      </w:r>
      <w:r w:rsidR="005A18AB">
        <w:rPr>
          <w:rFonts w:ascii="Times New Roman" w:hAnsi="Times New Roman" w:cs="Times New Roman"/>
          <w:sz w:val="24"/>
          <w:szCs w:val="24"/>
        </w:rPr>
        <w:t xml:space="preserve">, </w:t>
      </w:r>
      <w:r w:rsidR="00CC3249" w:rsidRPr="0058168B">
        <w:rPr>
          <w:rFonts w:ascii="Times New Roman" w:hAnsi="Times New Roman" w:cs="Times New Roman"/>
          <w:sz w:val="24"/>
          <w:szCs w:val="24"/>
        </w:rPr>
        <w:t>1. stāva grīdas</w:t>
      </w:r>
      <w:r w:rsidR="005A18AB">
        <w:rPr>
          <w:rFonts w:ascii="Times New Roman" w:hAnsi="Times New Roman" w:cs="Times New Roman"/>
          <w:sz w:val="24"/>
          <w:szCs w:val="24"/>
        </w:rPr>
        <w:t xml:space="preserve"> </w:t>
      </w:r>
      <w:r w:rsidR="00CC3249" w:rsidRPr="0058168B">
        <w:rPr>
          <w:rFonts w:ascii="Times New Roman" w:hAnsi="Times New Roman" w:cs="Times New Roman"/>
          <w:sz w:val="24"/>
          <w:szCs w:val="24"/>
        </w:rPr>
        <w:t>konstrukcija pakļauta trupēšanai</w:t>
      </w:r>
      <w:r w:rsidR="005A18AB">
        <w:rPr>
          <w:rFonts w:ascii="Times New Roman" w:hAnsi="Times New Roman" w:cs="Times New Roman"/>
          <w:sz w:val="24"/>
          <w:szCs w:val="24"/>
        </w:rPr>
        <w:t xml:space="preserve">, </w:t>
      </w:r>
      <w:r w:rsidR="00CC3249">
        <w:rPr>
          <w:rFonts w:ascii="Times New Roman" w:hAnsi="Times New Roman" w:cs="Times New Roman"/>
          <w:sz w:val="24"/>
          <w:szCs w:val="24"/>
        </w:rPr>
        <w:t xml:space="preserve">nav nodrošināta sienu ventilēšana. </w:t>
      </w:r>
    </w:p>
    <w:bookmarkEnd w:id="0"/>
    <w:p w14:paraId="3F0198CA" w14:textId="15FD5374" w:rsidR="000202B3" w:rsidRPr="00CF2C59" w:rsidRDefault="00FB45B3" w:rsidP="0058168B">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Domes </w:t>
      </w:r>
      <w:r w:rsidRPr="00BC416E">
        <w:rPr>
          <w:rFonts w:ascii="Times New Roman" w:hAnsi="Times New Roman" w:cs="Times New Roman"/>
          <w:sz w:val="24"/>
          <w:szCs w:val="24"/>
        </w:rPr>
        <w:t xml:space="preserve">Finanšu komitejas </w:t>
      </w:r>
      <w:r w:rsidR="00021908" w:rsidRPr="00CF2C59">
        <w:rPr>
          <w:rFonts w:ascii="Times New Roman" w:hAnsi="Times New Roman" w:cs="Times New Roman"/>
          <w:sz w:val="24"/>
          <w:szCs w:val="24"/>
        </w:rPr>
        <w:t xml:space="preserve">16.10.2024. sēdē </w:t>
      </w:r>
      <w:r>
        <w:rPr>
          <w:rFonts w:ascii="Times New Roman" w:hAnsi="Times New Roman" w:cs="Times New Roman"/>
          <w:sz w:val="24"/>
          <w:szCs w:val="24"/>
        </w:rPr>
        <w:t>p</w:t>
      </w:r>
      <w:r w:rsidR="00021908" w:rsidRPr="00CF2C59">
        <w:rPr>
          <w:rFonts w:ascii="Times New Roman" w:hAnsi="Times New Roman" w:cs="Times New Roman"/>
          <w:sz w:val="24"/>
          <w:szCs w:val="24"/>
        </w:rPr>
        <w:t xml:space="preserve">ašvaldības nekustamo īpašumu </w:t>
      </w:r>
      <w:proofErr w:type="spellStart"/>
      <w:r w:rsidR="00021908" w:rsidRPr="00CF2C59">
        <w:rPr>
          <w:rFonts w:ascii="Times New Roman" w:hAnsi="Times New Roman" w:cs="Times New Roman"/>
          <w:sz w:val="24"/>
          <w:szCs w:val="24"/>
        </w:rPr>
        <w:t>apsaimniekotāj</w:t>
      </w:r>
      <w:r>
        <w:rPr>
          <w:rFonts w:ascii="Times New Roman" w:hAnsi="Times New Roman" w:cs="Times New Roman"/>
          <w:sz w:val="24"/>
          <w:szCs w:val="24"/>
        </w:rPr>
        <w:t>s</w:t>
      </w:r>
      <w:proofErr w:type="spellEnd"/>
      <w:r w:rsidR="00021908" w:rsidRPr="00CF2C59">
        <w:rPr>
          <w:rFonts w:ascii="Times New Roman" w:hAnsi="Times New Roman" w:cs="Times New Roman"/>
          <w:sz w:val="24"/>
          <w:szCs w:val="24"/>
        </w:rPr>
        <w:t xml:space="preserve"> – pašvaldības aģentūra “Carnikavas komunālserviss”</w:t>
      </w:r>
      <w:r w:rsidR="006B634D">
        <w:rPr>
          <w:rFonts w:ascii="Times New Roman" w:hAnsi="Times New Roman" w:cs="Times New Roman"/>
          <w:sz w:val="24"/>
          <w:szCs w:val="24"/>
        </w:rPr>
        <w:t xml:space="preserve"> (turpmāk </w:t>
      </w:r>
      <w:r w:rsidR="0032272B">
        <w:rPr>
          <w:rFonts w:ascii="Times New Roman" w:hAnsi="Times New Roman" w:cs="Times New Roman"/>
          <w:sz w:val="24"/>
          <w:szCs w:val="24"/>
        </w:rPr>
        <w:t>–</w:t>
      </w:r>
      <w:r w:rsidR="006B634D">
        <w:rPr>
          <w:rFonts w:ascii="Times New Roman" w:hAnsi="Times New Roman" w:cs="Times New Roman"/>
          <w:sz w:val="24"/>
          <w:szCs w:val="24"/>
        </w:rPr>
        <w:t xml:space="preserve"> </w:t>
      </w:r>
      <w:r w:rsidR="002F2CD5">
        <w:rPr>
          <w:rFonts w:ascii="Times New Roman" w:hAnsi="Times New Roman" w:cs="Times New Roman"/>
          <w:sz w:val="24"/>
          <w:szCs w:val="24"/>
        </w:rPr>
        <w:t>Aģentūra</w:t>
      </w:r>
      <w:r w:rsidR="006B634D">
        <w:rPr>
          <w:rFonts w:ascii="Times New Roman" w:hAnsi="Times New Roman" w:cs="Times New Roman"/>
          <w:sz w:val="24"/>
          <w:szCs w:val="24"/>
        </w:rPr>
        <w:t>)</w:t>
      </w:r>
      <w:r w:rsidR="00021908" w:rsidRPr="00CF2C59">
        <w:rPr>
          <w:rFonts w:ascii="Times New Roman" w:hAnsi="Times New Roman" w:cs="Times New Roman"/>
          <w:sz w:val="24"/>
          <w:szCs w:val="24"/>
        </w:rPr>
        <w:t xml:space="preserve"> norādīja, ka </w:t>
      </w:r>
      <w:r w:rsidR="005A18AB">
        <w:rPr>
          <w:rFonts w:ascii="Times New Roman" w:hAnsi="Times New Roman" w:cs="Times New Roman"/>
          <w:sz w:val="24"/>
          <w:szCs w:val="24"/>
        </w:rPr>
        <w:t>Ē</w:t>
      </w:r>
      <w:r w:rsidR="005A18AB" w:rsidRPr="00CF2C59">
        <w:rPr>
          <w:rFonts w:ascii="Times New Roman" w:hAnsi="Times New Roman" w:cs="Times New Roman"/>
          <w:sz w:val="24"/>
          <w:szCs w:val="24"/>
        </w:rPr>
        <w:t xml:space="preserve">ka </w:t>
      </w:r>
      <w:r w:rsidR="00021908" w:rsidRPr="00CF2C59">
        <w:rPr>
          <w:rFonts w:ascii="Times New Roman" w:hAnsi="Times New Roman" w:cs="Times New Roman"/>
          <w:sz w:val="24"/>
          <w:szCs w:val="24"/>
        </w:rPr>
        <w:t xml:space="preserve">izskatās apmierinošā tehniskā stāvoklī, bet tās komunikācijas un elementi ir neapmierinošā stāvoklī. Ēka novērtēta ar energoefektivitātes klasi D – (158.71 </w:t>
      </w:r>
      <w:proofErr w:type="spellStart"/>
      <w:r w:rsidR="00021908" w:rsidRPr="00CF2C59">
        <w:rPr>
          <w:rFonts w:ascii="Times New Roman" w:hAnsi="Times New Roman" w:cs="Times New Roman"/>
          <w:sz w:val="24"/>
          <w:szCs w:val="24"/>
        </w:rPr>
        <w:t>kwh</w:t>
      </w:r>
      <w:proofErr w:type="spellEnd"/>
      <w:r w:rsidR="00021908" w:rsidRPr="00CF2C59">
        <w:rPr>
          <w:rFonts w:ascii="Times New Roman" w:hAnsi="Times New Roman" w:cs="Times New Roman"/>
          <w:sz w:val="24"/>
          <w:szCs w:val="24"/>
        </w:rPr>
        <w:t xml:space="preserve">/m²), t.i., </w:t>
      </w:r>
      <w:r w:rsidR="002F2CD5">
        <w:rPr>
          <w:rFonts w:ascii="Times New Roman" w:hAnsi="Times New Roman" w:cs="Times New Roman"/>
          <w:sz w:val="24"/>
          <w:szCs w:val="24"/>
        </w:rPr>
        <w:t xml:space="preserve">4 </w:t>
      </w:r>
      <w:r w:rsidR="00021908" w:rsidRPr="00CF2C59">
        <w:rPr>
          <w:rFonts w:ascii="Times New Roman" w:hAnsi="Times New Roman" w:cs="Times New Roman"/>
          <w:sz w:val="24"/>
          <w:szCs w:val="24"/>
        </w:rPr>
        <w:t xml:space="preserve">reizes pārsniedz </w:t>
      </w:r>
      <w:proofErr w:type="spellStart"/>
      <w:r w:rsidR="00021908" w:rsidRPr="00CF2C59">
        <w:rPr>
          <w:rFonts w:ascii="Times New Roman" w:hAnsi="Times New Roman" w:cs="Times New Roman"/>
          <w:sz w:val="24"/>
          <w:szCs w:val="24"/>
        </w:rPr>
        <w:t>energopatēriņa</w:t>
      </w:r>
      <w:proofErr w:type="spellEnd"/>
      <w:r w:rsidR="00021908" w:rsidRPr="00CF2C59">
        <w:rPr>
          <w:rFonts w:ascii="Times New Roman" w:hAnsi="Times New Roman" w:cs="Times New Roman"/>
          <w:sz w:val="24"/>
          <w:szCs w:val="24"/>
        </w:rPr>
        <w:t xml:space="preserve"> normu (40 </w:t>
      </w:r>
      <w:proofErr w:type="spellStart"/>
      <w:r w:rsidR="00021908" w:rsidRPr="00CF2C59">
        <w:rPr>
          <w:rFonts w:ascii="Times New Roman" w:hAnsi="Times New Roman" w:cs="Times New Roman"/>
          <w:sz w:val="24"/>
          <w:szCs w:val="24"/>
        </w:rPr>
        <w:t>kwh</w:t>
      </w:r>
      <w:proofErr w:type="spellEnd"/>
      <w:r w:rsidR="00021908" w:rsidRPr="00CF2C59">
        <w:rPr>
          <w:rFonts w:ascii="Times New Roman" w:hAnsi="Times New Roman" w:cs="Times New Roman"/>
          <w:sz w:val="24"/>
          <w:szCs w:val="24"/>
        </w:rPr>
        <w:t>/m²). Ēkas gaiteņi ir šauri, izkārtoti vairākos līmeņos, kāpņu konstrukcija un durvju aiļu izmēri neatbilst vides pieejamības minimālajām prasībām.</w:t>
      </w:r>
    </w:p>
    <w:p w14:paraId="6CA817BE" w14:textId="422DCF7D" w:rsidR="00F2349F" w:rsidRPr="00F2349F" w:rsidRDefault="00F2349F" w:rsidP="00A830D2">
      <w:pPr>
        <w:spacing w:before="120" w:after="0" w:line="240" w:lineRule="auto"/>
        <w:jc w:val="both"/>
        <w:rPr>
          <w:rFonts w:ascii="Times New Roman" w:hAnsi="Times New Roman" w:cs="Times New Roman"/>
          <w:sz w:val="24"/>
          <w:szCs w:val="24"/>
        </w:rPr>
      </w:pPr>
      <w:r w:rsidRPr="00F2349F">
        <w:rPr>
          <w:rFonts w:ascii="Times New Roman" w:hAnsi="Times New Roman" w:cs="Times New Roman"/>
          <w:b/>
          <w:bCs/>
          <w:sz w:val="24"/>
          <w:szCs w:val="24"/>
        </w:rPr>
        <w:t>Sabiedrisko ēku ekspluatācijā Latvijā jāievēro vairāki normatīvie akti</w:t>
      </w:r>
      <w:r w:rsidRPr="00F2349F">
        <w:rPr>
          <w:rFonts w:ascii="Times New Roman" w:hAnsi="Times New Roman" w:cs="Times New Roman"/>
          <w:sz w:val="24"/>
          <w:szCs w:val="24"/>
        </w:rPr>
        <w:t>, kas nosaka prasības attiecībā uz būvniecību, ugunsdrošību, higiēnu, energoefektivitāti un citiem aspektiem:</w:t>
      </w:r>
    </w:p>
    <w:p w14:paraId="73B28AE3" w14:textId="727DC314" w:rsidR="002F2CD5" w:rsidRPr="0058168B" w:rsidRDefault="00F2349F" w:rsidP="0058168B">
      <w:pPr>
        <w:pStyle w:val="ListParagraph"/>
        <w:numPr>
          <w:ilvl w:val="0"/>
          <w:numId w:val="4"/>
        </w:numPr>
        <w:spacing w:before="120" w:after="0" w:line="240" w:lineRule="auto"/>
        <w:ind w:left="709" w:hanging="425"/>
        <w:contextualSpacing w:val="0"/>
        <w:jc w:val="both"/>
        <w:rPr>
          <w:rFonts w:ascii="Times New Roman" w:hAnsi="Times New Roman" w:cs="Times New Roman"/>
          <w:sz w:val="24"/>
          <w:szCs w:val="24"/>
        </w:rPr>
      </w:pPr>
      <w:r w:rsidRPr="0058168B">
        <w:rPr>
          <w:rFonts w:ascii="Times New Roman" w:hAnsi="Times New Roman" w:cs="Times New Roman"/>
          <w:sz w:val="24"/>
          <w:szCs w:val="24"/>
        </w:rPr>
        <w:t>Būvniecības likums – nosaka vispārīgās prasības būvniecības procesam un ēku ekspluatācijai.</w:t>
      </w:r>
    </w:p>
    <w:p w14:paraId="53972F28" w14:textId="5DB1B9D8" w:rsidR="002F2CD5" w:rsidRPr="0058168B" w:rsidRDefault="00F2349F" w:rsidP="0058168B">
      <w:pPr>
        <w:pStyle w:val="ListParagraph"/>
        <w:numPr>
          <w:ilvl w:val="0"/>
          <w:numId w:val="4"/>
        </w:numPr>
        <w:spacing w:before="120" w:after="0" w:line="240" w:lineRule="auto"/>
        <w:ind w:left="709" w:hanging="425"/>
        <w:contextualSpacing w:val="0"/>
        <w:jc w:val="both"/>
        <w:rPr>
          <w:rFonts w:ascii="Times New Roman" w:hAnsi="Times New Roman" w:cs="Times New Roman"/>
          <w:sz w:val="24"/>
          <w:szCs w:val="24"/>
        </w:rPr>
      </w:pPr>
      <w:r w:rsidRPr="0058168B">
        <w:rPr>
          <w:rFonts w:ascii="Times New Roman" w:hAnsi="Times New Roman" w:cs="Times New Roman"/>
          <w:sz w:val="24"/>
          <w:szCs w:val="24"/>
        </w:rPr>
        <w:t xml:space="preserve">Ministru kabineta 02.09.2014. noteikumi Nr. 529 “Ēku būvnoteikumi” – reglamentē ēku projektēšanas, būvniecības un ekspluatācijas nosacījumus. </w:t>
      </w:r>
    </w:p>
    <w:p w14:paraId="06604E4D" w14:textId="004566BC" w:rsidR="002F2CD5" w:rsidRPr="002F2CD5" w:rsidRDefault="00F2349F" w:rsidP="0058168B">
      <w:pPr>
        <w:pStyle w:val="ListParagraph"/>
        <w:spacing w:before="120" w:after="0" w:line="240" w:lineRule="auto"/>
        <w:contextualSpacing w:val="0"/>
        <w:jc w:val="both"/>
      </w:pPr>
      <w:r w:rsidRPr="0058168B">
        <w:rPr>
          <w:rFonts w:ascii="Times New Roman" w:hAnsi="Times New Roman" w:cs="Times New Roman"/>
          <w:sz w:val="24"/>
          <w:szCs w:val="24"/>
        </w:rPr>
        <w:t xml:space="preserve">Latvijas būvnormatīvs LBN 002-19 “Ēku norobežojošo konstrukciju siltumtehnika” – nosaka prasības ēku norobežojošo konstrukciju siltumtehnikai. </w:t>
      </w:r>
    </w:p>
    <w:p w14:paraId="7459DA0A" w14:textId="0182E862" w:rsidR="002F2CD5" w:rsidRPr="0058168B" w:rsidRDefault="00F2349F" w:rsidP="0058168B">
      <w:pPr>
        <w:pStyle w:val="ListParagraph"/>
        <w:numPr>
          <w:ilvl w:val="0"/>
          <w:numId w:val="4"/>
        </w:numPr>
        <w:spacing w:before="120" w:after="0" w:line="240" w:lineRule="auto"/>
        <w:ind w:left="709" w:hanging="425"/>
        <w:contextualSpacing w:val="0"/>
        <w:jc w:val="both"/>
        <w:rPr>
          <w:rFonts w:ascii="Times New Roman" w:hAnsi="Times New Roman" w:cs="Times New Roman"/>
          <w:sz w:val="24"/>
          <w:szCs w:val="24"/>
        </w:rPr>
      </w:pPr>
      <w:r w:rsidRPr="0058168B">
        <w:rPr>
          <w:rFonts w:ascii="Times New Roman" w:hAnsi="Times New Roman" w:cs="Times New Roman"/>
          <w:sz w:val="24"/>
          <w:szCs w:val="24"/>
        </w:rPr>
        <w:t>Ministru kabineta 10.12.2020. noteikumi Nr.</w:t>
      </w:r>
      <w:r w:rsidR="006E4D8F" w:rsidRPr="0058168B">
        <w:rPr>
          <w:rFonts w:ascii="Times New Roman" w:hAnsi="Times New Roman" w:cs="Times New Roman"/>
          <w:sz w:val="24"/>
          <w:szCs w:val="24"/>
        </w:rPr>
        <w:t> </w:t>
      </w:r>
      <w:r w:rsidRPr="0058168B">
        <w:rPr>
          <w:rFonts w:ascii="Times New Roman" w:hAnsi="Times New Roman" w:cs="Times New Roman"/>
          <w:sz w:val="24"/>
          <w:szCs w:val="24"/>
        </w:rPr>
        <w:t xml:space="preserve">730 “Ekspluatējamu ēku energoefektivitātes minimālās prasības” – nosaka minimālās prasības ēku energoefektivitātei to ekspluatācijas laikā. </w:t>
      </w:r>
    </w:p>
    <w:p w14:paraId="57113C5C" w14:textId="7A41CA16" w:rsidR="00F2349F" w:rsidRPr="0058168B" w:rsidRDefault="00F2349F" w:rsidP="0058168B">
      <w:pPr>
        <w:pStyle w:val="ListParagraph"/>
        <w:numPr>
          <w:ilvl w:val="0"/>
          <w:numId w:val="4"/>
        </w:numPr>
        <w:spacing w:before="120" w:after="0" w:line="240" w:lineRule="auto"/>
        <w:ind w:left="709" w:hanging="425"/>
        <w:contextualSpacing w:val="0"/>
        <w:jc w:val="both"/>
        <w:rPr>
          <w:rFonts w:ascii="Times New Roman" w:hAnsi="Times New Roman" w:cs="Times New Roman"/>
          <w:sz w:val="24"/>
          <w:szCs w:val="24"/>
        </w:rPr>
      </w:pPr>
      <w:r w:rsidRPr="0058168B">
        <w:rPr>
          <w:rFonts w:ascii="Times New Roman" w:hAnsi="Times New Roman" w:cs="Times New Roman"/>
          <w:sz w:val="24"/>
          <w:szCs w:val="24"/>
        </w:rPr>
        <w:t>Ministru kabineta 15.06.2021. noteikumi Nr. 384</w:t>
      </w:r>
      <w:r w:rsidR="00CC3249" w:rsidRPr="0058168B">
        <w:rPr>
          <w:rFonts w:ascii="Times New Roman" w:hAnsi="Times New Roman" w:cs="Times New Roman"/>
          <w:sz w:val="24"/>
          <w:szCs w:val="24"/>
        </w:rPr>
        <w:t xml:space="preserve"> “</w:t>
      </w:r>
      <w:r w:rsidRPr="0058168B">
        <w:rPr>
          <w:rFonts w:ascii="Times New Roman" w:hAnsi="Times New Roman" w:cs="Times New Roman"/>
          <w:sz w:val="24"/>
          <w:szCs w:val="24"/>
        </w:rPr>
        <w:t>Būvju tehniskās apsekošanas būvnormatīvs LBN 405-21</w:t>
      </w:r>
      <w:r w:rsidR="00CC3249" w:rsidRPr="0058168B">
        <w:rPr>
          <w:rFonts w:ascii="Times New Roman" w:hAnsi="Times New Roman" w:cs="Times New Roman"/>
          <w:sz w:val="24"/>
          <w:szCs w:val="24"/>
        </w:rPr>
        <w:t xml:space="preserve">” </w:t>
      </w:r>
      <w:r w:rsidR="00401403">
        <w:rPr>
          <w:rFonts w:ascii="Times New Roman" w:hAnsi="Times New Roman" w:cs="Times New Roman"/>
          <w:sz w:val="24"/>
          <w:szCs w:val="24"/>
        </w:rPr>
        <w:t>nosaka, ka</w:t>
      </w:r>
      <w:r w:rsidR="00CC3249" w:rsidRPr="0058168B">
        <w:rPr>
          <w:rFonts w:ascii="Times New Roman" w:hAnsi="Times New Roman" w:cs="Times New Roman"/>
          <w:sz w:val="24"/>
          <w:szCs w:val="24"/>
        </w:rPr>
        <w:t xml:space="preserve"> tehniskā apsekošana (galvenā inspekcija) jāveic periodiski būves ekspluatācijas laikā ne retāk kā reizi 10 gados otrās grupas publiskai un daudzstāvu daudzīvokļu dzīvojamai ēkai</w:t>
      </w:r>
      <w:r w:rsidR="000C3544" w:rsidRPr="0058168B">
        <w:rPr>
          <w:rFonts w:ascii="Times New Roman" w:hAnsi="Times New Roman" w:cs="Times New Roman"/>
          <w:sz w:val="24"/>
          <w:szCs w:val="24"/>
        </w:rPr>
        <w:t xml:space="preserve"> (Ēka ir otrās grupas būve)</w:t>
      </w:r>
      <w:r w:rsidR="00CC3249" w:rsidRPr="0058168B">
        <w:rPr>
          <w:rFonts w:ascii="Times New Roman" w:hAnsi="Times New Roman" w:cs="Times New Roman"/>
          <w:sz w:val="24"/>
          <w:szCs w:val="24"/>
        </w:rPr>
        <w:t xml:space="preserve">. </w:t>
      </w:r>
    </w:p>
    <w:p w14:paraId="3DB995EF" w14:textId="3AE0F828" w:rsidR="00AC62FB" w:rsidRDefault="00CC3249" w:rsidP="00A830D2">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Ņemot vērā, ka </w:t>
      </w:r>
      <w:r w:rsidR="00832718">
        <w:rPr>
          <w:rFonts w:ascii="Times New Roman" w:hAnsi="Times New Roman" w:cs="Times New Roman"/>
          <w:sz w:val="24"/>
          <w:szCs w:val="24"/>
        </w:rPr>
        <w:t>Ēkas apsekošana</w:t>
      </w:r>
      <w:r>
        <w:rPr>
          <w:rFonts w:ascii="Times New Roman" w:hAnsi="Times New Roman" w:cs="Times New Roman"/>
          <w:sz w:val="24"/>
          <w:szCs w:val="24"/>
        </w:rPr>
        <w:t xml:space="preserve"> tika veikta 20</w:t>
      </w:r>
      <w:r w:rsidR="00BA33AF">
        <w:rPr>
          <w:rFonts w:ascii="Times New Roman" w:hAnsi="Times New Roman" w:cs="Times New Roman"/>
          <w:sz w:val="24"/>
          <w:szCs w:val="24"/>
        </w:rPr>
        <w:t>1</w:t>
      </w:r>
      <w:r>
        <w:rPr>
          <w:rFonts w:ascii="Times New Roman" w:hAnsi="Times New Roman" w:cs="Times New Roman"/>
          <w:sz w:val="24"/>
          <w:szCs w:val="24"/>
        </w:rPr>
        <w:t>4. gad</w:t>
      </w:r>
      <w:r w:rsidR="00AC62FB">
        <w:rPr>
          <w:rFonts w:ascii="Times New Roman" w:hAnsi="Times New Roman" w:cs="Times New Roman"/>
          <w:sz w:val="24"/>
          <w:szCs w:val="24"/>
        </w:rPr>
        <w:t xml:space="preserve">ā, </w:t>
      </w:r>
      <w:r w:rsidR="00832718" w:rsidRPr="0058168B">
        <w:rPr>
          <w:rFonts w:ascii="Times New Roman" w:hAnsi="Times New Roman" w:cs="Times New Roman"/>
          <w:sz w:val="24"/>
          <w:szCs w:val="24"/>
        </w:rPr>
        <w:t>dome ar</w:t>
      </w:r>
      <w:r w:rsidR="006B634D" w:rsidRPr="0058168B">
        <w:rPr>
          <w:rFonts w:ascii="Times New Roman" w:hAnsi="Times New Roman" w:cs="Times New Roman"/>
          <w:sz w:val="24"/>
          <w:szCs w:val="24"/>
        </w:rPr>
        <w:t xml:space="preserve"> 27.03.2025. lēmum</w:t>
      </w:r>
      <w:r w:rsidR="00832718" w:rsidRPr="0058168B">
        <w:rPr>
          <w:rFonts w:ascii="Times New Roman" w:hAnsi="Times New Roman" w:cs="Times New Roman"/>
          <w:sz w:val="24"/>
          <w:szCs w:val="24"/>
        </w:rPr>
        <w:t>u</w:t>
      </w:r>
      <w:r w:rsidR="006B634D" w:rsidRPr="0058168B">
        <w:rPr>
          <w:rFonts w:ascii="Times New Roman" w:hAnsi="Times New Roman" w:cs="Times New Roman"/>
          <w:sz w:val="24"/>
          <w:szCs w:val="24"/>
        </w:rPr>
        <w:t xml:space="preserve"> Nr. 129 “Par ēkas Jūras ielā 4, Carnikavā tehnisko apsekošanu”</w:t>
      </w:r>
      <w:r w:rsidR="006B634D">
        <w:rPr>
          <w:rFonts w:ascii="Times New Roman" w:hAnsi="Times New Roman" w:cs="Times New Roman"/>
          <w:b/>
          <w:bCs/>
          <w:sz w:val="24"/>
          <w:szCs w:val="24"/>
        </w:rPr>
        <w:t xml:space="preserve"> </w:t>
      </w:r>
      <w:r w:rsidR="00832718">
        <w:rPr>
          <w:rFonts w:ascii="Times New Roman" w:hAnsi="Times New Roman" w:cs="Times New Roman"/>
          <w:b/>
          <w:bCs/>
          <w:sz w:val="24"/>
          <w:szCs w:val="24"/>
        </w:rPr>
        <w:t xml:space="preserve">uzdeva Aģentūrai </w:t>
      </w:r>
      <w:r w:rsidR="006B634D">
        <w:rPr>
          <w:rFonts w:ascii="Times New Roman" w:hAnsi="Times New Roman" w:cs="Times New Roman"/>
          <w:b/>
          <w:bCs/>
          <w:sz w:val="24"/>
          <w:szCs w:val="24"/>
        </w:rPr>
        <w:t xml:space="preserve">organizēt </w:t>
      </w:r>
      <w:r w:rsidR="0074475C">
        <w:rPr>
          <w:rFonts w:ascii="Times New Roman" w:hAnsi="Times New Roman" w:cs="Times New Roman"/>
          <w:b/>
          <w:bCs/>
          <w:sz w:val="24"/>
          <w:szCs w:val="24"/>
        </w:rPr>
        <w:t>Ē</w:t>
      </w:r>
      <w:r w:rsidR="006B634D" w:rsidRPr="006B634D">
        <w:rPr>
          <w:rFonts w:ascii="Times New Roman" w:hAnsi="Times New Roman" w:cs="Times New Roman"/>
          <w:b/>
          <w:bCs/>
          <w:sz w:val="24"/>
          <w:szCs w:val="24"/>
        </w:rPr>
        <w:t>kas tehnisko apsekošanu</w:t>
      </w:r>
      <w:r w:rsidR="006B634D" w:rsidRPr="0058168B">
        <w:rPr>
          <w:rFonts w:ascii="Times New Roman" w:hAnsi="Times New Roman" w:cs="Times New Roman"/>
          <w:sz w:val="24"/>
          <w:szCs w:val="24"/>
        </w:rPr>
        <w:t xml:space="preserve">, piesaistot sertificētu </w:t>
      </w:r>
      <w:proofErr w:type="spellStart"/>
      <w:r w:rsidR="006B634D" w:rsidRPr="0058168B">
        <w:rPr>
          <w:rFonts w:ascii="Times New Roman" w:hAnsi="Times New Roman" w:cs="Times New Roman"/>
          <w:sz w:val="24"/>
          <w:szCs w:val="24"/>
        </w:rPr>
        <w:t>būvspeciālistu</w:t>
      </w:r>
      <w:proofErr w:type="spellEnd"/>
      <w:r w:rsidR="006B634D">
        <w:rPr>
          <w:rFonts w:ascii="Times New Roman" w:hAnsi="Times New Roman" w:cs="Times New Roman"/>
          <w:b/>
          <w:bCs/>
          <w:sz w:val="24"/>
          <w:szCs w:val="24"/>
        </w:rPr>
        <w:t>.</w:t>
      </w:r>
      <w:r w:rsidR="006B634D" w:rsidRPr="006B634D">
        <w:rPr>
          <w:rFonts w:ascii="Times New Roman" w:hAnsi="Times New Roman" w:cs="Times New Roman"/>
          <w:b/>
          <w:bCs/>
          <w:sz w:val="24"/>
          <w:szCs w:val="24"/>
        </w:rPr>
        <w:t xml:space="preserve"> </w:t>
      </w:r>
      <w:r w:rsidR="00AC62FB" w:rsidRPr="00C743BD">
        <w:rPr>
          <w:rFonts w:ascii="Times New Roman" w:hAnsi="Times New Roman" w:cs="Times New Roman"/>
          <w:sz w:val="24"/>
          <w:szCs w:val="24"/>
        </w:rPr>
        <w:t xml:space="preserve">2025. gada maijā tika veikta </w:t>
      </w:r>
      <w:r w:rsidR="00AC62FB">
        <w:rPr>
          <w:rFonts w:ascii="Times New Roman" w:hAnsi="Times New Roman" w:cs="Times New Roman"/>
          <w:sz w:val="24"/>
          <w:szCs w:val="24"/>
        </w:rPr>
        <w:t xml:space="preserve">Ēkas </w:t>
      </w:r>
      <w:r w:rsidR="00AC62FB" w:rsidRPr="00C743BD">
        <w:rPr>
          <w:rFonts w:ascii="Times New Roman" w:hAnsi="Times New Roman" w:cs="Times New Roman"/>
          <w:sz w:val="24"/>
          <w:szCs w:val="24"/>
        </w:rPr>
        <w:t>tehniskā apsekošana</w:t>
      </w:r>
      <w:r w:rsidR="00AC62FB">
        <w:rPr>
          <w:rFonts w:ascii="Times New Roman" w:hAnsi="Times New Roman" w:cs="Times New Roman"/>
          <w:sz w:val="24"/>
          <w:szCs w:val="24"/>
        </w:rPr>
        <w:t>.</w:t>
      </w:r>
      <w:r w:rsidR="00C743BD" w:rsidRPr="00C743BD">
        <w:rPr>
          <w:rFonts w:ascii="Times New Roman" w:hAnsi="Times New Roman" w:cs="Times New Roman"/>
          <w:sz w:val="24"/>
          <w:szCs w:val="24"/>
        </w:rPr>
        <w:t xml:space="preserve"> </w:t>
      </w:r>
    </w:p>
    <w:p w14:paraId="6E1ACD0F" w14:textId="16932020" w:rsidR="00C743BD" w:rsidRDefault="009B6C9A" w:rsidP="0058168B">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Atbilstoši tehniskās apsekošanas </w:t>
      </w:r>
      <w:r w:rsidR="005A18AB">
        <w:rPr>
          <w:rFonts w:ascii="Times New Roman" w:hAnsi="Times New Roman" w:cs="Times New Roman"/>
          <w:b/>
          <w:bCs/>
          <w:sz w:val="24"/>
          <w:szCs w:val="24"/>
        </w:rPr>
        <w:t xml:space="preserve">30.05.2025. </w:t>
      </w:r>
      <w:r>
        <w:rPr>
          <w:rFonts w:ascii="Times New Roman" w:hAnsi="Times New Roman" w:cs="Times New Roman"/>
          <w:b/>
          <w:bCs/>
          <w:sz w:val="24"/>
          <w:szCs w:val="24"/>
        </w:rPr>
        <w:t>atzinumam</w:t>
      </w:r>
      <w:r w:rsidR="00EE78F3">
        <w:rPr>
          <w:rFonts w:ascii="Times New Roman" w:hAnsi="Times New Roman" w:cs="Times New Roman"/>
          <w:sz w:val="24"/>
          <w:szCs w:val="24"/>
        </w:rPr>
        <w:t xml:space="preserve"> (turpmāk – TAA)</w:t>
      </w:r>
      <w:r w:rsidR="00C743BD" w:rsidRPr="0058168B">
        <w:rPr>
          <w:rFonts w:ascii="Times New Roman" w:hAnsi="Times New Roman" w:cs="Times New Roman"/>
          <w:sz w:val="24"/>
          <w:szCs w:val="24"/>
        </w:rPr>
        <w:t>:</w:t>
      </w:r>
    </w:p>
    <w:p w14:paraId="59647C48" w14:textId="77777777" w:rsidR="00EB187F" w:rsidRPr="00EB187F" w:rsidRDefault="00EB187F" w:rsidP="0058168B">
      <w:pPr>
        <w:pStyle w:val="ListParagraph"/>
        <w:numPr>
          <w:ilvl w:val="0"/>
          <w:numId w:val="22"/>
        </w:numPr>
        <w:spacing w:after="120" w:line="240" w:lineRule="auto"/>
        <w:ind w:left="425" w:hanging="425"/>
        <w:contextualSpacing w:val="0"/>
        <w:jc w:val="both"/>
        <w:rPr>
          <w:rFonts w:ascii="Times New Roman" w:hAnsi="Times New Roman" w:cs="Times New Roman"/>
          <w:sz w:val="24"/>
          <w:szCs w:val="24"/>
        </w:rPr>
      </w:pPr>
      <w:r w:rsidRPr="002750EE">
        <w:rPr>
          <w:rFonts w:ascii="Times New Roman" w:hAnsi="Times New Roman" w:cs="Times New Roman"/>
          <w:sz w:val="24"/>
          <w:szCs w:val="24"/>
          <w:u w:val="single"/>
        </w:rPr>
        <w:t>Būvkonstrukcijas</w:t>
      </w:r>
      <w:r w:rsidRPr="00EB187F">
        <w:rPr>
          <w:rFonts w:ascii="Times New Roman" w:hAnsi="Times New Roman" w:cs="Times New Roman"/>
          <w:sz w:val="24"/>
          <w:szCs w:val="24"/>
        </w:rPr>
        <w:t xml:space="preserve"> atbilst Būvniecības likuma 9. panta prasībām lietošanas drošībai, mehāniskajai stiprībai un stabilitātei. Ēkas galvenās būvkonstrukcijas ir stabilas un pietiekoši noturīgas. Veicot apsekošanu neradās šaubas par ēkas kopējo nestspēju un telpisko noturību. Balsta konstrukciju tehniskais stāvoklis nestspējas un būvju telpiskās noturības aspektā vērtējams kā apmierinošs. </w:t>
      </w:r>
    </w:p>
    <w:p w14:paraId="0CC6C36E" w14:textId="6D417D6B" w:rsidR="00EB187F" w:rsidRPr="0058168B" w:rsidRDefault="00AC62FB" w:rsidP="0058168B">
      <w:pPr>
        <w:pStyle w:val="ListParagraph"/>
        <w:numPr>
          <w:ilvl w:val="0"/>
          <w:numId w:val="22"/>
        </w:numPr>
        <w:ind w:left="426" w:hanging="426"/>
        <w:contextualSpacing w:val="0"/>
        <w:jc w:val="both"/>
        <w:rPr>
          <w:rFonts w:ascii="Times New Roman" w:hAnsi="Times New Roman" w:cs="Times New Roman"/>
          <w:color w:val="000000" w:themeColor="text1"/>
          <w:sz w:val="24"/>
          <w:szCs w:val="24"/>
        </w:rPr>
      </w:pPr>
      <w:r w:rsidRPr="0058168B">
        <w:rPr>
          <w:rFonts w:ascii="Times New Roman" w:hAnsi="Times New Roman" w:cs="Times New Roman"/>
          <w:sz w:val="24"/>
          <w:szCs w:val="24"/>
          <w:u w:val="single"/>
        </w:rPr>
        <w:t>B</w:t>
      </w:r>
      <w:r w:rsidR="00C743BD" w:rsidRPr="0058168B">
        <w:rPr>
          <w:rFonts w:ascii="Times New Roman" w:hAnsi="Times New Roman" w:cs="Times New Roman"/>
          <w:sz w:val="24"/>
          <w:szCs w:val="24"/>
          <w:u w:val="single"/>
        </w:rPr>
        <w:t>ūvkonstrukcijas</w:t>
      </w:r>
      <w:r w:rsidR="00C743BD" w:rsidRPr="0058168B">
        <w:rPr>
          <w:rFonts w:ascii="Times New Roman" w:hAnsi="Times New Roman" w:cs="Times New Roman"/>
          <w:sz w:val="24"/>
          <w:szCs w:val="24"/>
        </w:rPr>
        <w:t xml:space="preserve"> kopumā nodrošin</w:t>
      </w:r>
      <w:r w:rsidRPr="0058168B">
        <w:rPr>
          <w:rFonts w:ascii="Times New Roman" w:hAnsi="Times New Roman" w:cs="Times New Roman"/>
          <w:sz w:val="24"/>
          <w:szCs w:val="24"/>
        </w:rPr>
        <w:t>a</w:t>
      </w:r>
      <w:r w:rsidR="00C743BD" w:rsidRPr="0058168B">
        <w:rPr>
          <w:rFonts w:ascii="Times New Roman" w:hAnsi="Times New Roman" w:cs="Times New Roman"/>
          <w:sz w:val="24"/>
          <w:szCs w:val="24"/>
        </w:rPr>
        <w:t xml:space="preserve"> funkcionālo atbilstību normālas ekspluatācijas </w:t>
      </w:r>
      <w:r w:rsidR="00C743BD" w:rsidRPr="0058168B">
        <w:rPr>
          <w:rFonts w:ascii="Times New Roman" w:hAnsi="Times New Roman" w:cs="Times New Roman"/>
          <w:color w:val="000000" w:themeColor="text1"/>
          <w:sz w:val="24"/>
          <w:szCs w:val="24"/>
        </w:rPr>
        <w:t>prasībām</w:t>
      </w:r>
      <w:r w:rsidR="005E6B8A" w:rsidRPr="0058168B">
        <w:rPr>
          <w:rFonts w:ascii="Times New Roman" w:hAnsi="Times New Roman" w:cs="Times New Roman"/>
          <w:color w:val="000000" w:themeColor="text1"/>
          <w:sz w:val="24"/>
          <w:szCs w:val="24"/>
        </w:rPr>
        <w:t xml:space="preserve">, </w:t>
      </w:r>
      <w:r w:rsidRPr="0058168B">
        <w:rPr>
          <w:rFonts w:ascii="Times New Roman" w:hAnsi="Times New Roman" w:cs="Times New Roman"/>
          <w:color w:val="000000" w:themeColor="text1"/>
          <w:sz w:val="24"/>
          <w:szCs w:val="24"/>
        </w:rPr>
        <w:t>ir</w:t>
      </w:r>
      <w:r w:rsidR="00C743BD" w:rsidRPr="0058168B">
        <w:rPr>
          <w:rFonts w:ascii="Times New Roman" w:hAnsi="Times New Roman" w:cs="Times New Roman"/>
          <w:color w:val="000000" w:themeColor="text1"/>
          <w:sz w:val="24"/>
          <w:szCs w:val="24"/>
        </w:rPr>
        <w:t xml:space="preserve"> ar pietiekamu nodilumizturību un materiāli </w:t>
      </w:r>
      <w:r w:rsidRPr="0058168B">
        <w:rPr>
          <w:rFonts w:ascii="Times New Roman" w:hAnsi="Times New Roman" w:cs="Times New Roman"/>
          <w:color w:val="000000" w:themeColor="text1"/>
          <w:sz w:val="24"/>
          <w:szCs w:val="24"/>
        </w:rPr>
        <w:t>ir</w:t>
      </w:r>
      <w:r w:rsidR="00C743BD" w:rsidRPr="0058168B">
        <w:rPr>
          <w:rFonts w:ascii="Times New Roman" w:hAnsi="Times New Roman" w:cs="Times New Roman"/>
          <w:color w:val="000000" w:themeColor="text1"/>
          <w:sz w:val="24"/>
          <w:szCs w:val="24"/>
        </w:rPr>
        <w:t xml:space="preserve"> aizsargāti pret bojāšanos</w:t>
      </w:r>
      <w:r w:rsidR="005E6B8A" w:rsidRPr="0058168B">
        <w:rPr>
          <w:rFonts w:ascii="Times New Roman" w:hAnsi="Times New Roman" w:cs="Times New Roman"/>
          <w:color w:val="000000" w:themeColor="text1"/>
          <w:sz w:val="24"/>
          <w:szCs w:val="24"/>
        </w:rPr>
        <w:t xml:space="preserve">, </w:t>
      </w:r>
      <w:r w:rsidR="00C743BD" w:rsidRPr="0058168B">
        <w:rPr>
          <w:rFonts w:ascii="Times New Roman" w:hAnsi="Times New Roman" w:cs="Times New Roman"/>
          <w:color w:val="000000" w:themeColor="text1"/>
          <w:sz w:val="24"/>
          <w:szCs w:val="24"/>
        </w:rPr>
        <w:t>ārējais izskats neizrais</w:t>
      </w:r>
      <w:r w:rsidRPr="0058168B">
        <w:rPr>
          <w:rFonts w:ascii="Times New Roman" w:hAnsi="Times New Roman" w:cs="Times New Roman"/>
          <w:color w:val="000000" w:themeColor="text1"/>
          <w:sz w:val="24"/>
          <w:szCs w:val="24"/>
        </w:rPr>
        <w:t>a</w:t>
      </w:r>
      <w:r w:rsidR="00C743BD" w:rsidRPr="0058168B">
        <w:rPr>
          <w:rFonts w:ascii="Times New Roman" w:hAnsi="Times New Roman" w:cs="Times New Roman"/>
          <w:color w:val="000000" w:themeColor="text1"/>
          <w:sz w:val="24"/>
          <w:szCs w:val="24"/>
        </w:rPr>
        <w:t xml:space="preserve"> negatīvas emocijas</w:t>
      </w:r>
      <w:r w:rsidRPr="0058168B">
        <w:rPr>
          <w:rFonts w:ascii="Times New Roman" w:hAnsi="Times New Roman" w:cs="Times New Roman"/>
          <w:color w:val="000000" w:themeColor="text1"/>
          <w:sz w:val="24"/>
          <w:szCs w:val="24"/>
        </w:rPr>
        <w:t xml:space="preserve">, t.i., </w:t>
      </w:r>
      <w:r w:rsidR="00C743BD" w:rsidRPr="0058168B">
        <w:rPr>
          <w:rFonts w:ascii="Times New Roman" w:hAnsi="Times New Roman" w:cs="Times New Roman"/>
          <w:color w:val="000000" w:themeColor="text1"/>
          <w:sz w:val="24"/>
          <w:szCs w:val="24"/>
        </w:rPr>
        <w:t>bailes un nedrošības sajūtu</w:t>
      </w:r>
      <w:r w:rsidR="005E6B8A" w:rsidRPr="0058168B">
        <w:rPr>
          <w:rFonts w:ascii="Times New Roman" w:hAnsi="Times New Roman" w:cs="Times New Roman"/>
          <w:color w:val="000000" w:themeColor="text1"/>
          <w:sz w:val="24"/>
          <w:szCs w:val="24"/>
        </w:rPr>
        <w:t>.</w:t>
      </w:r>
    </w:p>
    <w:p w14:paraId="7D98E64B" w14:textId="77777777" w:rsidR="00EB187F" w:rsidRPr="0058168B" w:rsidRDefault="00EB187F" w:rsidP="0058168B">
      <w:pPr>
        <w:pStyle w:val="ListParagraph"/>
        <w:numPr>
          <w:ilvl w:val="0"/>
          <w:numId w:val="22"/>
        </w:numPr>
        <w:spacing w:before="120" w:after="0" w:line="240" w:lineRule="auto"/>
        <w:ind w:left="426" w:hanging="426"/>
        <w:contextualSpacing w:val="0"/>
        <w:jc w:val="both"/>
        <w:rPr>
          <w:color w:val="000000" w:themeColor="text1"/>
        </w:rPr>
      </w:pPr>
      <w:r w:rsidRPr="0058168B">
        <w:rPr>
          <w:rFonts w:ascii="Times New Roman" w:hAnsi="Times New Roman" w:cs="Times New Roman"/>
          <w:color w:val="000000" w:themeColor="text1"/>
          <w:sz w:val="24"/>
          <w:szCs w:val="24"/>
          <w:u w:val="single"/>
        </w:rPr>
        <w:t>Būvdarbu</w:t>
      </w:r>
      <w:r w:rsidRPr="0058168B">
        <w:rPr>
          <w:rFonts w:ascii="Times New Roman" w:hAnsi="Times New Roman" w:cs="Times New Roman"/>
          <w:color w:val="000000" w:themeColor="text1"/>
          <w:sz w:val="24"/>
          <w:szCs w:val="24"/>
        </w:rPr>
        <w:t xml:space="preserve"> kvalitātei ir pietiekama varbūtība garantēt nesošo būvkonstrukciju stiprību, stingrumu un funkcionālo atbilstību ekspluatācijas laikā, ņemot vērā slodžu un vides faktoru nelabvēlīgās kombinācijas.</w:t>
      </w:r>
    </w:p>
    <w:p w14:paraId="251409AE" w14:textId="77777777" w:rsidR="00EB187F" w:rsidRPr="0058168B" w:rsidRDefault="00EB187F" w:rsidP="0058168B">
      <w:pPr>
        <w:pStyle w:val="ListParagraph"/>
        <w:numPr>
          <w:ilvl w:val="0"/>
          <w:numId w:val="22"/>
        </w:numPr>
        <w:spacing w:before="120" w:after="0" w:line="240" w:lineRule="auto"/>
        <w:ind w:left="426" w:hanging="426"/>
        <w:contextualSpacing w:val="0"/>
        <w:jc w:val="both"/>
        <w:rPr>
          <w:rFonts w:ascii="Times New Roman" w:hAnsi="Times New Roman" w:cs="Times New Roman"/>
          <w:color w:val="000000" w:themeColor="text1"/>
          <w:sz w:val="24"/>
          <w:szCs w:val="24"/>
        </w:rPr>
      </w:pPr>
      <w:r w:rsidRPr="0058168B">
        <w:rPr>
          <w:rFonts w:ascii="Times New Roman" w:hAnsi="Times New Roman" w:cs="Times New Roman"/>
          <w:color w:val="000000" w:themeColor="text1"/>
          <w:sz w:val="24"/>
          <w:szCs w:val="24"/>
        </w:rPr>
        <w:lastRenderedPageBreak/>
        <w:t xml:space="preserve">Netika konstatēti būtiski nesošo konstrukciju bojājumi, kas pazemina atsevišķu konstrukciju mehānisko stiprību. Atsevišķiem bojājumiem ir lokāls raksturs un kopumā tie neietekmē ēkas konstruktīvo elementu stiprību un telpisko noturību. </w:t>
      </w:r>
    </w:p>
    <w:p w14:paraId="61CB93E9" w14:textId="14E272CB" w:rsidR="00EB187F" w:rsidRPr="0058168B" w:rsidRDefault="00EB187F" w:rsidP="0058168B">
      <w:pPr>
        <w:pStyle w:val="ListParagraph"/>
        <w:numPr>
          <w:ilvl w:val="0"/>
          <w:numId w:val="22"/>
        </w:numPr>
        <w:spacing w:before="120" w:after="0" w:line="240" w:lineRule="auto"/>
        <w:ind w:left="426" w:hanging="426"/>
        <w:contextualSpacing w:val="0"/>
        <w:jc w:val="both"/>
        <w:rPr>
          <w:rFonts w:ascii="Times New Roman" w:hAnsi="Times New Roman" w:cs="Times New Roman"/>
          <w:color w:val="000000" w:themeColor="text1"/>
          <w:sz w:val="24"/>
          <w:szCs w:val="24"/>
        </w:rPr>
      </w:pPr>
      <w:r w:rsidRPr="0058168B">
        <w:rPr>
          <w:rFonts w:ascii="Times New Roman" w:hAnsi="Times New Roman" w:cs="Times New Roman"/>
          <w:color w:val="000000" w:themeColor="text1"/>
          <w:sz w:val="24"/>
          <w:szCs w:val="24"/>
          <w:u w:val="single"/>
        </w:rPr>
        <w:t>Ēka neatbilst publiskās būves prasībām</w:t>
      </w:r>
      <w:r w:rsidRPr="0058168B">
        <w:rPr>
          <w:rFonts w:ascii="Times New Roman" w:hAnsi="Times New Roman" w:cs="Times New Roman"/>
          <w:b/>
          <w:bCs/>
          <w:color w:val="000000" w:themeColor="text1"/>
          <w:sz w:val="24"/>
          <w:szCs w:val="24"/>
        </w:rPr>
        <w:t xml:space="preserve"> (</w:t>
      </w:r>
      <w:r w:rsidRPr="0058168B">
        <w:rPr>
          <w:rFonts w:ascii="Times New Roman" w:hAnsi="Times New Roman" w:cs="Times New Roman"/>
          <w:color w:val="000000" w:themeColor="text1"/>
          <w:sz w:val="24"/>
          <w:szCs w:val="24"/>
        </w:rPr>
        <w:t>MK 19.10.2021. noteikumi Nr. 693 “Būvju vispārīgo prasību būvnormatīvs LBN 200-21”):</w:t>
      </w:r>
    </w:p>
    <w:p w14:paraId="2298337A" w14:textId="6BA1C4D4" w:rsidR="00EB187F" w:rsidRPr="0058168B" w:rsidRDefault="00EB187F" w:rsidP="00EB187F">
      <w:pPr>
        <w:pStyle w:val="ListParagraph"/>
        <w:numPr>
          <w:ilvl w:val="1"/>
          <w:numId w:val="22"/>
        </w:numPr>
        <w:spacing w:before="120" w:after="0" w:line="240" w:lineRule="auto"/>
        <w:ind w:left="993" w:hanging="567"/>
        <w:contextualSpacing w:val="0"/>
        <w:jc w:val="both"/>
        <w:rPr>
          <w:rFonts w:ascii="Times New Roman" w:hAnsi="Times New Roman" w:cs="Times New Roman"/>
          <w:color w:val="000000" w:themeColor="text1"/>
          <w:sz w:val="24"/>
          <w:szCs w:val="24"/>
        </w:rPr>
      </w:pPr>
      <w:r w:rsidRPr="0058168B">
        <w:rPr>
          <w:rFonts w:ascii="Times New Roman" w:hAnsi="Times New Roman" w:cs="Times New Roman"/>
          <w:color w:val="000000" w:themeColor="text1"/>
          <w:sz w:val="24"/>
          <w:szCs w:val="24"/>
        </w:rPr>
        <w:t>publiskās telpās, t.sk., izglītības iestāžu klasēs, auditorijās, birojos un citās darba telpās minimālais telpu augstums ir 2,7 m. Faktiskais telpu augstums ir 2,6 m;</w:t>
      </w:r>
    </w:p>
    <w:p w14:paraId="492C2125" w14:textId="25E9C1D0" w:rsidR="00EB187F" w:rsidRPr="0058168B" w:rsidRDefault="00EB187F" w:rsidP="00EB187F">
      <w:pPr>
        <w:pStyle w:val="ListParagraph"/>
        <w:numPr>
          <w:ilvl w:val="1"/>
          <w:numId w:val="22"/>
        </w:numPr>
        <w:spacing w:before="120" w:after="0" w:line="240" w:lineRule="auto"/>
        <w:ind w:left="993" w:hanging="567"/>
        <w:contextualSpacing w:val="0"/>
        <w:jc w:val="both"/>
        <w:rPr>
          <w:rFonts w:ascii="Times New Roman" w:hAnsi="Times New Roman" w:cs="Times New Roman"/>
          <w:color w:val="000000" w:themeColor="text1"/>
          <w:sz w:val="24"/>
          <w:szCs w:val="24"/>
        </w:rPr>
      </w:pPr>
      <w:r w:rsidRPr="0058168B">
        <w:rPr>
          <w:rFonts w:ascii="Times New Roman" w:hAnsi="Times New Roman" w:cs="Times New Roman"/>
          <w:color w:val="000000" w:themeColor="text1"/>
          <w:sz w:val="24"/>
          <w:szCs w:val="24"/>
        </w:rPr>
        <w:t>neatbilstība prasībām par būvju vides pieejamību.</w:t>
      </w:r>
    </w:p>
    <w:p w14:paraId="754B6CCD" w14:textId="620A5DF0" w:rsidR="00EB187F" w:rsidRPr="0058168B" w:rsidRDefault="00EB187F" w:rsidP="005A18AB">
      <w:pPr>
        <w:pStyle w:val="ListParagraph"/>
        <w:numPr>
          <w:ilvl w:val="0"/>
          <w:numId w:val="22"/>
        </w:numPr>
        <w:spacing w:before="120" w:after="0" w:line="240" w:lineRule="auto"/>
        <w:ind w:left="426" w:hanging="426"/>
        <w:contextualSpacing w:val="0"/>
        <w:jc w:val="both"/>
        <w:rPr>
          <w:rFonts w:ascii="Times New Roman" w:hAnsi="Times New Roman" w:cs="Times New Roman"/>
          <w:color w:val="000000" w:themeColor="text1"/>
          <w:sz w:val="24"/>
          <w:szCs w:val="24"/>
        </w:rPr>
      </w:pPr>
      <w:r w:rsidRPr="0058168B">
        <w:rPr>
          <w:rFonts w:ascii="Times New Roman" w:hAnsi="Times New Roman" w:cs="Times New Roman"/>
          <w:color w:val="000000" w:themeColor="text1"/>
          <w:sz w:val="24"/>
          <w:szCs w:val="24"/>
          <w:u w:val="single"/>
        </w:rPr>
        <w:t>Ēka ir neatbilst prasībām gaisa apmaiņa</w:t>
      </w:r>
      <w:r w:rsidR="00C4006C" w:rsidRPr="0058168B">
        <w:rPr>
          <w:rFonts w:ascii="Times New Roman" w:hAnsi="Times New Roman" w:cs="Times New Roman"/>
          <w:color w:val="000000" w:themeColor="text1"/>
          <w:sz w:val="24"/>
          <w:szCs w:val="24"/>
          <w:u w:val="single"/>
        </w:rPr>
        <w:t>i</w:t>
      </w:r>
      <w:r w:rsidRPr="0058168B">
        <w:rPr>
          <w:rFonts w:ascii="Times New Roman" w:hAnsi="Times New Roman" w:cs="Times New Roman"/>
          <w:color w:val="000000" w:themeColor="text1"/>
          <w:sz w:val="24"/>
          <w:szCs w:val="24"/>
          <w:u w:val="single"/>
        </w:rPr>
        <w:t>, kvalitāt</w:t>
      </w:r>
      <w:r w:rsidR="00C4006C" w:rsidRPr="0058168B">
        <w:rPr>
          <w:rFonts w:ascii="Times New Roman" w:hAnsi="Times New Roman" w:cs="Times New Roman"/>
          <w:color w:val="000000" w:themeColor="text1"/>
          <w:sz w:val="24"/>
          <w:szCs w:val="24"/>
          <w:u w:val="single"/>
        </w:rPr>
        <w:t>ei</w:t>
      </w:r>
      <w:r w:rsidRPr="0058168B">
        <w:rPr>
          <w:rFonts w:ascii="Times New Roman" w:hAnsi="Times New Roman" w:cs="Times New Roman"/>
          <w:color w:val="000000" w:themeColor="text1"/>
          <w:sz w:val="24"/>
          <w:szCs w:val="24"/>
          <w:u w:val="single"/>
        </w:rPr>
        <w:t>, temperatūra</w:t>
      </w:r>
      <w:r w:rsidR="00C4006C" w:rsidRPr="0058168B">
        <w:rPr>
          <w:rFonts w:ascii="Times New Roman" w:hAnsi="Times New Roman" w:cs="Times New Roman"/>
          <w:color w:val="000000" w:themeColor="text1"/>
          <w:sz w:val="24"/>
          <w:szCs w:val="24"/>
          <w:u w:val="single"/>
        </w:rPr>
        <w:t>i</w:t>
      </w:r>
      <w:r w:rsidRPr="0058168B">
        <w:rPr>
          <w:rFonts w:ascii="Times New Roman" w:hAnsi="Times New Roman" w:cs="Times New Roman"/>
          <w:color w:val="000000" w:themeColor="text1"/>
          <w:sz w:val="24"/>
          <w:szCs w:val="24"/>
          <w:u w:val="single"/>
        </w:rPr>
        <w:t xml:space="preserve"> un mitrumam</w:t>
      </w:r>
      <w:r w:rsidRPr="0058168B">
        <w:rPr>
          <w:rFonts w:ascii="Times New Roman" w:hAnsi="Times New Roman" w:cs="Times New Roman"/>
          <w:color w:val="000000" w:themeColor="text1"/>
          <w:sz w:val="24"/>
          <w:szCs w:val="24"/>
        </w:rPr>
        <w:t xml:space="preserve"> telpās (MK 16.07.2015. noteikumi Nr. 310 “Noteikumi par Latvijas būvnormatīvu LBN 231-15 “Dzīvojamo un publisko ēku apkure un ventilācija””</w:t>
      </w:r>
      <w:r w:rsidR="00C4006C" w:rsidRPr="0058168B">
        <w:rPr>
          <w:rFonts w:ascii="Times New Roman" w:hAnsi="Times New Roman" w:cs="Times New Roman"/>
          <w:color w:val="000000" w:themeColor="text1"/>
          <w:sz w:val="24"/>
          <w:szCs w:val="24"/>
        </w:rPr>
        <w:t>)</w:t>
      </w:r>
      <w:r w:rsidRPr="0058168B">
        <w:rPr>
          <w:rFonts w:ascii="Times New Roman" w:hAnsi="Times New Roman" w:cs="Times New Roman"/>
          <w:color w:val="000000" w:themeColor="text1"/>
          <w:sz w:val="24"/>
          <w:szCs w:val="24"/>
        </w:rPr>
        <w:t>.</w:t>
      </w:r>
    </w:p>
    <w:p w14:paraId="5E147166" w14:textId="423C996F" w:rsidR="00EB187F" w:rsidRPr="0058168B" w:rsidRDefault="00C4006C" w:rsidP="005A18AB">
      <w:pPr>
        <w:pStyle w:val="ListParagraph"/>
        <w:numPr>
          <w:ilvl w:val="0"/>
          <w:numId w:val="22"/>
        </w:numPr>
        <w:spacing w:before="120" w:after="0" w:line="240" w:lineRule="auto"/>
        <w:ind w:left="426" w:hanging="426"/>
        <w:contextualSpacing w:val="0"/>
        <w:jc w:val="both"/>
        <w:rPr>
          <w:rFonts w:ascii="Times New Roman" w:hAnsi="Times New Roman" w:cs="Times New Roman"/>
          <w:color w:val="000000" w:themeColor="text1"/>
          <w:sz w:val="24"/>
          <w:szCs w:val="24"/>
        </w:rPr>
      </w:pPr>
      <w:r w:rsidRPr="00B11845">
        <w:rPr>
          <w:rFonts w:ascii="Times New Roman" w:hAnsi="Times New Roman" w:cs="Times New Roman"/>
          <w:color w:val="000000" w:themeColor="text1"/>
          <w:sz w:val="24"/>
          <w:szCs w:val="24"/>
          <w:u w:val="single"/>
        </w:rPr>
        <w:t xml:space="preserve">Ēka neatbilst prasībām logu un durvju konstrukcijām, kā arī jumta un pārsegumu </w:t>
      </w:r>
      <w:proofErr w:type="spellStart"/>
      <w:r w:rsidRPr="00B11845">
        <w:rPr>
          <w:rFonts w:ascii="Times New Roman" w:hAnsi="Times New Roman" w:cs="Times New Roman"/>
          <w:color w:val="000000" w:themeColor="text1"/>
          <w:sz w:val="24"/>
          <w:szCs w:val="24"/>
          <w:u w:val="single"/>
        </w:rPr>
        <w:t>siltumizolējošo</w:t>
      </w:r>
      <w:proofErr w:type="spellEnd"/>
      <w:r w:rsidRPr="00B11845">
        <w:rPr>
          <w:rFonts w:ascii="Times New Roman" w:hAnsi="Times New Roman" w:cs="Times New Roman"/>
          <w:color w:val="000000" w:themeColor="text1"/>
          <w:sz w:val="24"/>
          <w:szCs w:val="24"/>
          <w:u w:val="single"/>
        </w:rPr>
        <w:t xml:space="preserve"> slāņu parametriem</w:t>
      </w:r>
      <w:r w:rsidRPr="0058168B">
        <w:rPr>
          <w:rFonts w:ascii="Times New Roman" w:hAnsi="Times New Roman" w:cs="Times New Roman"/>
          <w:color w:val="000000" w:themeColor="text1"/>
          <w:sz w:val="24"/>
          <w:szCs w:val="24"/>
        </w:rPr>
        <w:t xml:space="preserve"> (Latvijas būvnormatīvs LBN 002-19 “Ēku norobežojošo konstrukciju siltumtehnika”)</w:t>
      </w:r>
      <w:r w:rsidR="00EB187F" w:rsidRPr="0058168B">
        <w:rPr>
          <w:rFonts w:ascii="Times New Roman" w:hAnsi="Times New Roman" w:cs="Times New Roman"/>
          <w:color w:val="000000" w:themeColor="text1"/>
          <w:sz w:val="24"/>
          <w:szCs w:val="24"/>
        </w:rPr>
        <w:t>.</w:t>
      </w:r>
    </w:p>
    <w:p w14:paraId="75621109" w14:textId="28B4F6FC" w:rsidR="009B6C9A" w:rsidRDefault="00C4006C" w:rsidP="005A18AB">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Atzinumā</w:t>
      </w:r>
      <w:r w:rsidR="00EE78F3">
        <w:rPr>
          <w:rFonts w:ascii="Times New Roman" w:hAnsi="Times New Roman" w:cs="Times New Roman"/>
          <w:sz w:val="24"/>
          <w:szCs w:val="24"/>
        </w:rPr>
        <w:t xml:space="preserve"> ieteik</w:t>
      </w:r>
      <w:r>
        <w:rPr>
          <w:rFonts w:ascii="Times New Roman" w:hAnsi="Times New Roman" w:cs="Times New Roman"/>
          <w:sz w:val="24"/>
          <w:szCs w:val="24"/>
        </w:rPr>
        <w:t>ts arī</w:t>
      </w:r>
      <w:r w:rsidR="00EE78F3">
        <w:rPr>
          <w:rFonts w:ascii="Times New Roman" w:hAnsi="Times New Roman" w:cs="Times New Roman"/>
          <w:sz w:val="24"/>
          <w:szCs w:val="24"/>
        </w:rPr>
        <w:t xml:space="preserve"> uzsākt kritisko bojāto konstrukciju remontu un nomaiņu:</w:t>
      </w:r>
    </w:p>
    <w:p w14:paraId="1ED16799" w14:textId="28EACB47" w:rsidR="00C4006C" w:rsidRDefault="00C4006C" w:rsidP="0058168B">
      <w:pPr>
        <w:pStyle w:val="ListParagraph"/>
        <w:numPr>
          <w:ilvl w:val="0"/>
          <w:numId w:val="16"/>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jumta seguma, iespējams, arī bojātās izlīdzinošās betona kārtas demontāžu visā </w:t>
      </w:r>
      <w:proofErr w:type="spellStart"/>
      <w:r>
        <w:rPr>
          <w:rFonts w:ascii="Times New Roman" w:hAnsi="Times New Roman" w:cs="Times New Roman"/>
          <w:sz w:val="24"/>
          <w:szCs w:val="24"/>
        </w:rPr>
        <w:t>būvapjomā</w:t>
      </w:r>
      <w:proofErr w:type="spellEnd"/>
      <w:r>
        <w:rPr>
          <w:rFonts w:ascii="Times New Roman" w:hAnsi="Times New Roman" w:cs="Times New Roman"/>
          <w:sz w:val="24"/>
          <w:szCs w:val="24"/>
        </w:rPr>
        <w:t>, izbūvējot jaunu kritumu veidojošu betona kārtu un uzklājot jaunu jumta segumu;</w:t>
      </w:r>
    </w:p>
    <w:p w14:paraId="43777486" w14:textId="6EDA4BB2" w:rsidR="00EE78F3" w:rsidRPr="0058168B" w:rsidRDefault="00EE78F3" w:rsidP="0058168B">
      <w:pPr>
        <w:pStyle w:val="ListParagraph"/>
        <w:numPr>
          <w:ilvl w:val="0"/>
          <w:numId w:val="16"/>
        </w:numPr>
        <w:spacing w:before="120" w:after="0" w:line="240" w:lineRule="auto"/>
        <w:ind w:left="714" w:hanging="357"/>
        <w:contextualSpacing w:val="0"/>
        <w:jc w:val="both"/>
        <w:rPr>
          <w:rFonts w:ascii="Times New Roman" w:hAnsi="Times New Roman" w:cs="Times New Roman"/>
          <w:sz w:val="24"/>
          <w:szCs w:val="24"/>
        </w:rPr>
      </w:pPr>
      <w:r w:rsidRPr="0058168B">
        <w:rPr>
          <w:rFonts w:ascii="Times New Roman" w:hAnsi="Times New Roman" w:cs="Times New Roman"/>
          <w:sz w:val="24"/>
          <w:szCs w:val="24"/>
        </w:rPr>
        <w:t>pazemē esošo smilšmāla ķieģeļu sienu daļu remont</w:t>
      </w:r>
      <w:r w:rsidR="00C4006C">
        <w:rPr>
          <w:rFonts w:ascii="Times New Roman" w:hAnsi="Times New Roman" w:cs="Times New Roman"/>
          <w:sz w:val="24"/>
          <w:szCs w:val="24"/>
        </w:rPr>
        <w:t>u</w:t>
      </w:r>
      <w:r w:rsidRPr="0058168B">
        <w:rPr>
          <w:rFonts w:ascii="Times New Roman" w:hAnsi="Times New Roman" w:cs="Times New Roman"/>
          <w:sz w:val="24"/>
          <w:szCs w:val="24"/>
        </w:rPr>
        <w:t>.</w:t>
      </w:r>
    </w:p>
    <w:p w14:paraId="42ABC626" w14:textId="66CEEF3A" w:rsidR="00B11845" w:rsidRDefault="00135C99" w:rsidP="00A830D2">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Apsekošanas gaitā konstrukciju pazemes daļās tika konstatēts paaugstināts mitruma piesātinājums. </w:t>
      </w:r>
      <w:r w:rsidR="00DB62D3">
        <w:rPr>
          <w:rFonts w:ascii="Times New Roman" w:hAnsi="Times New Roman" w:cs="Times New Roman"/>
          <w:sz w:val="24"/>
          <w:szCs w:val="24"/>
        </w:rPr>
        <w:t>Lai cīnītos ar mitruma absorbciju smilšmāla mūra konstrukcijās, ir jāpielieto stratēģiska pieeja, kas ietver vairāku metožu kombināciju. TAA norādīts, ka ir svarīgi atcerēties, ka vēsturiskām ēkām ir savas specifiskās vajadzības, un jebkurai iejaukšanās jābūt saudzīgai un saderīgai ar esošajiem materiāliem. Jānovērš mitruma avots, jāveicina mitruma izvadīšana no konstrukcijām, kā arī var pielietot ķīmiskās metodes.</w:t>
      </w:r>
    </w:p>
    <w:p w14:paraId="44E9F0B4" w14:textId="4B421EFE" w:rsidR="007E7FDF" w:rsidRDefault="00401403" w:rsidP="00A830D2">
      <w:pPr>
        <w:spacing w:before="120" w:after="0" w:line="240" w:lineRule="auto"/>
        <w:jc w:val="both"/>
        <w:rPr>
          <w:rFonts w:ascii="Times New Roman" w:hAnsi="Times New Roman" w:cs="Times New Roman"/>
          <w:b/>
          <w:bCs/>
          <w:sz w:val="24"/>
          <w:szCs w:val="24"/>
        </w:rPr>
      </w:pPr>
      <w:r w:rsidRPr="0058168B">
        <w:rPr>
          <w:rFonts w:ascii="Times New Roman" w:hAnsi="Times New Roman" w:cs="Times New Roman"/>
          <w:sz w:val="24"/>
          <w:szCs w:val="24"/>
        </w:rPr>
        <w:t>Publiskas personas finanšu līdzekļu un mantas izšķērdēšanas novēršanas likuma 6.</w:t>
      </w:r>
      <w:r w:rsidRPr="00500184">
        <w:rPr>
          <w:rFonts w:ascii="Times New Roman" w:hAnsi="Times New Roman" w:cs="Times New Roman"/>
          <w:sz w:val="24"/>
          <w:szCs w:val="24"/>
          <w:vertAlign w:val="superscript"/>
        </w:rPr>
        <w:t xml:space="preserve">2 </w:t>
      </w:r>
      <w:r w:rsidRPr="0058168B">
        <w:rPr>
          <w:rFonts w:ascii="Times New Roman" w:hAnsi="Times New Roman" w:cs="Times New Roman"/>
          <w:sz w:val="24"/>
          <w:szCs w:val="24"/>
        </w:rPr>
        <w:t xml:space="preserve">panta pirmā daļa nosaka, ka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 Pašvaldība atbild par Ēkas lietotāju apdraudējumu arī tad, kad tā ir nodota lietošanā citām personām. </w:t>
      </w:r>
    </w:p>
    <w:p w14:paraId="54641DA1" w14:textId="66144679" w:rsidR="007E7FDF" w:rsidRPr="0058168B" w:rsidRDefault="00EE78F3" w:rsidP="00A830D2">
      <w:pPr>
        <w:spacing w:before="120" w:after="0" w:line="240" w:lineRule="auto"/>
        <w:jc w:val="both"/>
        <w:rPr>
          <w:rFonts w:ascii="Times New Roman" w:hAnsi="Times New Roman" w:cs="Times New Roman"/>
          <w:color w:val="000000" w:themeColor="text1"/>
          <w:sz w:val="24"/>
          <w:szCs w:val="24"/>
        </w:rPr>
      </w:pPr>
      <w:r w:rsidRPr="0058168B">
        <w:rPr>
          <w:rFonts w:ascii="Times New Roman" w:hAnsi="Times New Roman" w:cs="Times New Roman"/>
          <w:color w:val="000000" w:themeColor="text1"/>
          <w:sz w:val="24"/>
          <w:szCs w:val="24"/>
        </w:rPr>
        <w:t xml:space="preserve">Atbilstoši </w:t>
      </w:r>
      <w:r w:rsidR="005A18AB" w:rsidRPr="0058168B">
        <w:rPr>
          <w:rFonts w:ascii="Times New Roman" w:hAnsi="Times New Roman" w:cs="Times New Roman"/>
          <w:color w:val="000000" w:themeColor="text1"/>
          <w:sz w:val="24"/>
          <w:szCs w:val="24"/>
        </w:rPr>
        <w:t xml:space="preserve">Aģentūras </w:t>
      </w:r>
      <w:r w:rsidRPr="0058168B">
        <w:rPr>
          <w:rFonts w:ascii="Times New Roman" w:hAnsi="Times New Roman" w:cs="Times New Roman"/>
          <w:color w:val="000000" w:themeColor="text1"/>
          <w:sz w:val="24"/>
          <w:szCs w:val="24"/>
        </w:rPr>
        <w:t xml:space="preserve">aprēķiniem, aptuvenās izmaksas Ēkas remontdarbiem </w:t>
      </w:r>
      <w:r w:rsidR="00C4006C" w:rsidRPr="0058168B">
        <w:rPr>
          <w:rFonts w:ascii="Times New Roman" w:hAnsi="Times New Roman" w:cs="Times New Roman"/>
          <w:color w:val="000000" w:themeColor="text1"/>
          <w:sz w:val="24"/>
          <w:szCs w:val="24"/>
        </w:rPr>
        <w:t>(</w:t>
      </w:r>
      <w:r w:rsidRPr="0058168B">
        <w:rPr>
          <w:rFonts w:ascii="Times New Roman" w:hAnsi="Times New Roman" w:cs="Times New Roman"/>
          <w:color w:val="000000" w:themeColor="text1"/>
          <w:sz w:val="24"/>
          <w:szCs w:val="24"/>
        </w:rPr>
        <w:t>bez PVN</w:t>
      </w:r>
      <w:r w:rsidR="00C4006C" w:rsidRPr="0058168B">
        <w:rPr>
          <w:rFonts w:ascii="Times New Roman" w:hAnsi="Times New Roman" w:cs="Times New Roman"/>
          <w:color w:val="000000" w:themeColor="text1"/>
          <w:sz w:val="24"/>
          <w:szCs w:val="24"/>
        </w:rPr>
        <w:t>)</w:t>
      </w:r>
      <w:r w:rsidRPr="0058168B">
        <w:rPr>
          <w:rFonts w:ascii="Times New Roman" w:hAnsi="Times New Roman" w:cs="Times New Roman"/>
          <w:color w:val="000000" w:themeColor="text1"/>
          <w:sz w:val="24"/>
          <w:szCs w:val="24"/>
        </w:rPr>
        <w:t xml:space="preserve"> varētu būt 93 028,99 </w:t>
      </w:r>
      <w:proofErr w:type="spellStart"/>
      <w:r w:rsidRPr="0058168B">
        <w:rPr>
          <w:rFonts w:ascii="Times New Roman" w:hAnsi="Times New Roman" w:cs="Times New Roman"/>
          <w:i/>
          <w:iCs/>
          <w:color w:val="000000" w:themeColor="text1"/>
          <w:sz w:val="24"/>
          <w:szCs w:val="24"/>
        </w:rPr>
        <w:t>euro</w:t>
      </w:r>
      <w:proofErr w:type="spellEnd"/>
      <w:r w:rsidRPr="0058168B">
        <w:rPr>
          <w:rFonts w:ascii="Times New Roman" w:hAnsi="Times New Roman" w:cs="Times New Roman"/>
          <w:color w:val="000000" w:themeColor="text1"/>
          <w:sz w:val="24"/>
          <w:szCs w:val="24"/>
        </w:rPr>
        <w:t xml:space="preserve"> (ar PVN – 112 565,08 </w:t>
      </w:r>
      <w:proofErr w:type="spellStart"/>
      <w:r w:rsidRPr="0058168B">
        <w:rPr>
          <w:rFonts w:ascii="Times New Roman" w:hAnsi="Times New Roman" w:cs="Times New Roman"/>
          <w:i/>
          <w:iCs/>
          <w:color w:val="000000" w:themeColor="text1"/>
          <w:sz w:val="24"/>
          <w:szCs w:val="24"/>
        </w:rPr>
        <w:t>euro</w:t>
      </w:r>
      <w:proofErr w:type="spellEnd"/>
      <w:r w:rsidRPr="0058168B">
        <w:rPr>
          <w:rFonts w:ascii="Times New Roman" w:hAnsi="Times New Roman" w:cs="Times New Roman"/>
          <w:color w:val="000000" w:themeColor="text1"/>
          <w:sz w:val="24"/>
          <w:szCs w:val="24"/>
        </w:rPr>
        <w:t>).</w:t>
      </w:r>
    </w:p>
    <w:p w14:paraId="2A1748FE" w14:textId="32E0788F" w:rsidR="00EE78F3" w:rsidRDefault="00C4006C" w:rsidP="0058168B">
      <w:pPr>
        <w:spacing w:before="120" w:after="0" w:line="240" w:lineRule="auto"/>
        <w:jc w:val="center"/>
        <w:rPr>
          <w:rFonts w:ascii="Times New Roman" w:hAnsi="Times New Roman" w:cs="Times New Roman"/>
          <w:sz w:val="24"/>
          <w:szCs w:val="24"/>
        </w:rPr>
      </w:pPr>
      <w:r>
        <w:rPr>
          <w:rFonts w:ascii="Times New Roman" w:hAnsi="Times New Roman" w:cs="Times New Roman"/>
          <w:b/>
          <w:bCs/>
          <w:sz w:val="24"/>
          <w:szCs w:val="24"/>
        </w:rPr>
        <w:t>D</w:t>
      </w:r>
      <w:r w:rsidR="007E7FDF">
        <w:rPr>
          <w:rFonts w:ascii="Times New Roman" w:hAnsi="Times New Roman" w:cs="Times New Roman"/>
          <w:b/>
          <w:bCs/>
          <w:sz w:val="24"/>
          <w:szCs w:val="24"/>
        </w:rPr>
        <w:t>emontāžas darbi:</w:t>
      </w:r>
    </w:p>
    <w:tbl>
      <w:tblPr>
        <w:tblStyle w:val="TableGrid"/>
        <w:tblW w:w="0" w:type="auto"/>
        <w:tblLook w:val="04A0" w:firstRow="1" w:lastRow="0" w:firstColumn="1" w:lastColumn="0" w:noHBand="0" w:noVBand="1"/>
      </w:tblPr>
      <w:tblGrid>
        <w:gridCol w:w="508"/>
        <w:gridCol w:w="5958"/>
        <w:gridCol w:w="2595"/>
      </w:tblGrid>
      <w:tr w:rsidR="00C4006C" w14:paraId="0E31DB00" w14:textId="77777777" w:rsidTr="0058168B">
        <w:trPr>
          <w:tblHeader/>
        </w:trPr>
        <w:tc>
          <w:tcPr>
            <w:tcW w:w="421" w:type="dxa"/>
            <w:vAlign w:val="center"/>
          </w:tcPr>
          <w:p w14:paraId="3317259D" w14:textId="687DCF4D" w:rsidR="007E7FDF" w:rsidRPr="007E7FDF" w:rsidRDefault="007E7FDF" w:rsidP="007E7FDF">
            <w:pPr>
              <w:jc w:val="center"/>
              <w:rPr>
                <w:rFonts w:ascii="Times New Roman" w:hAnsi="Times New Roman" w:cs="Times New Roman"/>
                <w:b/>
                <w:bCs/>
              </w:rPr>
            </w:pPr>
            <w:r w:rsidRPr="007E7FDF">
              <w:rPr>
                <w:rFonts w:ascii="Times New Roman" w:hAnsi="Times New Roman" w:cs="Times New Roman"/>
                <w:b/>
                <w:bCs/>
              </w:rPr>
              <w:t>Nr.</w:t>
            </w:r>
          </w:p>
        </w:tc>
        <w:tc>
          <w:tcPr>
            <w:tcW w:w="5958" w:type="dxa"/>
            <w:vAlign w:val="center"/>
          </w:tcPr>
          <w:p w14:paraId="1A0ACE48" w14:textId="0CA15F4E" w:rsidR="007E7FDF" w:rsidRPr="007E7FDF" w:rsidRDefault="007E7FDF" w:rsidP="007E7FDF">
            <w:pPr>
              <w:jc w:val="center"/>
              <w:rPr>
                <w:rFonts w:ascii="Times New Roman" w:hAnsi="Times New Roman" w:cs="Times New Roman"/>
                <w:b/>
                <w:bCs/>
              </w:rPr>
            </w:pPr>
            <w:r w:rsidRPr="007E7FDF">
              <w:rPr>
                <w:rFonts w:ascii="Times New Roman" w:hAnsi="Times New Roman" w:cs="Times New Roman"/>
                <w:b/>
                <w:bCs/>
              </w:rPr>
              <w:t>Darbu nosaukums</w:t>
            </w:r>
          </w:p>
        </w:tc>
        <w:tc>
          <w:tcPr>
            <w:tcW w:w="0" w:type="auto"/>
            <w:vAlign w:val="center"/>
          </w:tcPr>
          <w:p w14:paraId="3022C773" w14:textId="3D86B682" w:rsidR="00C4006C" w:rsidRPr="0058168B" w:rsidRDefault="00C4006C" w:rsidP="007E7FDF">
            <w:pPr>
              <w:jc w:val="center"/>
              <w:rPr>
                <w:rFonts w:ascii="Times New Roman" w:hAnsi="Times New Roman" w:cs="Times New Roman"/>
                <w:b/>
                <w:bCs/>
              </w:rPr>
            </w:pPr>
            <w:r w:rsidRPr="0058168B">
              <w:rPr>
                <w:rFonts w:ascii="Times New Roman" w:hAnsi="Times New Roman" w:cs="Times New Roman"/>
                <w:b/>
                <w:bCs/>
              </w:rPr>
              <w:t xml:space="preserve">EUR </w:t>
            </w:r>
          </w:p>
          <w:p w14:paraId="2B985642" w14:textId="74146487" w:rsidR="007E7FDF" w:rsidRPr="007E7FDF" w:rsidRDefault="007E7FDF" w:rsidP="007E7FDF">
            <w:pPr>
              <w:jc w:val="center"/>
              <w:rPr>
                <w:rFonts w:ascii="Times New Roman" w:hAnsi="Times New Roman" w:cs="Times New Roman"/>
              </w:rPr>
            </w:pPr>
            <w:r w:rsidRPr="007E7FDF">
              <w:rPr>
                <w:rFonts w:ascii="Times New Roman" w:hAnsi="Times New Roman" w:cs="Times New Roman"/>
              </w:rPr>
              <w:t xml:space="preserve">(bez </w:t>
            </w:r>
            <w:proofErr w:type="spellStart"/>
            <w:r w:rsidRPr="007E7FDF">
              <w:rPr>
                <w:rFonts w:ascii="Times New Roman" w:hAnsi="Times New Roman" w:cs="Times New Roman"/>
              </w:rPr>
              <w:t>virsizdevumiem</w:t>
            </w:r>
            <w:proofErr w:type="spellEnd"/>
            <w:r w:rsidR="00C4006C">
              <w:rPr>
                <w:rFonts w:ascii="Times New Roman" w:hAnsi="Times New Roman" w:cs="Times New Roman"/>
              </w:rPr>
              <w:t xml:space="preserve"> un</w:t>
            </w:r>
            <w:r w:rsidRPr="007E7FDF">
              <w:rPr>
                <w:rFonts w:ascii="Times New Roman" w:hAnsi="Times New Roman" w:cs="Times New Roman"/>
              </w:rPr>
              <w:t xml:space="preserve"> PVN)</w:t>
            </w:r>
          </w:p>
        </w:tc>
      </w:tr>
      <w:tr w:rsidR="00C4006C" w14:paraId="76E37FB4" w14:textId="77777777" w:rsidTr="0058168B">
        <w:tc>
          <w:tcPr>
            <w:tcW w:w="421" w:type="dxa"/>
          </w:tcPr>
          <w:p w14:paraId="29AB4B3E" w14:textId="14C1C7D8" w:rsidR="007E7FDF" w:rsidRPr="007E7FDF" w:rsidRDefault="007E7FDF" w:rsidP="00F23C8C">
            <w:pPr>
              <w:jc w:val="center"/>
              <w:rPr>
                <w:rFonts w:ascii="Times New Roman" w:hAnsi="Times New Roman" w:cs="Times New Roman"/>
              </w:rPr>
            </w:pPr>
            <w:r w:rsidRPr="007E7FDF">
              <w:rPr>
                <w:rFonts w:ascii="Times New Roman" w:hAnsi="Times New Roman" w:cs="Times New Roman"/>
              </w:rPr>
              <w:t>1</w:t>
            </w:r>
          </w:p>
        </w:tc>
        <w:tc>
          <w:tcPr>
            <w:tcW w:w="5958" w:type="dxa"/>
          </w:tcPr>
          <w:p w14:paraId="2B7264DD" w14:textId="3029336F" w:rsidR="007E7FDF" w:rsidRPr="007E7FDF" w:rsidRDefault="007E7FDF" w:rsidP="007E7FDF">
            <w:pPr>
              <w:jc w:val="both"/>
              <w:rPr>
                <w:rFonts w:ascii="Times New Roman" w:hAnsi="Times New Roman" w:cs="Times New Roman"/>
              </w:rPr>
            </w:pPr>
            <w:r w:rsidRPr="007E7FDF">
              <w:rPr>
                <w:rFonts w:ascii="Times New Roman" w:hAnsi="Times New Roman" w:cs="Times New Roman"/>
              </w:rPr>
              <w:t xml:space="preserve">Pamatu atrakšana, piebēršana </w:t>
            </w:r>
            <w:r w:rsidR="00C4006C">
              <w:rPr>
                <w:rFonts w:ascii="Times New Roman" w:hAnsi="Times New Roman" w:cs="Times New Roman"/>
              </w:rPr>
              <w:t>(</w:t>
            </w:r>
            <w:r w:rsidRPr="007E7FDF">
              <w:rPr>
                <w:rFonts w:ascii="Times New Roman" w:hAnsi="Times New Roman" w:cs="Times New Roman"/>
              </w:rPr>
              <w:t>pēc hidroizolācijas un siltināšanas</w:t>
            </w:r>
            <w:r w:rsidR="00C4006C">
              <w:rPr>
                <w:rFonts w:ascii="Times New Roman" w:hAnsi="Times New Roman" w:cs="Times New Roman"/>
              </w:rPr>
              <w:t>)</w:t>
            </w:r>
          </w:p>
        </w:tc>
        <w:tc>
          <w:tcPr>
            <w:tcW w:w="0" w:type="auto"/>
          </w:tcPr>
          <w:p w14:paraId="5E9435DE" w14:textId="02DE4C3C"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1 551.36 </w:t>
            </w:r>
          </w:p>
        </w:tc>
      </w:tr>
      <w:tr w:rsidR="00C4006C" w14:paraId="33AA4F91" w14:textId="77777777" w:rsidTr="0058168B">
        <w:tc>
          <w:tcPr>
            <w:tcW w:w="421" w:type="dxa"/>
          </w:tcPr>
          <w:p w14:paraId="10A7187A" w14:textId="691C596C" w:rsidR="007E7FDF" w:rsidRPr="007E7FDF" w:rsidRDefault="007E7FDF" w:rsidP="00F23C8C">
            <w:pPr>
              <w:jc w:val="center"/>
              <w:rPr>
                <w:rFonts w:ascii="Times New Roman" w:hAnsi="Times New Roman" w:cs="Times New Roman"/>
              </w:rPr>
            </w:pPr>
            <w:r w:rsidRPr="007E7FDF">
              <w:rPr>
                <w:rFonts w:ascii="Times New Roman" w:hAnsi="Times New Roman" w:cs="Times New Roman"/>
              </w:rPr>
              <w:t>2</w:t>
            </w:r>
          </w:p>
        </w:tc>
        <w:tc>
          <w:tcPr>
            <w:tcW w:w="5958" w:type="dxa"/>
          </w:tcPr>
          <w:p w14:paraId="7562AC00" w14:textId="37A6FB99" w:rsidR="007E7FDF" w:rsidRPr="007E7FDF" w:rsidRDefault="007E7FDF" w:rsidP="007E7FDF">
            <w:pPr>
              <w:jc w:val="both"/>
              <w:rPr>
                <w:rFonts w:ascii="Times New Roman" w:hAnsi="Times New Roman" w:cs="Times New Roman"/>
              </w:rPr>
            </w:pPr>
            <w:r w:rsidRPr="007E7FDF">
              <w:rPr>
                <w:rFonts w:ascii="Times New Roman" w:hAnsi="Times New Roman" w:cs="Times New Roman"/>
              </w:rPr>
              <w:t>Demontēt ieejas ārdurvis</w:t>
            </w:r>
          </w:p>
        </w:tc>
        <w:tc>
          <w:tcPr>
            <w:tcW w:w="0" w:type="auto"/>
          </w:tcPr>
          <w:p w14:paraId="656D783B" w14:textId="251F46FB"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18.15 </w:t>
            </w:r>
          </w:p>
        </w:tc>
      </w:tr>
      <w:tr w:rsidR="00C4006C" w14:paraId="5A5BF5D7" w14:textId="77777777" w:rsidTr="0058168B">
        <w:tc>
          <w:tcPr>
            <w:tcW w:w="421" w:type="dxa"/>
          </w:tcPr>
          <w:p w14:paraId="27BB493D" w14:textId="7F9F67A9" w:rsidR="007E7FDF" w:rsidRPr="007E7FDF" w:rsidRDefault="007E7FDF" w:rsidP="00F23C8C">
            <w:pPr>
              <w:jc w:val="center"/>
              <w:rPr>
                <w:rFonts w:ascii="Times New Roman" w:hAnsi="Times New Roman" w:cs="Times New Roman"/>
              </w:rPr>
            </w:pPr>
            <w:r w:rsidRPr="007E7FDF">
              <w:rPr>
                <w:rFonts w:ascii="Times New Roman" w:hAnsi="Times New Roman" w:cs="Times New Roman"/>
              </w:rPr>
              <w:t>3</w:t>
            </w:r>
          </w:p>
        </w:tc>
        <w:tc>
          <w:tcPr>
            <w:tcW w:w="5958" w:type="dxa"/>
          </w:tcPr>
          <w:p w14:paraId="56F581A6" w14:textId="1C0EE0FE" w:rsidR="007E7FDF" w:rsidRPr="007E7FDF" w:rsidRDefault="007E7FDF" w:rsidP="007E7FDF">
            <w:pPr>
              <w:jc w:val="both"/>
              <w:rPr>
                <w:rFonts w:ascii="Times New Roman" w:hAnsi="Times New Roman" w:cs="Times New Roman"/>
              </w:rPr>
            </w:pPr>
            <w:r w:rsidRPr="007E7FDF">
              <w:rPr>
                <w:rFonts w:ascii="Times New Roman" w:hAnsi="Times New Roman" w:cs="Times New Roman"/>
              </w:rPr>
              <w:t xml:space="preserve">Demontēt </w:t>
            </w:r>
            <w:r w:rsidR="00C4006C">
              <w:rPr>
                <w:rFonts w:ascii="Times New Roman" w:hAnsi="Times New Roman" w:cs="Times New Roman"/>
              </w:rPr>
              <w:t>l</w:t>
            </w:r>
            <w:r w:rsidRPr="007E7FDF">
              <w:rPr>
                <w:rFonts w:ascii="Times New Roman" w:hAnsi="Times New Roman" w:cs="Times New Roman"/>
              </w:rPr>
              <w:t>ogus</w:t>
            </w:r>
          </w:p>
        </w:tc>
        <w:tc>
          <w:tcPr>
            <w:tcW w:w="0" w:type="auto"/>
          </w:tcPr>
          <w:p w14:paraId="237BAB00" w14:textId="3BF2D2F8"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355.74 </w:t>
            </w:r>
          </w:p>
        </w:tc>
      </w:tr>
      <w:tr w:rsidR="00C4006C" w14:paraId="0BC75078" w14:textId="77777777" w:rsidTr="0058168B">
        <w:tc>
          <w:tcPr>
            <w:tcW w:w="421" w:type="dxa"/>
          </w:tcPr>
          <w:p w14:paraId="14F326F4" w14:textId="2158C006" w:rsidR="007E7FDF" w:rsidRPr="007E7FDF" w:rsidRDefault="007E7FDF" w:rsidP="00F23C8C">
            <w:pPr>
              <w:jc w:val="center"/>
              <w:rPr>
                <w:rFonts w:ascii="Times New Roman" w:hAnsi="Times New Roman" w:cs="Times New Roman"/>
              </w:rPr>
            </w:pPr>
            <w:r w:rsidRPr="007E7FDF">
              <w:rPr>
                <w:rFonts w:ascii="Times New Roman" w:hAnsi="Times New Roman" w:cs="Times New Roman"/>
              </w:rPr>
              <w:t>4</w:t>
            </w:r>
          </w:p>
        </w:tc>
        <w:tc>
          <w:tcPr>
            <w:tcW w:w="5958" w:type="dxa"/>
          </w:tcPr>
          <w:p w14:paraId="4F2A1D0E" w14:textId="01DA43E6" w:rsidR="007E7FDF" w:rsidRPr="007E7FDF" w:rsidRDefault="007E7FDF" w:rsidP="007E7FDF">
            <w:pPr>
              <w:jc w:val="both"/>
              <w:rPr>
                <w:rFonts w:ascii="Times New Roman" w:hAnsi="Times New Roman" w:cs="Times New Roman"/>
              </w:rPr>
            </w:pPr>
            <w:r w:rsidRPr="007E7FDF">
              <w:rPr>
                <w:rFonts w:ascii="Times New Roman" w:hAnsi="Times New Roman" w:cs="Times New Roman"/>
              </w:rPr>
              <w:t>Demontēt radiatorus</w:t>
            </w:r>
          </w:p>
        </w:tc>
        <w:tc>
          <w:tcPr>
            <w:tcW w:w="0" w:type="auto"/>
          </w:tcPr>
          <w:p w14:paraId="1DA987B1" w14:textId="6D943F05"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381.15 </w:t>
            </w:r>
          </w:p>
        </w:tc>
      </w:tr>
      <w:tr w:rsidR="00C4006C" w14:paraId="1915A399" w14:textId="77777777" w:rsidTr="0058168B">
        <w:tc>
          <w:tcPr>
            <w:tcW w:w="421" w:type="dxa"/>
          </w:tcPr>
          <w:p w14:paraId="7866C3C9" w14:textId="64CB62F2" w:rsidR="007E7FDF" w:rsidRPr="007E7FDF" w:rsidRDefault="007E7FDF" w:rsidP="00F23C8C">
            <w:pPr>
              <w:jc w:val="center"/>
              <w:rPr>
                <w:rFonts w:ascii="Times New Roman" w:hAnsi="Times New Roman" w:cs="Times New Roman"/>
              </w:rPr>
            </w:pPr>
            <w:r w:rsidRPr="007E7FDF">
              <w:rPr>
                <w:rFonts w:ascii="Times New Roman" w:hAnsi="Times New Roman" w:cs="Times New Roman"/>
              </w:rPr>
              <w:t>5</w:t>
            </w:r>
          </w:p>
        </w:tc>
        <w:tc>
          <w:tcPr>
            <w:tcW w:w="5958" w:type="dxa"/>
          </w:tcPr>
          <w:p w14:paraId="1971FF11" w14:textId="2D6B76F1" w:rsidR="007E7FDF" w:rsidRPr="007E7FDF" w:rsidRDefault="007E7FDF" w:rsidP="007E7FDF">
            <w:pPr>
              <w:jc w:val="both"/>
              <w:rPr>
                <w:rFonts w:ascii="Times New Roman" w:hAnsi="Times New Roman" w:cs="Times New Roman"/>
              </w:rPr>
            </w:pPr>
            <w:r w:rsidRPr="007E7FDF">
              <w:rPr>
                <w:rFonts w:ascii="Times New Roman" w:hAnsi="Times New Roman" w:cs="Times New Roman"/>
              </w:rPr>
              <w:t>Demontēt apkures katlu</w:t>
            </w:r>
          </w:p>
        </w:tc>
        <w:tc>
          <w:tcPr>
            <w:tcW w:w="0" w:type="auto"/>
          </w:tcPr>
          <w:p w14:paraId="4552EB31" w14:textId="6B42953B"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44.00 </w:t>
            </w:r>
          </w:p>
        </w:tc>
      </w:tr>
      <w:tr w:rsidR="00C4006C" w14:paraId="1B9BF8B0" w14:textId="77777777" w:rsidTr="0058168B">
        <w:tc>
          <w:tcPr>
            <w:tcW w:w="421" w:type="dxa"/>
          </w:tcPr>
          <w:p w14:paraId="6E31F487" w14:textId="699FC3AA" w:rsidR="007E7FDF" w:rsidRPr="007E7FDF" w:rsidRDefault="007E7FDF" w:rsidP="00F23C8C">
            <w:pPr>
              <w:jc w:val="center"/>
              <w:rPr>
                <w:rFonts w:ascii="Times New Roman" w:hAnsi="Times New Roman" w:cs="Times New Roman"/>
              </w:rPr>
            </w:pPr>
            <w:r w:rsidRPr="007E7FDF">
              <w:rPr>
                <w:rFonts w:ascii="Times New Roman" w:hAnsi="Times New Roman" w:cs="Times New Roman"/>
              </w:rPr>
              <w:t>6</w:t>
            </w:r>
          </w:p>
        </w:tc>
        <w:tc>
          <w:tcPr>
            <w:tcW w:w="5958" w:type="dxa"/>
          </w:tcPr>
          <w:p w14:paraId="0D7ED7FB" w14:textId="0EBED1B9" w:rsidR="007E7FDF" w:rsidRPr="007E7FDF" w:rsidRDefault="007E7FDF" w:rsidP="007E7FDF">
            <w:pPr>
              <w:jc w:val="both"/>
              <w:rPr>
                <w:rFonts w:ascii="Times New Roman" w:hAnsi="Times New Roman" w:cs="Times New Roman"/>
              </w:rPr>
            </w:pPr>
            <w:r w:rsidRPr="007E7FDF">
              <w:rPr>
                <w:rFonts w:ascii="Times New Roman" w:hAnsi="Times New Roman" w:cs="Times New Roman"/>
              </w:rPr>
              <w:t>Demontē jumta segumu virs 13., 14., 15. telpas</w:t>
            </w:r>
          </w:p>
        </w:tc>
        <w:tc>
          <w:tcPr>
            <w:tcW w:w="0" w:type="auto"/>
          </w:tcPr>
          <w:p w14:paraId="56307241" w14:textId="7463E05B"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153.55 </w:t>
            </w:r>
          </w:p>
        </w:tc>
      </w:tr>
      <w:tr w:rsidR="00C4006C" w14:paraId="3044BC3B" w14:textId="77777777" w:rsidTr="0058168B">
        <w:tc>
          <w:tcPr>
            <w:tcW w:w="421" w:type="dxa"/>
          </w:tcPr>
          <w:p w14:paraId="49A03FF1" w14:textId="31224439" w:rsidR="007E7FDF" w:rsidRPr="007E7FDF" w:rsidRDefault="007E7FDF" w:rsidP="00F23C8C">
            <w:pPr>
              <w:jc w:val="center"/>
              <w:rPr>
                <w:rFonts w:ascii="Times New Roman" w:hAnsi="Times New Roman" w:cs="Times New Roman"/>
              </w:rPr>
            </w:pPr>
            <w:r w:rsidRPr="007E7FDF">
              <w:rPr>
                <w:rFonts w:ascii="Times New Roman" w:hAnsi="Times New Roman" w:cs="Times New Roman"/>
              </w:rPr>
              <w:t>7</w:t>
            </w:r>
          </w:p>
        </w:tc>
        <w:tc>
          <w:tcPr>
            <w:tcW w:w="5958" w:type="dxa"/>
          </w:tcPr>
          <w:p w14:paraId="23C1EFBF" w14:textId="49806C57" w:rsidR="007E7FDF" w:rsidRPr="007E7FDF" w:rsidRDefault="007E7FDF" w:rsidP="007E7FDF">
            <w:pPr>
              <w:jc w:val="both"/>
              <w:rPr>
                <w:rFonts w:ascii="Times New Roman" w:hAnsi="Times New Roman" w:cs="Times New Roman"/>
              </w:rPr>
            </w:pPr>
            <w:r w:rsidRPr="007E7FDF">
              <w:rPr>
                <w:rFonts w:ascii="Times New Roman" w:hAnsi="Times New Roman" w:cs="Times New Roman"/>
              </w:rPr>
              <w:t>Demontēt jumta nesošo konstrukciju bojātajās vietās</w:t>
            </w:r>
          </w:p>
        </w:tc>
        <w:tc>
          <w:tcPr>
            <w:tcW w:w="0" w:type="auto"/>
          </w:tcPr>
          <w:p w14:paraId="62173B24" w14:textId="36A300DD"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101.75 </w:t>
            </w:r>
          </w:p>
        </w:tc>
      </w:tr>
      <w:tr w:rsidR="00C4006C" w14:paraId="57408808" w14:textId="77777777" w:rsidTr="0058168B">
        <w:tc>
          <w:tcPr>
            <w:tcW w:w="421" w:type="dxa"/>
          </w:tcPr>
          <w:p w14:paraId="57F5E957" w14:textId="0AA01507" w:rsidR="007E7FDF" w:rsidRPr="007E7FDF" w:rsidRDefault="007E7FDF" w:rsidP="00F23C8C">
            <w:pPr>
              <w:jc w:val="center"/>
              <w:rPr>
                <w:rFonts w:ascii="Times New Roman" w:hAnsi="Times New Roman" w:cs="Times New Roman"/>
              </w:rPr>
            </w:pPr>
            <w:r w:rsidRPr="007E7FDF">
              <w:rPr>
                <w:rFonts w:ascii="Times New Roman" w:hAnsi="Times New Roman" w:cs="Times New Roman"/>
              </w:rPr>
              <w:t>8</w:t>
            </w:r>
          </w:p>
        </w:tc>
        <w:tc>
          <w:tcPr>
            <w:tcW w:w="5958" w:type="dxa"/>
          </w:tcPr>
          <w:p w14:paraId="10059A81" w14:textId="5EC9200B" w:rsidR="007E7FDF" w:rsidRPr="007E7FDF" w:rsidRDefault="007E7FDF" w:rsidP="007E7FDF">
            <w:pPr>
              <w:jc w:val="both"/>
              <w:rPr>
                <w:rFonts w:ascii="Times New Roman" w:hAnsi="Times New Roman" w:cs="Times New Roman"/>
              </w:rPr>
            </w:pPr>
            <w:r w:rsidRPr="007E7FDF">
              <w:rPr>
                <w:rFonts w:ascii="Times New Roman" w:hAnsi="Times New Roman" w:cs="Times New Roman"/>
              </w:rPr>
              <w:t>Demontēt ūdens un kanalizācijas tīklus (caurules, u.c.)</w:t>
            </w:r>
          </w:p>
        </w:tc>
        <w:tc>
          <w:tcPr>
            <w:tcW w:w="0" w:type="auto"/>
          </w:tcPr>
          <w:p w14:paraId="42050FEB" w14:textId="2664F73A"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257.73 </w:t>
            </w:r>
          </w:p>
        </w:tc>
      </w:tr>
      <w:tr w:rsidR="00C4006C" w14:paraId="54FCE09A" w14:textId="77777777" w:rsidTr="0058168B">
        <w:tc>
          <w:tcPr>
            <w:tcW w:w="421" w:type="dxa"/>
          </w:tcPr>
          <w:p w14:paraId="61AF76B1" w14:textId="3A536A9C" w:rsidR="007E7FDF" w:rsidRPr="007E7FDF" w:rsidRDefault="007E7FDF" w:rsidP="00F23C8C">
            <w:pPr>
              <w:jc w:val="center"/>
              <w:rPr>
                <w:rFonts w:ascii="Times New Roman" w:hAnsi="Times New Roman" w:cs="Times New Roman"/>
              </w:rPr>
            </w:pPr>
            <w:r w:rsidRPr="007E7FDF">
              <w:rPr>
                <w:rFonts w:ascii="Times New Roman" w:hAnsi="Times New Roman" w:cs="Times New Roman"/>
              </w:rPr>
              <w:t>9</w:t>
            </w:r>
          </w:p>
        </w:tc>
        <w:tc>
          <w:tcPr>
            <w:tcW w:w="5958" w:type="dxa"/>
          </w:tcPr>
          <w:p w14:paraId="236951B3" w14:textId="64DF290D" w:rsidR="007E7FDF" w:rsidRPr="007E7FDF" w:rsidRDefault="007E7FDF" w:rsidP="007E7FDF">
            <w:pPr>
              <w:jc w:val="both"/>
              <w:rPr>
                <w:rFonts w:ascii="Times New Roman" w:hAnsi="Times New Roman" w:cs="Times New Roman"/>
              </w:rPr>
            </w:pPr>
            <w:r w:rsidRPr="007E7FDF">
              <w:rPr>
                <w:rFonts w:ascii="Times New Roman" w:hAnsi="Times New Roman" w:cs="Times New Roman"/>
              </w:rPr>
              <w:t>Demontē apkures caurules</w:t>
            </w:r>
          </w:p>
        </w:tc>
        <w:tc>
          <w:tcPr>
            <w:tcW w:w="0" w:type="auto"/>
          </w:tcPr>
          <w:p w14:paraId="1A6FFB00" w14:textId="0A6D36DA"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196.93 </w:t>
            </w:r>
          </w:p>
        </w:tc>
      </w:tr>
      <w:tr w:rsidR="00C4006C" w14:paraId="18734214" w14:textId="77777777" w:rsidTr="0058168B">
        <w:tc>
          <w:tcPr>
            <w:tcW w:w="421" w:type="dxa"/>
          </w:tcPr>
          <w:p w14:paraId="0441573B" w14:textId="4EDC5CCE" w:rsidR="007E7FDF" w:rsidRPr="007E7FDF" w:rsidRDefault="007E7FDF" w:rsidP="00F23C8C">
            <w:pPr>
              <w:jc w:val="center"/>
              <w:rPr>
                <w:rFonts w:ascii="Times New Roman" w:hAnsi="Times New Roman" w:cs="Times New Roman"/>
              </w:rPr>
            </w:pPr>
            <w:r w:rsidRPr="007E7FDF">
              <w:rPr>
                <w:rFonts w:ascii="Times New Roman" w:hAnsi="Times New Roman" w:cs="Times New Roman"/>
              </w:rPr>
              <w:t>10</w:t>
            </w:r>
          </w:p>
        </w:tc>
        <w:tc>
          <w:tcPr>
            <w:tcW w:w="5958" w:type="dxa"/>
          </w:tcPr>
          <w:p w14:paraId="59BC1965" w14:textId="6036B681" w:rsidR="007E7FDF" w:rsidRPr="007E7FDF" w:rsidRDefault="007E7FDF" w:rsidP="007E7FDF">
            <w:pPr>
              <w:jc w:val="both"/>
              <w:rPr>
                <w:rFonts w:ascii="Times New Roman" w:hAnsi="Times New Roman" w:cs="Times New Roman"/>
              </w:rPr>
            </w:pPr>
            <w:r w:rsidRPr="007E7FDF">
              <w:rPr>
                <w:rFonts w:ascii="Times New Roman" w:hAnsi="Times New Roman" w:cs="Times New Roman"/>
              </w:rPr>
              <w:t>Demontēt</w:t>
            </w:r>
            <w:r w:rsidR="00DE287A">
              <w:rPr>
                <w:rFonts w:ascii="Times New Roman" w:hAnsi="Times New Roman" w:cs="Times New Roman"/>
              </w:rPr>
              <w:t xml:space="preserve"> </w:t>
            </w:r>
            <w:r w:rsidRPr="007E7FDF">
              <w:rPr>
                <w:rFonts w:ascii="Times New Roman" w:hAnsi="Times New Roman" w:cs="Times New Roman"/>
              </w:rPr>
              <w:t>/ attīrīt fasādes apdari</w:t>
            </w:r>
          </w:p>
        </w:tc>
        <w:tc>
          <w:tcPr>
            <w:tcW w:w="0" w:type="auto"/>
          </w:tcPr>
          <w:p w14:paraId="202722EB" w14:textId="1ADE0750"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2 000.72 </w:t>
            </w:r>
          </w:p>
        </w:tc>
      </w:tr>
      <w:tr w:rsidR="00C4006C" w14:paraId="6183B234" w14:textId="77777777" w:rsidTr="0058168B">
        <w:tc>
          <w:tcPr>
            <w:tcW w:w="421" w:type="dxa"/>
          </w:tcPr>
          <w:p w14:paraId="18BAAF4B" w14:textId="35FB3603" w:rsidR="007E7FDF" w:rsidRPr="007E7FDF" w:rsidRDefault="007E7FDF" w:rsidP="00F23C8C">
            <w:pPr>
              <w:jc w:val="center"/>
              <w:rPr>
                <w:rFonts w:ascii="Times New Roman" w:hAnsi="Times New Roman" w:cs="Times New Roman"/>
              </w:rPr>
            </w:pPr>
            <w:r w:rsidRPr="007E7FDF">
              <w:rPr>
                <w:rFonts w:ascii="Times New Roman" w:hAnsi="Times New Roman" w:cs="Times New Roman"/>
              </w:rPr>
              <w:lastRenderedPageBreak/>
              <w:t>11</w:t>
            </w:r>
          </w:p>
        </w:tc>
        <w:tc>
          <w:tcPr>
            <w:tcW w:w="5958" w:type="dxa"/>
          </w:tcPr>
          <w:p w14:paraId="4CE3824C" w14:textId="2E046A73" w:rsidR="007E7FDF" w:rsidRPr="007E7FDF" w:rsidRDefault="007E7FDF" w:rsidP="007E7FDF">
            <w:pPr>
              <w:jc w:val="both"/>
              <w:rPr>
                <w:rFonts w:ascii="Times New Roman" w:hAnsi="Times New Roman" w:cs="Times New Roman"/>
              </w:rPr>
            </w:pPr>
            <w:r w:rsidRPr="007E7FDF">
              <w:rPr>
                <w:rFonts w:ascii="Times New Roman" w:hAnsi="Times New Roman" w:cs="Times New Roman"/>
              </w:rPr>
              <w:t>Demontēt grīdas segumu</w:t>
            </w:r>
          </w:p>
        </w:tc>
        <w:tc>
          <w:tcPr>
            <w:tcW w:w="0" w:type="auto"/>
          </w:tcPr>
          <w:p w14:paraId="4F0A8456" w14:textId="52CB51CB"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737.80 </w:t>
            </w:r>
          </w:p>
        </w:tc>
      </w:tr>
      <w:tr w:rsidR="00C4006C" w14:paraId="41A3F261" w14:textId="77777777" w:rsidTr="0058168B">
        <w:tc>
          <w:tcPr>
            <w:tcW w:w="421" w:type="dxa"/>
          </w:tcPr>
          <w:p w14:paraId="1458625D" w14:textId="0AC78561" w:rsidR="007E7FDF" w:rsidRPr="007E7FDF" w:rsidRDefault="007E7FDF" w:rsidP="00F23C8C">
            <w:pPr>
              <w:jc w:val="center"/>
              <w:rPr>
                <w:rFonts w:ascii="Times New Roman" w:hAnsi="Times New Roman" w:cs="Times New Roman"/>
              </w:rPr>
            </w:pPr>
            <w:r w:rsidRPr="007E7FDF">
              <w:rPr>
                <w:rFonts w:ascii="Times New Roman" w:hAnsi="Times New Roman" w:cs="Times New Roman"/>
              </w:rPr>
              <w:t>12</w:t>
            </w:r>
          </w:p>
        </w:tc>
        <w:tc>
          <w:tcPr>
            <w:tcW w:w="5958" w:type="dxa"/>
          </w:tcPr>
          <w:p w14:paraId="1DC24BB9" w14:textId="7A7493B8" w:rsidR="007E7FDF" w:rsidRPr="007E7FDF" w:rsidRDefault="007E7FDF" w:rsidP="007E7FDF">
            <w:pPr>
              <w:jc w:val="both"/>
              <w:rPr>
                <w:rFonts w:ascii="Times New Roman" w:hAnsi="Times New Roman" w:cs="Times New Roman"/>
              </w:rPr>
            </w:pPr>
            <w:r w:rsidRPr="007E7FDF">
              <w:rPr>
                <w:rFonts w:ascii="Times New Roman" w:hAnsi="Times New Roman" w:cs="Times New Roman"/>
              </w:rPr>
              <w:t>Demontēt sienu apdari (tapetes)</w:t>
            </w:r>
          </w:p>
        </w:tc>
        <w:tc>
          <w:tcPr>
            <w:tcW w:w="0" w:type="auto"/>
          </w:tcPr>
          <w:p w14:paraId="41DFCC0D" w14:textId="5D0DA865"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890.26 </w:t>
            </w:r>
          </w:p>
        </w:tc>
      </w:tr>
      <w:tr w:rsidR="00C4006C" w14:paraId="68055199" w14:textId="77777777" w:rsidTr="0058168B">
        <w:tc>
          <w:tcPr>
            <w:tcW w:w="421" w:type="dxa"/>
          </w:tcPr>
          <w:p w14:paraId="49963D0B" w14:textId="7DD34264" w:rsidR="007E7FDF" w:rsidRPr="007E7FDF" w:rsidRDefault="007E7FDF" w:rsidP="00F23C8C">
            <w:pPr>
              <w:jc w:val="center"/>
              <w:rPr>
                <w:rFonts w:ascii="Times New Roman" w:hAnsi="Times New Roman" w:cs="Times New Roman"/>
              </w:rPr>
            </w:pPr>
            <w:r w:rsidRPr="007E7FDF">
              <w:rPr>
                <w:rFonts w:ascii="Times New Roman" w:hAnsi="Times New Roman" w:cs="Times New Roman"/>
              </w:rPr>
              <w:t>13</w:t>
            </w:r>
          </w:p>
        </w:tc>
        <w:tc>
          <w:tcPr>
            <w:tcW w:w="5958" w:type="dxa"/>
          </w:tcPr>
          <w:p w14:paraId="23B0A59E" w14:textId="6553E0CB" w:rsidR="007E7FDF" w:rsidRPr="007E7FDF" w:rsidRDefault="007E7FDF" w:rsidP="007E7FDF">
            <w:pPr>
              <w:jc w:val="both"/>
              <w:rPr>
                <w:rFonts w:ascii="Times New Roman" w:hAnsi="Times New Roman" w:cs="Times New Roman"/>
              </w:rPr>
            </w:pPr>
            <w:r w:rsidRPr="007E7FDF">
              <w:rPr>
                <w:rFonts w:ascii="Times New Roman" w:hAnsi="Times New Roman" w:cs="Times New Roman"/>
              </w:rPr>
              <w:t>Būvgružu konteinera noma</w:t>
            </w:r>
            <w:r w:rsidR="00DE287A">
              <w:rPr>
                <w:rFonts w:ascii="Times New Roman" w:hAnsi="Times New Roman" w:cs="Times New Roman"/>
              </w:rPr>
              <w:t xml:space="preserve"> un</w:t>
            </w:r>
            <w:r w:rsidRPr="007E7FDF">
              <w:rPr>
                <w:rFonts w:ascii="Times New Roman" w:hAnsi="Times New Roman" w:cs="Times New Roman"/>
              </w:rPr>
              <w:t xml:space="preserve"> būvgružu utilizēšana</w:t>
            </w:r>
          </w:p>
        </w:tc>
        <w:tc>
          <w:tcPr>
            <w:tcW w:w="0" w:type="auto"/>
          </w:tcPr>
          <w:p w14:paraId="4ACE50FA" w14:textId="700207C0" w:rsidR="007E7FDF" w:rsidRPr="007E7FDF" w:rsidRDefault="007E7FDF" w:rsidP="007E7FDF">
            <w:pPr>
              <w:jc w:val="right"/>
              <w:rPr>
                <w:rFonts w:ascii="Times New Roman" w:hAnsi="Times New Roman" w:cs="Times New Roman"/>
              </w:rPr>
            </w:pPr>
            <w:r w:rsidRPr="007E7FDF">
              <w:rPr>
                <w:rFonts w:ascii="Times New Roman" w:hAnsi="Times New Roman" w:cs="Times New Roman"/>
              </w:rPr>
              <w:t xml:space="preserve"> 580.00 </w:t>
            </w:r>
          </w:p>
        </w:tc>
      </w:tr>
    </w:tbl>
    <w:p w14:paraId="3E7C37DC" w14:textId="77777777" w:rsidR="00021FC3" w:rsidRDefault="00021FC3" w:rsidP="0058168B">
      <w:pPr>
        <w:spacing w:before="120" w:after="0" w:line="240" w:lineRule="auto"/>
        <w:jc w:val="center"/>
        <w:rPr>
          <w:rFonts w:ascii="Times New Roman" w:hAnsi="Times New Roman" w:cs="Times New Roman"/>
          <w:b/>
          <w:bCs/>
          <w:sz w:val="24"/>
          <w:szCs w:val="24"/>
        </w:rPr>
      </w:pPr>
    </w:p>
    <w:p w14:paraId="7551DD0A" w14:textId="3CB31D6A" w:rsidR="007E7FDF" w:rsidRPr="007E7FDF" w:rsidRDefault="005A18AB" w:rsidP="0058168B">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w:t>
      </w:r>
      <w:r w:rsidR="007E7FDF" w:rsidRPr="007E7FDF">
        <w:rPr>
          <w:rFonts w:ascii="Times New Roman" w:hAnsi="Times New Roman" w:cs="Times New Roman"/>
          <w:b/>
          <w:bCs/>
          <w:sz w:val="24"/>
          <w:szCs w:val="24"/>
        </w:rPr>
        <w:t>ontāžas darbi:</w:t>
      </w:r>
    </w:p>
    <w:tbl>
      <w:tblPr>
        <w:tblStyle w:val="TableGrid"/>
        <w:tblW w:w="9067" w:type="dxa"/>
        <w:tblLook w:val="04A0" w:firstRow="1" w:lastRow="0" w:firstColumn="1" w:lastColumn="0" w:noHBand="0" w:noVBand="1"/>
      </w:tblPr>
      <w:tblGrid>
        <w:gridCol w:w="921"/>
        <w:gridCol w:w="5878"/>
        <w:gridCol w:w="2268"/>
      </w:tblGrid>
      <w:tr w:rsidR="00DE287A" w:rsidRPr="00265545" w14:paraId="42E460D5" w14:textId="77777777" w:rsidTr="0058168B">
        <w:trPr>
          <w:tblHeader/>
        </w:trPr>
        <w:tc>
          <w:tcPr>
            <w:tcW w:w="921" w:type="dxa"/>
            <w:vAlign w:val="center"/>
          </w:tcPr>
          <w:p w14:paraId="157C6FF0" w14:textId="04A716E3" w:rsidR="00DE287A" w:rsidRPr="00265545" w:rsidRDefault="00DE287A" w:rsidP="00DE287A">
            <w:pPr>
              <w:jc w:val="center"/>
              <w:rPr>
                <w:rFonts w:ascii="Times New Roman" w:hAnsi="Times New Roman" w:cs="Times New Roman"/>
                <w:b/>
                <w:bCs/>
              </w:rPr>
            </w:pPr>
            <w:r w:rsidRPr="00265545">
              <w:rPr>
                <w:rFonts w:ascii="Times New Roman" w:hAnsi="Times New Roman" w:cs="Times New Roman"/>
                <w:b/>
                <w:bCs/>
              </w:rPr>
              <w:t>Nr.</w:t>
            </w:r>
          </w:p>
        </w:tc>
        <w:tc>
          <w:tcPr>
            <w:tcW w:w="5878" w:type="dxa"/>
            <w:vAlign w:val="center"/>
          </w:tcPr>
          <w:p w14:paraId="61DF16B0" w14:textId="77777777" w:rsidR="00DE287A" w:rsidRPr="00265545" w:rsidRDefault="00DE287A" w:rsidP="00DE287A">
            <w:pPr>
              <w:jc w:val="center"/>
              <w:rPr>
                <w:rFonts w:ascii="Times New Roman" w:hAnsi="Times New Roman" w:cs="Times New Roman"/>
                <w:b/>
                <w:bCs/>
              </w:rPr>
            </w:pPr>
            <w:r w:rsidRPr="00265545">
              <w:rPr>
                <w:rFonts w:ascii="Times New Roman" w:hAnsi="Times New Roman" w:cs="Times New Roman"/>
                <w:b/>
                <w:bCs/>
              </w:rPr>
              <w:t>Darbu nosaukums</w:t>
            </w:r>
          </w:p>
        </w:tc>
        <w:tc>
          <w:tcPr>
            <w:tcW w:w="2268" w:type="dxa"/>
            <w:vAlign w:val="center"/>
          </w:tcPr>
          <w:p w14:paraId="6C526EAA" w14:textId="77777777" w:rsidR="00DE287A" w:rsidRPr="005E0BF1" w:rsidRDefault="00DE287A" w:rsidP="00DE287A">
            <w:pPr>
              <w:jc w:val="center"/>
              <w:rPr>
                <w:rFonts w:ascii="Times New Roman" w:hAnsi="Times New Roman" w:cs="Times New Roman"/>
                <w:b/>
                <w:bCs/>
              </w:rPr>
            </w:pPr>
            <w:r w:rsidRPr="005E0BF1">
              <w:rPr>
                <w:rFonts w:ascii="Times New Roman" w:hAnsi="Times New Roman" w:cs="Times New Roman"/>
                <w:b/>
                <w:bCs/>
              </w:rPr>
              <w:t xml:space="preserve">EUR </w:t>
            </w:r>
          </w:p>
          <w:p w14:paraId="4676493C" w14:textId="57DB638C" w:rsidR="00DE287A" w:rsidRPr="00265545" w:rsidRDefault="00DE287A" w:rsidP="00DE287A">
            <w:pPr>
              <w:jc w:val="center"/>
              <w:rPr>
                <w:rFonts w:ascii="Times New Roman" w:hAnsi="Times New Roman" w:cs="Times New Roman"/>
              </w:rPr>
            </w:pPr>
            <w:r w:rsidRPr="007E7FDF">
              <w:rPr>
                <w:rFonts w:ascii="Times New Roman" w:hAnsi="Times New Roman" w:cs="Times New Roman"/>
              </w:rPr>
              <w:t xml:space="preserve">(bez </w:t>
            </w:r>
            <w:proofErr w:type="spellStart"/>
            <w:r w:rsidRPr="007E7FDF">
              <w:rPr>
                <w:rFonts w:ascii="Times New Roman" w:hAnsi="Times New Roman" w:cs="Times New Roman"/>
              </w:rPr>
              <w:t>virsizdevumiem</w:t>
            </w:r>
            <w:proofErr w:type="spellEnd"/>
            <w:r>
              <w:rPr>
                <w:rFonts w:ascii="Times New Roman" w:hAnsi="Times New Roman" w:cs="Times New Roman"/>
              </w:rPr>
              <w:t xml:space="preserve"> un</w:t>
            </w:r>
            <w:r w:rsidRPr="007E7FDF">
              <w:rPr>
                <w:rFonts w:ascii="Times New Roman" w:hAnsi="Times New Roman" w:cs="Times New Roman"/>
              </w:rPr>
              <w:t xml:space="preserve"> PVN)</w:t>
            </w:r>
          </w:p>
        </w:tc>
      </w:tr>
      <w:tr w:rsidR="007E7FDF" w:rsidRPr="00265545" w14:paraId="3F18A170" w14:textId="77777777" w:rsidTr="0058168B">
        <w:tc>
          <w:tcPr>
            <w:tcW w:w="921" w:type="dxa"/>
          </w:tcPr>
          <w:p w14:paraId="4E63A3A5" w14:textId="4B62C01F" w:rsidR="007E7FDF" w:rsidRPr="00265545" w:rsidRDefault="007E7FDF" w:rsidP="00766015">
            <w:pPr>
              <w:jc w:val="both"/>
              <w:rPr>
                <w:rFonts w:ascii="Times New Roman" w:hAnsi="Times New Roman" w:cs="Times New Roman"/>
                <w:b/>
                <w:bCs/>
              </w:rPr>
            </w:pPr>
          </w:p>
        </w:tc>
        <w:tc>
          <w:tcPr>
            <w:tcW w:w="5878" w:type="dxa"/>
          </w:tcPr>
          <w:p w14:paraId="5F89C9BB" w14:textId="32AF47F3" w:rsidR="007E7FDF" w:rsidRPr="00265545" w:rsidRDefault="007E7FDF" w:rsidP="00766015">
            <w:pPr>
              <w:jc w:val="both"/>
              <w:rPr>
                <w:rFonts w:ascii="Times New Roman" w:hAnsi="Times New Roman" w:cs="Times New Roman"/>
                <w:b/>
                <w:bCs/>
              </w:rPr>
            </w:pPr>
            <w:r w:rsidRPr="00265545">
              <w:rPr>
                <w:rFonts w:ascii="Times New Roman" w:hAnsi="Times New Roman" w:cs="Times New Roman"/>
                <w:b/>
                <w:bCs/>
              </w:rPr>
              <w:t>Ailu aizpildījuma elementi</w:t>
            </w:r>
          </w:p>
        </w:tc>
        <w:tc>
          <w:tcPr>
            <w:tcW w:w="2268" w:type="dxa"/>
          </w:tcPr>
          <w:p w14:paraId="440CEE24" w14:textId="310994F4" w:rsidR="007E7FDF" w:rsidRPr="00265545" w:rsidRDefault="007E7FDF" w:rsidP="00766015">
            <w:pPr>
              <w:jc w:val="right"/>
              <w:rPr>
                <w:rFonts w:ascii="Times New Roman" w:hAnsi="Times New Roman" w:cs="Times New Roman"/>
              </w:rPr>
            </w:pPr>
          </w:p>
        </w:tc>
      </w:tr>
      <w:tr w:rsidR="009313F2" w:rsidRPr="00265545" w14:paraId="1DD08424" w14:textId="77777777" w:rsidTr="0058168B">
        <w:trPr>
          <w:trHeight w:val="107"/>
        </w:trPr>
        <w:tc>
          <w:tcPr>
            <w:tcW w:w="921" w:type="dxa"/>
          </w:tcPr>
          <w:p w14:paraId="567FB709" w14:textId="26714373" w:rsidR="009313F2" w:rsidRPr="00265545" w:rsidRDefault="009313F2" w:rsidP="00F23C8C">
            <w:pPr>
              <w:jc w:val="center"/>
              <w:rPr>
                <w:rFonts w:ascii="Times New Roman" w:hAnsi="Times New Roman" w:cs="Times New Roman"/>
              </w:rPr>
            </w:pPr>
            <w:r w:rsidRPr="00265545">
              <w:rPr>
                <w:rFonts w:ascii="Times New Roman" w:hAnsi="Times New Roman" w:cs="Times New Roman"/>
              </w:rPr>
              <w:t>1</w:t>
            </w:r>
          </w:p>
        </w:tc>
        <w:tc>
          <w:tcPr>
            <w:tcW w:w="5878" w:type="dxa"/>
            <w:vAlign w:val="center"/>
          </w:tcPr>
          <w:p w14:paraId="7C9DABDB" w14:textId="4EE7C52D" w:rsidR="009313F2" w:rsidRPr="00265545" w:rsidRDefault="009313F2" w:rsidP="009313F2">
            <w:pPr>
              <w:jc w:val="both"/>
              <w:rPr>
                <w:rFonts w:ascii="Times New Roman" w:hAnsi="Times New Roman" w:cs="Times New Roman"/>
              </w:rPr>
            </w:pPr>
            <w:r w:rsidRPr="00265545">
              <w:rPr>
                <w:rFonts w:ascii="Times New Roman" w:hAnsi="Times New Roman" w:cs="Times New Roman"/>
              </w:rPr>
              <w:t>Montēt jaunus PVC logus, t.sk. aiļu apdare, palodzes</w:t>
            </w:r>
          </w:p>
        </w:tc>
        <w:tc>
          <w:tcPr>
            <w:tcW w:w="2268" w:type="dxa"/>
            <w:vAlign w:val="center"/>
          </w:tcPr>
          <w:p w14:paraId="47D6FDB9" w14:textId="692E8158"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11 288.34 </w:t>
            </w:r>
          </w:p>
        </w:tc>
      </w:tr>
      <w:tr w:rsidR="009313F2" w:rsidRPr="00265545" w14:paraId="73CFD39D" w14:textId="77777777" w:rsidTr="0058168B">
        <w:tc>
          <w:tcPr>
            <w:tcW w:w="921" w:type="dxa"/>
          </w:tcPr>
          <w:p w14:paraId="2EF60EAB" w14:textId="77777777" w:rsidR="009313F2" w:rsidRPr="00265545" w:rsidRDefault="009313F2" w:rsidP="00F23C8C">
            <w:pPr>
              <w:jc w:val="center"/>
              <w:rPr>
                <w:rFonts w:ascii="Times New Roman" w:hAnsi="Times New Roman" w:cs="Times New Roman"/>
              </w:rPr>
            </w:pPr>
            <w:r w:rsidRPr="00265545">
              <w:rPr>
                <w:rFonts w:ascii="Times New Roman" w:hAnsi="Times New Roman" w:cs="Times New Roman"/>
              </w:rPr>
              <w:t>2</w:t>
            </w:r>
          </w:p>
        </w:tc>
        <w:tc>
          <w:tcPr>
            <w:tcW w:w="5878" w:type="dxa"/>
            <w:vAlign w:val="center"/>
          </w:tcPr>
          <w:p w14:paraId="309D8CD0" w14:textId="2785CB14" w:rsidR="009313F2" w:rsidRPr="00265545" w:rsidRDefault="009313F2" w:rsidP="009313F2">
            <w:pPr>
              <w:jc w:val="both"/>
              <w:rPr>
                <w:rFonts w:ascii="Times New Roman" w:hAnsi="Times New Roman" w:cs="Times New Roman"/>
              </w:rPr>
            </w:pPr>
            <w:r w:rsidRPr="00265545">
              <w:rPr>
                <w:rFonts w:ascii="Times New Roman" w:hAnsi="Times New Roman" w:cs="Times New Roman"/>
              </w:rPr>
              <w:t>Montēt jaunas ieejas ārdurvis</w:t>
            </w:r>
          </w:p>
        </w:tc>
        <w:tc>
          <w:tcPr>
            <w:tcW w:w="2268" w:type="dxa"/>
            <w:vAlign w:val="center"/>
          </w:tcPr>
          <w:p w14:paraId="272FE779" w14:textId="3824F798"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949.00 </w:t>
            </w:r>
          </w:p>
        </w:tc>
      </w:tr>
      <w:tr w:rsidR="007E7FDF" w:rsidRPr="00265545" w14:paraId="01F5FEF6" w14:textId="77777777" w:rsidTr="0058168B">
        <w:tc>
          <w:tcPr>
            <w:tcW w:w="921" w:type="dxa"/>
          </w:tcPr>
          <w:p w14:paraId="43CDE1F9" w14:textId="77777777" w:rsidR="007E7FDF" w:rsidRPr="00265545" w:rsidRDefault="007E7FDF" w:rsidP="00F23C8C">
            <w:pPr>
              <w:jc w:val="center"/>
              <w:rPr>
                <w:rFonts w:ascii="Times New Roman" w:hAnsi="Times New Roman" w:cs="Times New Roman"/>
              </w:rPr>
            </w:pPr>
          </w:p>
        </w:tc>
        <w:tc>
          <w:tcPr>
            <w:tcW w:w="5878" w:type="dxa"/>
            <w:vAlign w:val="center"/>
          </w:tcPr>
          <w:p w14:paraId="4C62D324" w14:textId="00A0697E" w:rsidR="007E7FDF" w:rsidRPr="00265545" w:rsidRDefault="007E7FDF" w:rsidP="007E7FDF">
            <w:pPr>
              <w:jc w:val="both"/>
              <w:rPr>
                <w:rFonts w:ascii="Times New Roman" w:hAnsi="Times New Roman" w:cs="Times New Roman"/>
                <w:b/>
                <w:bCs/>
              </w:rPr>
            </w:pPr>
            <w:r w:rsidRPr="00265545">
              <w:rPr>
                <w:rFonts w:ascii="Times New Roman" w:hAnsi="Times New Roman" w:cs="Times New Roman"/>
                <w:b/>
                <w:bCs/>
              </w:rPr>
              <w:t>Inženiertīkli (iekšējie)</w:t>
            </w:r>
          </w:p>
        </w:tc>
        <w:tc>
          <w:tcPr>
            <w:tcW w:w="2268" w:type="dxa"/>
          </w:tcPr>
          <w:p w14:paraId="064AE313" w14:textId="77777777" w:rsidR="007E7FDF" w:rsidRPr="00265545" w:rsidRDefault="007E7FDF" w:rsidP="007E7FDF">
            <w:pPr>
              <w:jc w:val="right"/>
              <w:rPr>
                <w:rFonts w:ascii="Times New Roman" w:hAnsi="Times New Roman" w:cs="Times New Roman"/>
              </w:rPr>
            </w:pPr>
          </w:p>
        </w:tc>
      </w:tr>
      <w:tr w:rsidR="009313F2" w:rsidRPr="00265545" w14:paraId="6E214490" w14:textId="77777777" w:rsidTr="0058168B">
        <w:tc>
          <w:tcPr>
            <w:tcW w:w="921" w:type="dxa"/>
          </w:tcPr>
          <w:p w14:paraId="06F612E4" w14:textId="77777777" w:rsidR="009313F2" w:rsidRPr="00265545" w:rsidRDefault="009313F2" w:rsidP="00F23C8C">
            <w:pPr>
              <w:jc w:val="center"/>
              <w:rPr>
                <w:rFonts w:ascii="Times New Roman" w:hAnsi="Times New Roman" w:cs="Times New Roman"/>
              </w:rPr>
            </w:pPr>
            <w:r w:rsidRPr="00265545">
              <w:rPr>
                <w:rFonts w:ascii="Times New Roman" w:hAnsi="Times New Roman" w:cs="Times New Roman"/>
              </w:rPr>
              <w:t>3</w:t>
            </w:r>
          </w:p>
        </w:tc>
        <w:tc>
          <w:tcPr>
            <w:tcW w:w="5878" w:type="dxa"/>
            <w:vAlign w:val="center"/>
          </w:tcPr>
          <w:p w14:paraId="293F7B30" w14:textId="31E22E99" w:rsidR="009313F2" w:rsidRPr="00265545" w:rsidRDefault="009313F2" w:rsidP="009313F2">
            <w:pPr>
              <w:jc w:val="both"/>
              <w:rPr>
                <w:rFonts w:ascii="Times New Roman" w:hAnsi="Times New Roman" w:cs="Times New Roman"/>
              </w:rPr>
            </w:pPr>
            <w:r w:rsidRPr="00265545">
              <w:rPr>
                <w:rFonts w:ascii="Times New Roman" w:hAnsi="Times New Roman" w:cs="Times New Roman"/>
              </w:rPr>
              <w:t xml:space="preserve">Montēt jaunus C tipa radiatorus, piem., </w:t>
            </w:r>
            <w:proofErr w:type="spellStart"/>
            <w:r w:rsidRPr="0058168B">
              <w:rPr>
                <w:rFonts w:ascii="Times New Roman" w:hAnsi="Times New Roman" w:cs="Times New Roman"/>
                <w:i/>
                <w:iCs/>
              </w:rPr>
              <w:t>Purmo</w:t>
            </w:r>
            <w:proofErr w:type="spellEnd"/>
            <w:r w:rsidRPr="0058168B">
              <w:rPr>
                <w:rFonts w:ascii="Times New Roman" w:hAnsi="Times New Roman" w:cs="Times New Roman"/>
                <w:i/>
                <w:iCs/>
              </w:rPr>
              <w:t xml:space="preserve"> </w:t>
            </w:r>
          </w:p>
        </w:tc>
        <w:tc>
          <w:tcPr>
            <w:tcW w:w="2268" w:type="dxa"/>
            <w:vAlign w:val="center"/>
          </w:tcPr>
          <w:p w14:paraId="0365A96C" w14:textId="61C53199"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5 402.60 </w:t>
            </w:r>
          </w:p>
        </w:tc>
      </w:tr>
      <w:tr w:rsidR="009313F2" w:rsidRPr="00265545" w14:paraId="38B6BEC9" w14:textId="77777777" w:rsidTr="0058168B">
        <w:tc>
          <w:tcPr>
            <w:tcW w:w="921" w:type="dxa"/>
          </w:tcPr>
          <w:p w14:paraId="0D502839" w14:textId="77777777" w:rsidR="009313F2" w:rsidRPr="00265545" w:rsidRDefault="009313F2" w:rsidP="00F23C8C">
            <w:pPr>
              <w:jc w:val="center"/>
              <w:rPr>
                <w:rFonts w:ascii="Times New Roman" w:hAnsi="Times New Roman" w:cs="Times New Roman"/>
              </w:rPr>
            </w:pPr>
            <w:r w:rsidRPr="00265545">
              <w:rPr>
                <w:rFonts w:ascii="Times New Roman" w:hAnsi="Times New Roman" w:cs="Times New Roman"/>
              </w:rPr>
              <w:t>4</w:t>
            </w:r>
          </w:p>
        </w:tc>
        <w:tc>
          <w:tcPr>
            <w:tcW w:w="5878" w:type="dxa"/>
            <w:vAlign w:val="center"/>
          </w:tcPr>
          <w:p w14:paraId="5723D95D" w14:textId="4D22636C" w:rsidR="009313F2" w:rsidRPr="00265545" w:rsidRDefault="009313F2" w:rsidP="009313F2">
            <w:pPr>
              <w:jc w:val="both"/>
              <w:rPr>
                <w:rFonts w:ascii="Times New Roman" w:hAnsi="Times New Roman" w:cs="Times New Roman"/>
              </w:rPr>
            </w:pPr>
            <w:r w:rsidRPr="00265545">
              <w:rPr>
                <w:rFonts w:ascii="Times New Roman" w:hAnsi="Times New Roman" w:cs="Times New Roman"/>
              </w:rPr>
              <w:t>Montēt jaunu apkures katlu</w:t>
            </w:r>
          </w:p>
        </w:tc>
        <w:tc>
          <w:tcPr>
            <w:tcW w:w="2268" w:type="dxa"/>
            <w:vAlign w:val="center"/>
          </w:tcPr>
          <w:p w14:paraId="1556A9A4" w14:textId="650CB35D"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1 764.60 </w:t>
            </w:r>
          </w:p>
        </w:tc>
      </w:tr>
      <w:tr w:rsidR="009313F2" w:rsidRPr="00265545" w14:paraId="3E82BA60" w14:textId="77777777" w:rsidTr="0058168B">
        <w:tc>
          <w:tcPr>
            <w:tcW w:w="921" w:type="dxa"/>
          </w:tcPr>
          <w:p w14:paraId="55C2066D" w14:textId="77777777" w:rsidR="009313F2" w:rsidRPr="00265545" w:rsidRDefault="009313F2" w:rsidP="00F23C8C">
            <w:pPr>
              <w:jc w:val="center"/>
              <w:rPr>
                <w:rFonts w:ascii="Times New Roman" w:hAnsi="Times New Roman" w:cs="Times New Roman"/>
              </w:rPr>
            </w:pPr>
            <w:r w:rsidRPr="00265545">
              <w:rPr>
                <w:rFonts w:ascii="Times New Roman" w:hAnsi="Times New Roman" w:cs="Times New Roman"/>
              </w:rPr>
              <w:t>5</w:t>
            </w:r>
          </w:p>
        </w:tc>
        <w:tc>
          <w:tcPr>
            <w:tcW w:w="5878" w:type="dxa"/>
            <w:vAlign w:val="center"/>
          </w:tcPr>
          <w:p w14:paraId="0F7D6289" w14:textId="3B4CF6C8" w:rsidR="009313F2" w:rsidRPr="00265545" w:rsidRDefault="009313F2" w:rsidP="009313F2">
            <w:pPr>
              <w:jc w:val="both"/>
              <w:rPr>
                <w:rFonts w:ascii="Times New Roman" w:hAnsi="Times New Roman" w:cs="Times New Roman"/>
              </w:rPr>
            </w:pPr>
            <w:r w:rsidRPr="00265545">
              <w:rPr>
                <w:rFonts w:ascii="Times New Roman" w:hAnsi="Times New Roman" w:cs="Times New Roman"/>
              </w:rPr>
              <w:t>Montēt jaunas apkures caurules*</w:t>
            </w:r>
          </w:p>
        </w:tc>
        <w:tc>
          <w:tcPr>
            <w:tcW w:w="2268" w:type="dxa"/>
            <w:vAlign w:val="center"/>
          </w:tcPr>
          <w:p w14:paraId="5839DA90" w14:textId="3349EF7F"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2 803.50 </w:t>
            </w:r>
          </w:p>
        </w:tc>
      </w:tr>
      <w:tr w:rsidR="009313F2" w:rsidRPr="00265545" w14:paraId="07AF32B1" w14:textId="77777777" w:rsidTr="0058168B">
        <w:tc>
          <w:tcPr>
            <w:tcW w:w="921" w:type="dxa"/>
          </w:tcPr>
          <w:p w14:paraId="3834DC94" w14:textId="77777777" w:rsidR="009313F2" w:rsidRPr="00265545" w:rsidRDefault="009313F2" w:rsidP="00F23C8C">
            <w:pPr>
              <w:jc w:val="center"/>
              <w:rPr>
                <w:rFonts w:ascii="Times New Roman" w:hAnsi="Times New Roman" w:cs="Times New Roman"/>
              </w:rPr>
            </w:pPr>
            <w:r w:rsidRPr="00265545">
              <w:rPr>
                <w:rFonts w:ascii="Times New Roman" w:hAnsi="Times New Roman" w:cs="Times New Roman"/>
              </w:rPr>
              <w:t>6</w:t>
            </w:r>
          </w:p>
        </w:tc>
        <w:tc>
          <w:tcPr>
            <w:tcW w:w="5878" w:type="dxa"/>
            <w:vAlign w:val="center"/>
          </w:tcPr>
          <w:p w14:paraId="5EFEDC3A" w14:textId="12A43A9D" w:rsidR="009313F2" w:rsidRPr="00265545" w:rsidRDefault="009313F2" w:rsidP="009313F2">
            <w:pPr>
              <w:jc w:val="both"/>
              <w:rPr>
                <w:rFonts w:ascii="Times New Roman" w:hAnsi="Times New Roman" w:cs="Times New Roman"/>
              </w:rPr>
            </w:pPr>
            <w:r w:rsidRPr="00265545">
              <w:rPr>
                <w:rFonts w:ascii="Times New Roman" w:hAnsi="Times New Roman" w:cs="Times New Roman"/>
              </w:rPr>
              <w:t>Ierīkot ventilācijas tīklus un ventilatorus</w:t>
            </w:r>
          </w:p>
        </w:tc>
        <w:tc>
          <w:tcPr>
            <w:tcW w:w="2268" w:type="dxa"/>
            <w:vAlign w:val="center"/>
          </w:tcPr>
          <w:p w14:paraId="72537B54" w14:textId="3675A684"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7 022.40 </w:t>
            </w:r>
          </w:p>
        </w:tc>
      </w:tr>
      <w:tr w:rsidR="009313F2" w:rsidRPr="00265545" w14:paraId="2E2FE279" w14:textId="77777777" w:rsidTr="0058168B">
        <w:tc>
          <w:tcPr>
            <w:tcW w:w="921" w:type="dxa"/>
          </w:tcPr>
          <w:p w14:paraId="67385670" w14:textId="77777777" w:rsidR="009313F2" w:rsidRPr="00265545" w:rsidRDefault="009313F2" w:rsidP="00F23C8C">
            <w:pPr>
              <w:jc w:val="center"/>
              <w:rPr>
                <w:rFonts w:ascii="Times New Roman" w:hAnsi="Times New Roman" w:cs="Times New Roman"/>
              </w:rPr>
            </w:pPr>
            <w:r w:rsidRPr="00265545">
              <w:rPr>
                <w:rFonts w:ascii="Times New Roman" w:hAnsi="Times New Roman" w:cs="Times New Roman"/>
              </w:rPr>
              <w:t>7</w:t>
            </w:r>
          </w:p>
        </w:tc>
        <w:tc>
          <w:tcPr>
            <w:tcW w:w="5878" w:type="dxa"/>
            <w:vAlign w:val="center"/>
          </w:tcPr>
          <w:p w14:paraId="7758F1FB" w14:textId="2C84419D" w:rsidR="009313F2" w:rsidRPr="00265545" w:rsidRDefault="009313F2" w:rsidP="009313F2">
            <w:pPr>
              <w:jc w:val="both"/>
              <w:rPr>
                <w:rFonts w:ascii="Times New Roman" w:hAnsi="Times New Roman" w:cs="Times New Roman"/>
              </w:rPr>
            </w:pPr>
            <w:r w:rsidRPr="00265545">
              <w:rPr>
                <w:rFonts w:ascii="Times New Roman" w:hAnsi="Times New Roman" w:cs="Times New Roman"/>
              </w:rPr>
              <w:t xml:space="preserve">Ierīkot ūdensapgādes tīklus (t.sk. caurules, veidgabali, </w:t>
            </w:r>
            <w:r w:rsidR="00DE287A">
              <w:rPr>
                <w:rFonts w:ascii="Times New Roman" w:hAnsi="Times New Roman" w:cs="Times New Roman"/>
              </w:rPr>
              <w:t>u.c.</w:t>
            </w:r>
            <w:r w:rsidRPr="00265545">
              <w:rPr>
                <w:rFonts w:ascii="Times New Roman" w:hAnsi="Times New Roman" w:cs="Times New Roman"/>
              </w:rPr>
              <w:t>)</w:t>
            </w:r>
          </w:p>
        </w:tc>
        <w:tc>
          <w:tcPr>
            <w:tcW w:w="2268" w:type="dxa"/>
            <w:vAlign w:val="center"/>
          </w:tcPr>
          <w:p w14:paraId="2A482E95" w14:textId="5A81E573"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5 543.40 </w:t>
            </w:r>
          </w:p>
        </w:tc>
      </w:tr>
      <w:tr w:rsidR="009313F2" w:rsidRPr="00265545" w14:paraId="509840A8" w14:textId="77777777" w:rsidTr="0058168B">
        <w:tc>
          <w:tcPr>
            <w:tcW w:w="921" w:type="dxa"/>
          </w:tcPr>
          <w:p w14:paraId="7E0FF559" w14:textId="77777777" w:rsidR="009313F2" w:rsidRPr="00265545" w:rsidRDefault="009313F2" w:rsidP="00F23C8C">
            <w:pPr>
              <w:jc w:val="center"/>
              <w:rPr>
                <w:rFonts w:ascii="Times New Roman" w:hAnsi="Times New Roman" w:cs="Times New Roman"/>
              </w:rPr>
            </w:pPr>
            <w:r w:rsidRPr="00265545">
              <w:rPr>
                <w:rFonts w:ascii="Times New Roman" w:hAnsi="Times New Roman" w:cs="Times New Roman"/>
              </w:rPr>
              <w:t>8</w:t>
            </w:r>
          </w:p>
        </w:tc>
        <w:tc>
          <w:tcPr>
            <w:tcW w:w="5878" w:type="dxa"/>
            <w:vAlign w:val="center"/>
          </w:tcPr>
          <w:p w14:paraId="45445CC8" w14:textId="016F3AD5" w:rsidR="009313F2" w:rsidRPr="00265545" w:rsidRDefault="009313F2" w:rsidP="009313F2">
            <w:pPr>
              <w:jc w:val="both"/>
              <w:rPr>
                <w:rFonts w:ascii="Times New Roman" w:hAnsi="Times New Roman" w:cs="Times New Roman"/>
              </w:rPr>
            </w:pPr>
            <w:r w:rsidRPr="00265545">
              <w:rPr>
                <w:rFonts w:ascii="Times New Roman" w:hAnsi="Times New Roman" w:cs="Times New Roman"/>
              </w:rPr>
              <w:t xml:space="preserve">Ierīkot kanalizācijas tīklus (t.sk. caurules, veidgabali, </w:t>
            </w:r>
            <w:proofErr w:type="spellStart"/>
            <w:r w:rsidRPr="00265545">
              <w:rPr>
                <w:rFonts w:ascii="Times New Roman" w:hAnsi="Times New Roman" w:cs="Times New Roman"/>
              </w:rPr>
              <w:t>fasondaļas</w:t>
            </w:r>
            <w:proofErr w:type="spellEnd"/>
            <w:r w:rsidRPr="00265545">
              <w:rPr>
                <w:rFonts w:ascii="Times New Roman" w:hAnsi="Times New Roman" w:cs="Times New Roman"/>
              </w:rPr>
              <w:t>)</w:t>
            </w:r>
          </w:p>
        </w:tc>
        <w:tc>
          <w:tcPr>
            <w:tcW w:w="2268" w:type="dxa"/>
            <w:vAlign w:val="center"/>
          </w:tcPr>
          <w:p w14:paraId="6AA82B76" w14:textId="444C6244"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5 025.00 </w:t>
            </w:r>
          </w:p>
        </w:tc>
      </w:tr>
      <w:tr w:rsidR="007E7FDF" w:rsidRPr="00265545" w14:paraId="632461F8" w14:textId="77777777" w:rsidTr="0058168B">
        <w:tc>
          <w:tcPr>
            <w:tcW w:w="921" w:type="dxa"/>
          </w:tcPr>
          <w:p w14:paraId="34E885A6" w14:textId="77777777" w:rsidR="007E7FDF" w:rsidRPr="00265545" w:rsidRDefault="007E7FDF" w:rsidP="00F23C8C">
            <w:pPr>
              <w:jc w:val="center"/>
              <w:rPr>
                <w:rFonts w:ascii="Times New Roman" w:hAnsi="Times New Roman" w:cs="Times New Roman"/>
                <w:b/>
                <w:bCs/>
              </w:rPr>
            </w:pPr>
          </w:p>
        </w:tc>
        <w:tc>
          <w:tcPr>
            <w:tcW w:w="5878" w:type="dxa"/>
            <w:vAlign w:val="center"/>
          </w:tcPr>
          <w:p w14:paraId="575C07A9" w14:textId="20F2DA77" w:rsidR="007E7FDF" w:rsidRPr="00265545" w:rsidRDefault="007E7FDF" w:rsidP="007E7FDF">
            <w:pPr>
              <w:jc w:val="both"/>
              <w:rPr>
                <w:rFonts w:ascii="Times New Roman" w:hAnsi="Times New Roman" w:cs="Times New Roman"/>
                <w:b/>
                <w:bCs/>
              </w:rPr>
            </w:pPr>
            <w:r w:rsidRPr="00265545">
              <w:rPr>
                <w:rFonts w:ascii="Times New Roman" w:hAnsi="Times New Roman" w:cs="Times New Roman"/>
                <w:b/>
                <w:bCs/>
              </w:rPr>
              <w:t>Cokols</w:t>
            </w:r>
            <w:r w:rsidR="00DE287A">
              <w:rPr>
                <w:rFonts w:ascii="Times New Roman" w:hAnsi="Times New Roman" w:cs="Times New Roman"/>
                <w:b/>
                <w:bCs/>
              </w:rPr>
              <w:t xml:space="preserve"> </w:t>
            </w:r>
            <w:r w:rsidRPr="00265545">
              <w:rPr>
                <w:rFonts w:ascii="Times New Roman" w:hAnsi="Times New Roman" w:cs="Times New Roman"/>
                <w:b/>
                <w:bCs/>
              </w:rPr>
              <w:t>/</w:t>
            </w:r>
            <w:r w:rsidR="00DE287A">
              <w:rPr>
                <w:rFonts w:ascii="Times New Roman" w:hAnsi="Times New Roman" w:cs="Times New Roman"/>
                <w:b/>
                <w:bCs/>
              </w:rPr>
              <w:t xml:space="preserve"> </w:t>
            </w:r>
            <w:r w:rsidRPr="00265545">
              <w:rPr>
                <w:rFonts w:ascii="Times New Roman" w:hAnsi="Times New Roman" w:cs="Times New Roman"/>
                <w:b/>
                <w:bCs/>
              </w:rPr>
              <w:t>pamati</w:t>
            </w:r>
          </w:p>
        </w:tc>
        <w:tc>
          <w:tcPr>
            <w:tcW w:w="2268" w:type="dxa"/>
          </w:tcPr>
          <w:p w14:paraId="009EB222" w14:textId="77777777" w:rsidR="007E7FDF" w:rsidRPr="00265545" w:rsidRDefault="007E7FDF" w:rsidP="007E7FDF">
            <w:pPr>
              <w:jc w:val="right"/>
              <w:rPr>
                <w:rFonts w:ascii="Times New Roman" w:hAnsi="Times New Roman" w:cs="Times New Roman"/>
              </w:rPr>
            </w:pPr>
          </w:p>
        </w:tc>
      </w:tr>
      <w:tr w:rsidR="009313F2" w:rsidRPr="00265545" w14:paraId="0CE47216" w14:textId="77777777" w:rsidTr="0058168B">
        <w:tc>
          <w:tcPr>
            <w:tcW w:w="921" w:type="dxa"/>
          </w:tcPr>
          <w:p w14:paraId="7BF5515B" w14:textId="77777777" w:rsidR="009313F2" w:rsidRPr="00265545" w:rsidRDefault="009313F2" w:rsidP="00F23C8C">
            <w:pPr>
              <w:jc w:val="center"/>
              <w:rPr>
                <w:rFonts w:ascii="Times New Roman" w:hAnsi="Times New Roman" w:cs="Times New Roman"/>
              </w:rPr>
            </w:pPr>
            <w:r w:rsidRPr="00265545">
              <w:rPr>
                <w:rFonts w:ascii="Times New Roman" w:hAnsi="Times New Roman" w:cs="Times New Roman"/>
              </w:rPr>
              <w:t>9</w:t>
            </w:r>
          </w:p>
        </w:tc>
        <w:tc>
          <w:tcPr>
            <w:tcW w:w="5878" w:type="dxa"/>
            <w:vAlign w:val="center"/>
          </w:tcPr>
          <w:p w14:paraId="0D3F1895" w14:textId="4E498E5F" w:rsidR="009313F2" w:rsidRPr="00265545" w:rsidRDefault="009313F2" w:rsidP="009313F2">
            <w:pPr>
              <w:jc w:val="both"/>
              <w:rPr>
                <w:rFonts w:ascii="Times New Roman" w:hAnsi="Times New Roman" w:cs="Times New Roman"/>
              </w:rPr>
            </w:pPr>
            <w:r w:rsidRPr="00265545">
              <w:rPr>
                <w:rFonts w:ascii="Times New Roman" w:hAnsi="Times New Roman" w:cs="Times New Roman"/>
              </w:rPr>
              <w:t xml:space="preserve">Siltināt ēkas pamatus ar </w:t>
            </w:r>
            <w:proofErr w:type="spellStart"/>
            <w:r w:rsidRPr="00265545">
              <w:rPr>
                <w:rFonts w:ascii="Times New Roman" w:hAnsi="Times New Roman" w:cs="Times New Roman"/>
              </w:rPr>
              <w:t>xps</w:t>
            </w:r>
            <w:proofErr w:type="spellEnd"/>
            <w:r w:rsidRPr="00265545">
              <w:rPr>
                <w:rFonts w:ascii="Times New Roman" w:hAnsi="Times New Roman" w:cs="Times New Roman"/>
              </w:rPr>
              <w:t xml:space="preserve"> </w:t>
            </w:r>
            <w:proofErr w:type="spellStart"/>
            <w:r w:rsidRPr="00265545">
              <w:rPr>
                <w:rFonts w:ascii="Times New Roman" w:hAnsi="Times New Roman" w:cs="Times New Roman"/>
              </w:rPr>
              <w:t>ekstrudēto</w:t>
            </w:r>
            <w:proofErr w:type="spellEnd"/>
            <w:r w:rsidRPr="00265545">
              <w:rPr>
                <w:rFonts w:ascii="Times New Roman" w:hAnsi="Times New Roman" w:cs="Times New Roman"/>
              </w:rPr>
              <w:t xml:space="preserve"> putuplastu</w:t>
            </w:r>
          </w:p>
        </w:tc>
        <w:tc>
          <w:tcPr>
            <w:tcW w:w="2268" w:type="dxa"/>
            <w:vAlign w:val="center"/>
          </w:tcPr>
          <w:p w14:paraId="489EBDCE" w14:textId="1F31662C"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1 894.29 </w:t>
            </w:r>
          </w:p>
        </w:tc>
      </w:tr>
      <w:tr w:rsidR="009313F2" w:rsidRPr="00265545" w14:paraId="79CCE5BE" w14:textId="77777777" w:rsidTr="0058168B">
        <w:tc>
          <w:tcPr>
            <w:tcW w:w="921" w:type="dxa"/>
          </w:tcPr>
          <w:p w14:paraId="32F97F33" w14:textId="77777777" w:rsidR="009313F2" w:rsidRPr="00265545" w:rsidRDefault="009313F2" w:rsidP="00F23C8C">
            <w:pPr>
              <w:jc w:val="center"/>
              <w:rPr>
                <w:rFonts w:ascii="Times New Roman" w:hAnsi="Times New Roman" w:cs="Times New Roman"/>
              </w:rPr>
            </w:pPr>
            <w:r w:rsidRPr="00265545">
              <w:rPr>
                <w:rFonts w:ascii="Times New Roman" w:hAnsi="Times New Roman" w:cs="Times New Roman"/>
              </w:rPr>
              <w:t>10</w:t>
            </w:r>
          </w:p>
        </w:tc>
        <w:tc>
          <w:tcPr>
            <w:tcW w:w="5878" w:type="dxa"/>
            <w:vAlign w:val="center"/>
          </w:tcPr>
          <w:p w14:paraId="28918CC3" w14:textId="76E7B62A" w:rsidR="009313F2" w:rsidRPr="00265545" w:rsidRDefault="009313F2" w:rsidP="009313F2">
            <w:pPr>
              <w:jc w:val="both"/>
              <w:rPr>
                <w:rFonts w:ascii="Times New Roman" w:hAnsi="Times New Roman" w:cs="Times New Roman"/>
              </w:rPr>
            </w:pPr>
            <w:r w:rsidRPr="00265545">
              <w:rPr>
                <w:rFonts w:ascii="Times New Roman" w:hAnsi="Times New Roman" w:cs="Times New Roman"/>
              </w:rPr>
              <w:t>Uzklāt hidroizolāciju ēkas pamatiem</w:t>
            </w:r>
          </w:p>
        </w:tc>
        <w:tc>
          <w:tcPr>
            <w:tcW w:w="2268" w:type="dxa"/>
            <w:vAlign w:val="center"/>
          </w:tcPr>
          <w:p w14:paraId="72D1E862" w14:textId="45297974"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1 284.65 </w:t>
            </w:r>
          </w:p>
        </w:tc>
      </w:tr>
      <w:tr w:rsidR="007E7FDF" w:rsidRPr="00265545" w14:paraId="1FFDD30F" w14:textId="77777777" w:rsidTr="0058168B">
        <w:tc>
          <w:tcPr>
            <w:tcW w:w="921" w:type="dxa"/>
          </w:tcPr>
          <w:p w14:paraId="64A4D967" w14:textId="77777777" w:rsidR="007E7FDF" w:rsidRPr="00265545" w:rsidRDefault="007E7FDF" w:rsidP="00F23C8C">
            <w:pPr>
              <w:jc w:val="center"/>
              <w:rPr>
                <w:rFonts w:ascii="Times New Roman" w:hAnsi="Times New Roman" w:cs="Times New Roman"/>
              </w:rPr>
            </w:pPr>
          </w:p>
        </w:tc>
        <w:tc>
          <w:tcPr>
            <w:tcW w:w="5878" w:type="dxa"/>
            <w:vAlign w:val="center"/>
          </w:tcPr>
          <w:p w14:paraId="23354047" w14:textId="185C821B" w:rsidR="007E7FDF" w:rsidRPr="00265545" w:rsidRDefault="007E7FDF" w:rsidP="007E7FDF">
            <w:pPr>
              <w:jc w:val="both"/>
              <w:rPr>
                <w:rFonts w:ascii="Times New Roman" w:hAnsi="Times New Roman" w:cs="Times New Roman"/>
              </w:rPr>
            </w:pPr>
            <w:r w:rsidRPr="00265545">
              <w:rPr>
                <w:rFonts w:ascii="Times New Roman" w:hAnsi="Times New Roman" w:cs="Times New Roman"/>
                <w:b/>
                <w:bCs/>
              </w:rPr>
              <w:t>Fasāde</w:t>
            </w:r>
          </w:p>
        </w:tc>
        <w:tc>
          <w:tcPr>
            <w:tcW w:w="2268" w:type="dxa"/>
          </w:tcPr>
          <w:p w14:paraId="4CEFA0EF" w14:textId="77777777" w:rsidR="007E7FDF" w:rsidRPr="00265545" w:rsidRDefault="007E7FDF" w:rsidP="007E7FDF">
            <w:pPr>
              <w:jc w:val="right"/>
              <w:rPr>
                <w:rFonts w:ascii="Times New Roman" w:hAnsi="Times New Roman" w:cs="Times New Roman"/>
              </w:rPr>
            </w:pPr>
          </w:p>
        </w:tc>
      </w:tr>
      <w:tr w:rsidR="007E7FDF" w:rsidRPr="00265545" w14:paraId="7092CA3E" w14:textId="77777777" w:rsidTr="0058168B">
        <w:tc>
          <w:tcPr>
            <w:tcW w:w="921" w:type="dxa"/>
          </w:tcPr>
          <w:p w14:paraId="4496AAD3" w14:textId="77777777" w:rsidR="007E7FDF" w:rsidRPr="00265545" w:rsidRDefault="007E7FDF" w:rsidP="00F23C8C">
            <w:pPr>
              <w:jc w:val="center"/>
              <w:rPr>
                <w:rFonts w:ascii="Times New Roman" w:hAnsi="Times New Roman" w:cs="Times New Roman"/>
              </w:rPr>
            </w:pPr>
            <w:r w:rsidRPr="00265545">
              <w:rPr>
                <w:rFonts w:ascii="Times New Roman" w:hAnsi="Times New Roman" w:cs="Times New Roman"/>
              </w:rPr>
              <w:t>11</w:t>
            </w:r>
          </w:p>
        </w:tc>
        <w:tc>
          <w:tcPr>
            <w:tcW w:w="5878" w:type="dxa"/>
          </w:tcPr>
          <w:p w14:paraId="632443C8" w14:textId="68D5FDF2" w:rsidR="007E7FDF" w:rsidRPr="00265545" w:rsidRDefault="007E7FDF" w:rsidP="00766015">
            <w:pPr>
              <w:jc w:val="both"/>
              <w:rPr>
                <w:rFonts w:ascii="Times New Roman" w:hAnsi="Times New Roman" w:cs="Times New Roman"/>
              </w:rPr>
            </w:pPr>
            <w:r w:rsidRPr="00265545">
              <w:rPr>
                <w:rFonts w:ascii="Times New Roman" w:hAnsi="Times New Roman" w:cs="Times New Roman"/>
              </w:rPr>
              <w:t xml:space="preserve">Atjaunot </w:t>
            </w:r>
            <w:r w:rsidR="00DE287A">
              <w:rPr>
                <w:rFonts w:ascii="Times New Roman" w:hAnsi="Times New Roman" w:cs="Times New Roman"/>
              </w:rPr>
              <w:t xml:space="preserve">un nokrāsot </w:t>
            </w:r>
            <w:r w:rsidRPr="00265545">
              <w:rPr>
                <w:rFonts w:ascii="Times New Roman" w:hAnsi="Times New Roman" w:cs="Times New Roman"/>
              </w:rPr>
              <w:t>ēkas fasādes apmetumu</w:t>
            </w:r>
          </w:p>
        </w:tc>
        <w:tc>
          <w:tcPr>
            <w:tcW w:w="2268" w:type="dxa"/>
          </w:tcPr>
          <w:p w14:paraId="0149356A" w14:textId="1EC350CF" w:rsidR="007E7FDF"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16 201.79</w:t>
            </w:r>
          </w:p>
        </w:tc>
      </w:tr>
      <w:tr w:rsidR="007E7FDF" w:rsidRPr="00265545" w14:paraId="473A24C5" w14:textId="77777777" w:rsidTr="0058168B">
        <w:tc>
          <w:tcPr>
            <w:tcW w:w="921" w:type="dxa"/>
          </w:tcPr>
          <w:p w14:paraId="2A9D18D2" w14:textId="77777777" w:rsidR="007E7FDF" w:rsidRPr="00265545" w:rsidRDefault="007E7FDF" w:rsidP="00F23C8C">
            <w:pPr>
              <w:jc w:val="center"/>
              <w:rPr>
                <w:rFonts w:ascii="Times New Roman" w:hAnsi="Times New Roman" w:cs="Times New Roman"/>
              </w:rPr>
            </w:pPr>
          </w:p>
        </w:tc>
        <w:tc>
          <w:tcPr>
            <w:tcW w:w="5878" w:type="dxa"/>
          </w:tcPr>
          <w:p w14:paraId="67CE0974" w14:textId="7E613765" w:rsidR="007E7FDF" w:rsidRPr="00265545" w:rsidRDefault="007E7FDF" w:rsidP="00766015">
            <w:pPr>
              <w:jc w:val="both"/>
              <w:rPr>
                <w:rFonts w:ascii="Times New Roman" w:hAnsi="Times New Roman" w:cs="Times New Roman"/>
              </w:rPr>
            </w:pPr>
            <w:r w:rsidRPr="00265545">
              <w:rPr>
                <w:rFonts w:ascii="Times New Roman" w:hAnsi="Times New Roman" w:cs="Times New Roman"/>
                <w:b/>
                <w:bCs/>
              </w:rPr>
              <w:t>Jumts</w:t>
            </w:r>
          </w:p>
        </w:tc>
        <w:tc>
          <w:tcPr>
            <w:tcW w:w="2268" w:type="dxa"/>
          </w:tcPr>
          <w:p w14:paraId="664D86D2" w14:textId="77777777" w:rsidR="007E7FDF" w:rsidRPr="00265545" w:rsidRDefault="007E7FDF" w:rsidP="00766015">
            <w:pPr>
              <w:jc w:val="right"/>
              <w:rPr>
                <w:rFonts w:ascii="Times New Roman" w:hAnsi="Times New Roman" w:cs="Times New Roman"/>
              </w:rPr>
            </w:pPr>
          </w:p>
        </w:tc>
      </w:tr>
      <w:tr w:rsidR="007E7FDF" w:rsidRPr="00265545" w14:paraId="09C1E4DE" w14:textId="77777777" w:rsidTr="0058168B">
        <w:tc>
          <w:tcPr>
            <w:tcW w:w="921" w:type="dxa"/>
          </w:tcPr>
          <w:p w14:paraId="4A65A934" w14:textId="77777777" w:rsidR="007E7FDF" w:rsidRPr="00265545" w:rsidRDefault="007E7FDF" w:rsidP="00F23C8C">
            <w:pPr>
              <w:jc w:val="center"/>
              <w:rPr>
                <w:rFonts w:ascii="Times New Roman" w:hAnsi="Times New Roman" w:cs="Times New Roman"/>
              </w:rPr>
            </w:pPr>
            <w:r w:rsidRPr="00265545">
              <w:rPr>
                <w:rFonts w:ascii="Times New Roman" w:hAnsi="Times New Roman" w:cs="Times New Roman"/>
              </w:rPr>
              <w:t>12</w:t>
            </w:r>
          </w:p>
        </w:tc>
        <w:tc>
          <w:tcPr>
            <w:tcW w:w="5878" w:type="dxa"/>
          </w:tcPr>
          <w:p w14:paraId="39191EDC" w14:textId="26A930D6" w:rsidR="007E7FDF" w:rsidRPr="00265545" w:rsidRDefault="007E7FDF" w:rsidP="00766015">
            <w:pPr>
              <w:jc w:val="both"/>
              <w:rPr>
                <w:rFonts w:ascii="Times New Roman" w:hAnsi="Times New Roman" w:cs="Times New Roman"/>
              </w:rPr>
            </w:pPr>
            <w:r w:rsidRPr="00265545">
              <w:rPr>
                <w:rFonts w:ascii="Times New Roman" w:hAnsi="Times New Roman" w:cs="Times New Roman"/>
              </w:rPr>
              <w:t>Montēt jaunu bitumena ruļļu segumu 2 kārtās</w:t>
            </w:r>
          </w:p>
        </w:tc>
        <w:tc>
          <w:tcPr>
            <w:tcW w:w="2268" w:type="dxa"/>
          </w:tcPr>
          <w:p w14:paraId="13C1B823" w14:textId="50867080" w:rsidR="007E7FDF"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806.98</w:t>
            </w:r>
          </w:p>
        </w:tc>
      </w:tr>
      <w:tr w:rsidR="007E7FDF" w:rsidRPr="00265545" w14:paraId="3B0DA269" w14:textId="77777777" w:rsidTr="0058168B">
        <w:tc>
          <w:tcPr>
            <w:tcW w:w="921" w:type="dxa"/>
          </w:tcPr>
          <w:p w14:paraId="775589CD" w14:textId="77777777" w:rsidR="007E7FDF" w:rsidRPr="00265545" w:rsidRDefault="007E7FDF" w:rsidP="00F23C8C">
            <w:pPr>
              <w:jc w:val="center"/>
              <w:rPr>
                <w:rFonts w:ascii="Times New Roman" w:hAnsi="Times New Roman" w:cs="Times New Roman"/>
              </w:rPr>
            </w:pPr>
          </w:p>
        </w:tc>
        <w:tc>
          <w:tcPr>
            <w:tcW w:w="5878" w:type="dxa"/>
          </w:tcPr>
          <w:p w14:paraId="27947F40" w14:textId="5718D733" w:rsidR="007E7FDF" w:rsidRPr="00265545" w:rsidRDefault="007E7FDF" w:rsidP="00766015">
            <w:pPr>
              <w:jc w:val="both"/>
              <w:rPr>
                <w:rFonts w:ascii="Times New Roman" w:hAnsi="Times New Roman" w:cs="Times New Roman"/>
              </w:rPr>
            </w:pPr>
            <w:r w:rsidRPr="00265545">
              <w:rPr>
                <w:rFonts w:ascii="Times New Roman" w:hAnsi="Times New Roman" w:cs="Times New Roman"/>
                <w:b/>
                <w:bCs/>
              </w:rPr>
              <w:t>Iekšdarbi</w:t>
            </w:r>
          </w:p>
        </w:tc>
        <w:tc>
          <w:tcPr>
            <w:tcW w:w="2268" w:type="dxa"/>
          </w:tcPr>
          <w:p w14:paraId="06E284CF" w14:textId="77777777" w:rsidR="007E7FDF" w:rsidRPr="00265545" w:rsidRDefault="007E7FDF" w:rsidP="00766015">
            <w:pPr>
              <w:jc w:val="right"/>
              <w:rPr>
                <w:rFonts w:ascii="Times New Roman" w:hAnsi="Times New Roman" w:cs="Times New Roman"/>
              </w:rPr>
            </w:pPr>
          </w:p>
        </w:tc>
      </w:tr>
      <w:tr w:rsidR="009313F2" w:rsidRPr="00265545" w14:paraId="3E3276EF" w14:textId="77777777" w:rsidTr="0058168B">
        <w:tc>
          <w:tcPr>
            <w:tcW w:w="921" w:type="dxa"/>
          </w:tcPr>
          <w:p w14:paraId="6E75DD6E" w14:textId="77777777" w:rsidR="009313F2" w:rsidRPr="00265545" w:rsidRDefault="009313F2" w:rsidP="00F23C8C">
            <w:pPr>
              <w:jc w:val="center"/>
              <w:rPr>
                <w:rFonts w:ascii="Times New Roman" w:hAnsi="Times New Roman" w:cs="Times New Roman"/>
              </w:rPr>
            </w:pPr>
            <w:r w:rsidRPr="00265545">
              <w:rPr>
                <w:rFonts w:ascii="Times New Roman" w:hAnsi="Times New Roman" w:cs="Times New Roman"/>
              </w:rPr>
              <w:t>13</w:t>
            </w:r>
          </w:p>
        </w:tc>
        <w:tc>
          <w:tcPr>
            <w:tcW w:w="5878" w:type="dxa"/>
            <w:vAlign w:val="center"/>
          </w:tcPr>
          <w:p w14:paraId="3ABCBB6C" w14:textId="6D8326CF" w:rsidR="009313F2" w:rsidRPr="00265545" w:rsidRDefault="009313F2" w:rsidP="009313F2">
            <w:pPr>
              <w:jc w:val="both"/>
              <w:rPr>
                <w:rFonts w:ascii="Times New Roman" w:hAnsi="Times New Roman" w:cs="Times New Roman"/>
              </w:rPr>
            </w:pPr>
            <w:r w:rsidRPr="00265545">
              <w:rPr>
                <w:rFonts w:ascii="Times New Roman" w:hAnsi="Times New Roman" w:cs="Times New Roman"/>
              </w:rPr>
              <w:t>Lokāli atjaunot sienas apdari*</w:t>
            </w:r>
          </w:p>
        </w:tc>
        <w:tc>
          <w:tcPr>
            <w:tcW w:w="2268" w:type="dxa"/>
            <w:vAlign w:val="center"/>
          </w:tcPr>
          <w:p w14:paraId="756EFED0" w14:textId="13F06188"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5 728.54 </w:t>
            </w:r>
          </w:p>
        </w:tc>
      </w:tr>
      <w:tr w:rsidR="009313F2" w:rsidRPr="00265545" w14:paraId="6F40AB1B" w14:textId="77777777" w:rsidTr="0058168B">
        <w:tc>
          <w:tcPr>
            <w:tcW w:w="921" w:type="dxa"/>
          </w:tcPr>
          <w:p w14:paraId="04CF82CA" w14:textId="6D370578" w:rsidR="009313F2" w:rsidRPr="00265545" w:rsidRDefault="009313F2" w:rsidP="00F23C8C">
            <w:pPr>
              <w:jc w:val="center"/>
              <w:rPr>
                <w:rFonts w:ascii="Times New Roman" w:hAnsi="Times New Roman" w:cs="Times New Roman"/>
              </w:rPr>
            </w:pPr>
            <w:r w:rsidRPr="00265545">
              <w:rPr>
                <w:rFonts w:ascii="Times New Roman" w:hAnsi="Times New Roman" w:cs="Times New Roman"/>
              </w:rPr>
              <w:t>14</w:t>
            </w:r>
          </w:p>
        </w:tc>
        <w:tc>
          <w:tcPr>
            <w:tcW w:w="5878" w:type="dxa"/>
            <w:vAlign w:val="center"/>
          </w:tcPr>
          <w:p w14:paraId="27D93076" w14:textId="5B74C730" w:rsidR="009313F2" w:rsidRPr="00265545" w:rsidRDefault="009313F2" w:rsidP="009313F2">
            <w:pPr>
              <w:jc w:val="both"/>
              <w:rPr>
                <w:rFonts w:ascii="Times New Roman" w:hAnsi="Times New Roman" w:cs="Times New Roman"/>
              </w:rPr>
            </w:pPr>
            <w:r w:rsidRPr="00265545">
              <w:rPr>
                <w:rFonts w:ascii="Times New Roman" w:hAnsi="Times New Roman" w:cs="Times New Roman"/>
              </w:rPr>
              <w:t>Lokāli atjaunot grīdas apdari (linolejs)*</w:t>
            </w:r>
          </w:p>
        </w:tc>
        <w:tc>
          <w:tcPr>
            <w:tcW w:w="2268" w:type="dxa"/>
            <w:vAlign w:val="center"/>
          </w:tcPr>
          <w:p w14:paraId="5224F7BB" w14:textId="07DA5B7A"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1 870.72 </w:t>
            </w:r>
          </w:p>
        </w:tc>
      </w:tr>
      <w:tr w:rsidR="007E7FDF" w:rsidRPr="00265545" w14:paraId="678AB32A" w14:textId="77777777" w:rsidTr="0058168B">
        <w:tc>
          <w:tcPr>
            <w:tcW w:w="921" w:type="dxa"/>
          </w:tcPr>
          <w:p w14:paraId="538AB42B" w14:textId="77777777" w:rsidR="007E7FDF" w:rsidRPr="00265545" w:rsidRDefault="007E7FDF" w:rsidP="00F23C8C">
            <w:pPr>
              <w:jc w:val="center"/>
              <w:rPr>
                <w:rFonts w:ascii="Times New Roman" w:hAnsi="Times New Roman" w:cs="Times New Roman"/>
              </w:rPr>
            </w:pPr>
          </w:p>
        </w:tc>
        <w:tc>
          <w:tcPr>
            <w:tcW w:w="5878" w:type="dxa"/>
            <w:vAlign w:val="center"/>
          </w:tcPr>
          <w:p w14:paraId="0B2EB323" w14:textId="0893411E" w:rsidR="007E7FDF" w:rsidRPr="00265545" w:rsidRDefault="007E7FDF" w:rsidP="007E7FDF">
            <w:pPr>
              <w:jc w:val="both"/>
              <w:rPr>
                <w:rFonts w:ascii="Times New Roman" w:hAnsi="Times New Roman" w:cs="Times New Roman"/>
              </w:rPr>
            </w:pPr>
            <w:r w:rsidRPr="00265545">
              <w:rPr>
                <w:rFonts w:ascii="Times New Roman" w:hAnsi="Times New Roman" w:cs="Times New Roman"/>
                <w:b/>
                <w:bCs/>
              </w:rPr>
              <w:t>Citi</w:t>
            </w:r>
          </w:p>
        </w:tc>
        <w:tc>
          <w:tcPr>
            <w:tcW w:w="2268" w:type="dxa"/>
          </w:tcPr>
          <w:p w14:paraId="199AED34" w14:textId="77777777" w:rsidR="007E7FDF" w:rsidRPr="00265545" w:rsidRDefault="007E7FDF" w:rsidP="007E7FDF">
            <w:pPr>
              <w:jc w:val="right"/>
              <w:rPr>
                <w:rFonts w:ascii="Times New Roman" w:hAnsi="Times New Roman" w:cs="Times New Roman"/>
              </w:rPr>
            </w:pPr>
          </w:p>
        </w:tc>
      </w:tr>
      <w:tr w:rsidR="009313F2" w:rsidRPr="00265545" w14:paraId="71C3015B" w14:textId="77777777" w:rsidTr="0058168B">
        <w:tc>
          <w:tcPr>
            <w:tcW w:w="921" w:type="dxa"/>
          </w:tcPr>
          <w:p w14:paraId="026E4AD3" w14:textId="25F4BE11" w:rsidR="009313F2" w:rsidRPr="00265545" w:rsidRDefault="009313F2" w:rsidP="00F23C8C">
            <w:pPr>
              <w:jc w:val="center"/>
              <w:rPr>
                <w:rFonts w:ascii="Times New Roman" w:hAnsi="Times New Roman" w:cs="Times New Roman"/>
              </w:rPr>
            </w:pPr>
            <w:r w:rsidRPr="00265545">
              <w:rPr>
                <w:rFonts w:ascii="Times New Roman" w:hAnsi="Times New Roman" w:cs="Times New Roman"/>
              </w:rPr>
              <w:t>15</w:t>
            </w:r>
          </w:p>
        </w:tc>
        <w:tc>
          <w:tcPr>
            <w:tcW w:w="5878" w:type="dxa"/>
            <w:vAlign w:val="center"/>
          </w:tcPr>
          <w:p w14:paraId="5C3942D0" w14:textId="747C2BEA" w:rsidR="009313F2" w:rsidRPr="00265545" w:rsidRDefault="009313F2" w:rsidP="009313F2">
            <w:pPr>
              <w:jc w:val="both"/>
              <w:rPr>
                <w:rFonts w:ascii="Times New Roman" w:hAnsi="Times New Roman" w:cs="Times New Roman"/>
              </w:rPr>
            </w:pPr>
            <w:r w:rsidRPr="00265545">
              <w:rPr>
                <w:rFonts w:ascii="Times New Roman" w:hAnsi="Times New Roman" w:cs="Times New Roman"/>
              </w:rPr>
              <w:t xml:space="preserve">Paredzēt lietus ūdens novadīšanu no </w:t>
            </w:r>
            <w:r w:rsidR="00DE287A">
              <w:rPr>
                <w:rFonts w:ascii="Times New Roman" w:hAnsi="Times New Roman" w:cs="Times New Roman"/>
              </w:rPr>
              <w:t>ēkas</w:t>
            </w:r>
            <w:r w:rsidR="00DE287A" w:rsidRPr="00265545">
              <w:rPr>
                <w:rFonts w:ascii="Times New Roman" w:hAnsi="Times New Roman" w:cs="Times New Roman"/>
              </w:rPr>
              <w:t xml:space="preserve"> </w:t>
            </w:r>
            <w:r w:rsidRPr="00265545">
              <w:rPr>
                <w:rFonts w:ascii="Times New Roman" w:hAnsi="Times New Roman" w:cs="Times New Roman"/>
              </w:rPr>
              <w:t>un pamatiem</w:t>
            </w:r>
          </w:p>
        </w:tc>
        <w:tc>
          <w:tcPr>
            <w:tcW w:w="2268" w:type="dxa"/>
            <w:vAlign w:val="center"/>
          </w:tcPr>
          <w:p w14:paraId="1BC50E51" w14:textId="160D87E5"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865.07 </w:t>
            </w:r>
          </w:p>
        </w:tc>
      </w:tr>
      <w:tr w:rsidR="009313F2" w:rsidRPr="00265545" w14:paraId="23EE664F" w14:textId="77777777" w:rsidTr="0058168B">
        <w:tc>
          <w:tcPr>
            <w:tcW w:w="921" w:type="dxa"/>
          </w:tcPr>
          <w:p w14:paraId="0C02BDC7" w14:textId="74AC4FFD" w:rsidR="009313F2" w:rsidRPr="00265545" w:rsidRDefault="009313F2" w:rsidP="00F23C8C">
            <w:pPr>
              <w:jc w:val="center"/>
              <w:rPr>
                <w:rFonts w:ascii="Times New Roman" w:hAnsi="Times New Roman" w:cs="Times New Roman"/>
              </w:rPr>
            </w:pPr>
            <w:r w:rsidRPr="00265545">
              <w:rPr>
                <w:rFonts w:ascii="Times New Roman" w:hAnsi="Times New Roman" w:cs="Times New Roman"/>
              </w:rPr>
              <w:t>16</w:t>
            </w:r>
          </w:p>
        </w:tc>
        <w:tc>
          <w:tcPr>
            <w:tcW w:w="5878" w:type="dxa"/>
            <w:vAlign w:val="center"/>
          </w:tcPr>
          <w:p w14:paraId="60371FDB" w14:textId="5AADABA3" w:rsidR="009313F2" w:rsidRPr="00265545" w:rsidRDefault="009313F2" w:rsidP="009313F2">
            <w:pPr>
              <w:jc w:val="both"/>
              <w:rPr>
                <w:rFonts w:ascii="Times New Roman" w:hAnsi="Times New Roman" w:cs="Times New Roman"/>
              </w:rPr>
            </w:pPr>
            <w:r w:rsidRPr="00265545">
              <w:rPr>
                <w:rFonts w:ascii="Times New Roman" w:hAnsi="Times New Roman" w:cs="Times New Roman"/>
              </w:rPr>
              <w:t>Telpu 13, 14 un 15 fasādēs aizdarīt caurumus ar mūrējumu*</w:t>
            </w:r>
          </w:p>
        </w:tc>
        <w:tc>
          <w:tcPr>
            <w:tcW w:w="2268" w:type="dxa"/>
            <w:vAlign w:val="center"/>
          </w:tcPr>
          <w:p w14:paraId="3DCE06F9" w14:textId="20232A45"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1 051.81 </w:t>
            </w:r>
          </w:p>
        </w:tc>
      </w:tr>
      <w:tr w:rsidR="009313F2" w:rsidRPr="00265545" w14:paraId="3EBA2E6B" w14:textId="77777777" w:rsidTr="0058168B">
        <w:tc>
          <w:tcPr>
            <w:tcW w:w="921" w:type="dxa"/>
          </w:tcPr>
          <w:p w14:paraId="2A794159" w14:textId="4D8777AE" w:rsidR="009313F2" w:rsidRPr="00265545" w:rsidRDefault="009313F2" w:rsidP="00F23C8C">
            <w:pPr>
              <w:jc w:val="center"/>
              <w:rPr>
                <w:rFonts w:ascii="Times New Roman" w:hAnsi="Times New Roman" w:cs="Times New Roman"/>
              </w:rPr>
            </w:pPr>
            <w:r w:rsidRPr="00265545">
              <w:rPr>
                <w:rFonts w:ascii="Times New Roman" w:hAnsi="Times New Roman" w:cs="Times New Roman"/>
              </w:rPr>
              <w:t>17</w:t>
            </w:r>
          </w:p>
        </w:tc>
        <w:tc>
          <w:tcPr>
            <w:tcW w:w="5878" w:type="dxa"/>
            <w:vAlign w:val="center"/>
          </w:tcPr>
          <w:p w14:paraId="08CCC395" w14:textId="3BB2BCF5" w:rsidR="009313F2" w:rsidRPr="00265545" w:rsidRDefault="009313F2" w:rsidP="009313F2">
            <w:pPr>
              <w:jc w:val="both"/>
              <w:rPr>
                <w:rFonts w:ascii="Times New Roman" w:hAnsi="Times New Roman" w:cs="Times New Roman"/>
              </w:rPr>
            </w:pPr>
            <w:r w:rsidRPr="00265545">
              <w:rPr>
                <w:rFonts w:ascii="Times New Roman" w:hAnsi="Times New Roman" w:cs="Times New Roman"/>
              </w:rPr>
              <w:t>Telpu 13, 14 un 15 fasādes nosiltināt</w:t>
            </w:r>
          </w:p>
        </w:tc>
        <w:tc>
          <w:tcPr>
            <w:tcW w:w="2268" w:type="dxa"/>
            <w:vAlign w:val="center"/>
          </w:tcPr>
          <w:p w14:paraId="3277F336" w14:textId="001956E3"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983.52 </w:t>
            </w:r>
          </w:p>
        </w:tc>
      </w:tr>
      <w:tr w:rsidR="009313F2" w:rsidRPr="00265545" w14:paraId="4867D650" w14:textId="77777777" w:rsidTr="0058168B">
        <w:tc>
          <w:tcPr>
            <w:tcW w:w="921" w:type="dxa"/>
          </w:tcPr>
          <w:p w14:paraId="13AE6D45" w14:textId="6992B829" w:rsidR="009313F2" w:rsidRPr="00265545" w:rsidRDefault="009313F2" w:rsidP="00F23C8C">
            <w:pPr>
              <w:jc w:val="center"/>
              <w:rPr>
                <w:rFonts w:ascii="Times New Roman" w:hAnsi="Times New Roman" w:cs="Times New Roman"/>
              </w:rPr>
            </w:pPr>
            <w:r w:rsidRPr="00265545">
              <w:rPr>
                <w:rFonts w:ascii="Times New Roman" w:hAnsi="Times New Roman" w:cs="Times New Roman"/>
              </w:rPr>
              <w:t>18</w:t>
            </w:r>
          </w:p>
        </w:tc>
        <w:tc>
          <w:tcPr>
            <w:tcW w:w="5878" w:type="dxa"/>
            <w:vAlign w:val="center"/>
          </w:tcPr>
          <w:p w14:paraId="25A2AB90" w14:textId="02D449B0" w:rsidR="009313F2" w:rsidRPr="00265545" w:rsidRDefault="009313F2" w:rsidP="009313F2">
            <w:pPr>
              <w:jc w:val="both"/>
              <w:rPr>
                <w:rFonts w:ascii="Times New Roman" w:hAnsi="Times New Roman" w:cs="Times New Roman"/>
              </w:rPr>
            </w:pPr>
            <w:r w:rsidRPr="00265545">
              <w:rPr>
                <w:rFonts w:ascii="Times New Roman" w:hAnsi="Times New Roman" w:cs="Times New Roman"/>
              </w:rPr>
              <w:t xml:space="preserve">Paredzēt lifta izbūvi mājā </w:t>
            </w:r>
            <w:r w:rsidR="00DE287A">
              <w:rPr>
                <w:rFonts w:ascii="Times New Roman" w:hAnsi="Times New Roman" w:cs="Times New Roman"/>
              </w:rPr>
              <w:t>(</w:t>
            </w:r>
            <w:r w:rsidRPr="00265545">
              <w:rPr>
                <w:rFonts w:ascii="Times New Roman" w:hAnsi="Times New Roman" w:cs="Times New Roman"/>
              </w:rPr>
              <w:t>vides pieejamības prasības</w:t>
            </w:r>
            <w:r w:rsidR="00DE287A">
              <w:rPr>
                <w:rFonts w:ascii="Times New Roman" w:hAnsi="Times New Roman" w:cs="Times New Roman"/>
              </w:rPr>
              <w:t>)</w:t>
            </w:r>
          </w:p>
        </w:tc>
        <w:tc>
          <w:tcPr>
            <w:tcW w:w="2268" w:type="dxa"/>
            <w:vAlign w:val="center"/>
          </w:tcPr>
          <w:p w14:paraId="6C9C6F54" w14:textId="6726F052"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7 675.60 </w:t>
            </w:r>
          </w:p>
        </w:tc>
      </w:tr>
      <w:tr w:rsidR="009313F2" w:rsidRPr="00265545" w14:paraId="49447E2C" w14:textId="77777777" w:rsidTr="0058168B">
        <w:tc>
          <w:tcPr>
            <w:tcW w:w="921" w:type="dxa"/>
          </w:tcPr>
          <w:p w14:paraId="72AC1384" w14:textId="4531A967" w:rsidR="009313F2" w:rsidRPr="00265545" w:rsidRDefault="009313F2" w:rsidP="00F23C8C">
            <w:pPr>
              <w:jc w:val="center"/>
              <w:rPr>
                <w:rFonts w:ascii="Times New Roman" w:hAnsi="Times New Roman" w:cs="Times New Roman"/>
              </w:rPr>
            </w:pPr>
            <w:r w:rsidRPr="00265545">
              <w:rPr>
                <w:rFonts w:ascii="Times New Roman" w:hAnsi="Times New Roman" w:cs="Times New Roman"/>
              </w:rPr>
              <w:t>19</w:t>
            </w:r>
          </w:p>
        </w:tc>
        <w:tc>
          <w:tcPr>
            <w:tcW w:w="5878" w:type="dxa"/>
            <w:vAlign w:val="center"/>
          </w:tcPr>
          <w:p w14:paraId="4E75B406" w14:textId="25279372" w:rsidR="009313F2" w:rsidRPr="00265545" w:rsidRDefault="009313F2" w:rsidP="009313F2">
            <w:pPr>
              <w:jc w:val="both"/>
              <w:rPr>
                <w:rFonts w:ascii="Times New Roman" w:hAnsi="Times New Roman" w:cs="Times New Roman"/>
              </w:rPr>
            </w:pPr>
            <w:r w:rsidRPr="00265545">
              <w:rPr>
                <w:rFonts w:ascii="Times New Roman" w:hAnsi="Times New Roman" w:cs="Times New Roman"/>
              </w:rPr>
              <w:t xml:space="preserve">Izbūvēt </w:t>
            </w:r>
            <w:proofErr w:type="spellStart"/>
            <w:r w:rsidRPr="00265545">
              <w:rPr>
                <w:rFonts w:ascii="Times New Roman" w:hAnsi="Times New Roman" w:cs="Times New Roman"/>
              </w:rPr>
              <w:t>pandusu</w:t>
            </w:r>
            <w:proofErr w:type="spellEnd"/>
            <w:r w:rsidRPr="00265545">
              <w:rPr>
                <w:rFonts w:ascii="Times New Roman" w:hAnsi="Times New Roman" w:cs="Times New Roman"/>
              </w:rPr>
              <w:t xml:space="preserve"> 1.stāvā starp grīdu dažādiem līmeņiem </w:t>
            </w:r>
            <w:r w:rsidR="00DE287A">
              <w:rPr>
                <w:rFonts w:ascii="Times New Roman" w:hAnsi="Times New Roman" w:cs="Times New Roman"/>
              </w:rPr>
              <w:t>(</w:t>
            </w:r>
            <w:r w:rsidRPr="00265545">
              <w:rPr>
                <w:rFonts w:ascii="Times New Roman" w:hAnsi="Times New Roman" w:cs="Times New Roman"/>
              </w:rPr>
              <w:t>vides pieejamības prasības</w:t>
            </w:r>
            <w:r w:rsidR="00DE287A">
              <w:rPr>
                <w:rFonts w:ascii="Times New Roman" w:hAnsi="Times New Roman" w:cs="Times New Roman"/>
              </w:rPr>
              <w:t>)</w:t>
            </w:r>
          </w:p>
        </w:tc>
        <w:tc>
          <w:tcPr>
            <w:tcW w:w="2268" w:type="dxa"/>
            <w:vAlign w:val="center"/>
          </w:tcPr>
          <w:p w14:paraId="14883ACD" w14:textId="5BDE59EC" w:rsidR="009313F2" w:rsidRPr="00265545" w:rsidRDefault="009313F2" w:rsidP="009313F2">
            <w:pPr>
              <w:jc w:val="right"/>
              <w:rPr>
                <w:rFonts w:ascii="Times New Roman" w:hAnsi="Times New Roman" w:cs="Times New Roman"/>
              </w:rPr>
            </w:pPr>
            <w:r w:rsidRPr="00265545">
              <w:rPr>
                <w:rFonts w:ascii="Times New Roman" w:hAnsi="Times New Roman" w:cs="Times New Roman"/>
              </w:rPr>
              <w:t xml:space="preserve">             707.00 </w:t>
            </w:r>
          </w:p>
        </w:tc>
      </w:tr>
    </w:tbl>
    <w:p w14:paraId="1980E924" w14:textId="68454B81" w:rsidR="008A1B99" w:rsidRDefault="008A1B99" w:rsidP="00A830D2">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Obligāti veicamie pasākumi, lai ēku varētu izmantot, ir:</w:t>
      </w:r>
    </w:p>
    <w:tbl>
      <w:tblPr>
        <w:tblStyle w:val="TableGrid"/>
        <w:tblW w:w="9067" w:type="dxa"/>
        <w:tblLook w:val="04A0" w:firstRow="1" w:lastRow="0" w:firstColumn="1" w:lastColumn="0" w:noHBand="0" w:noVBand="1"/>
      </w:tblPr>
      <w:tblGrid>
        <w:gridCol w:w="921"/>
        <w:gridCol w:w="5878"/>
        <w:gridCol w:w="2268"/>
      </w:tblGrid>
      <w:tr w:rsidR="008A1B99" w:rsidRPr="00265545" w14:paraId="321916E0" w14:textId="77777777" w:rsidTr="00EE02E2">
        <w:trPr>
          <w:tblHeader/>
        </w:trPr>
        <w:tc>
          <w:tcPr>
            <w:tcW w:w="921" w:type="dxa"/>
            <w:vAlign w:val="center"/>
          </w:tcPr>
          <w:p w14:paraId="06EAAF14" w14:textId="77777777" w:rsidR="008A1B99" w:rsidRPr="00265545" w:rsidRDefault="008A1B99" w:rsidP="00EE02E2">
            <w:pPr>
              <w:jc w:val="center"/>
              <w:rPr>
                <w:rFonts w:ascii="Times New Roman" w:hAnsi="Times New Roman" w:cs="Times New Roman"/>
                <w:b/>
                <w:bCs/>
              </w:rPr>
            </w:pPr>
            <w:r w:rsidRPr="00265545">
              <w:rPr>
                <w:rFonts w:ascii="Times New Roman" w:hAnsi="Times New Roman" w:cs="Times New Roman"/>
                <w:b/>
                <w:bCs/>
              </w:rPr>
              <w:t>Nr.</w:t>
            </w:r>
          </w:p>
        </w:tc>
        <w:tc>
          <w:tcPr>
            <w:tcW w:w="5878" w:type="dxa"/>
            <w:vAlign w:val="center"/>
          </w:tcPr>
          <w:p w14:paraId="744B3F4B" w14:textId="77777777" w:rsidR="008A1B99" w:rsidRPr="00265545" w:rsidRDefault="008A1B99" w:rsidP="00EE02E2">
            <w:pPr>
              <w:jc w:val="center"/>
              <w:rPr>
                <w:rFonts w:ascii="Times New Roman" w:hAnsi="Times New Roman" w:cs="Times New Roman"/>
                <w:b/>
                <w:bCs/>
              </w:rPr>
            </w:pPr>
            <w:r w:rsidRPr="00265545">
              <w:rPr>
                <w:rFonts w:ascii="Times New Roman" w:hAnsi="Times New Roman" w:cs="Times New Roman"/>
                <w:b/>
                <w:bCs/>
              </w:rPr>
              <w:t>Darbu nosaukums</w:t>
            </w:r>
          </w:p>
        </w:tc>
        <w:tc>
          <w:tcPr>
            <w:tcW w:w="2268" w:type="dxa"/>
            <w:vAlign w:val="center"/>
          </w:tcPr>
          <w:p w14:paraId="05C826D2" w14:textId="77777777" w:rsidR="008A1B99" w:rsidRPr="005E0BF1" w:rsidRDefault="008A1B99" w:rsidP="00EE02E2">
            <w:pPr>
              <w:jc w:val="center"/>
              <w:rPr>
                <w:rFonts w:ascii="Times New Roman" w:hAnsi="Times New Roman" w:cs="Times New Roman"/>
                <w:b/>
                <w:bCs/>
              </w:rPr>
            </w:pPr>
            <w:r w:rsidRPr="005E0BF1">
              <w:rPr>
                <w:rFonts w:ascii="Times New Roman" w:hAnsi="Times New Roman" w:cs="Times New Roman"/>
                <w:b/>
                <w:bCs/>
              </w:rPr>
              <w:t xml:space="preserve">EUR </w:t>
            </w:r>
          </w:p>
          <w:p w14:paraId="6A860274" w14:textId="77777777" w:rsidR="008A1B99" w:rsidRPr="00265545" w:rsidRDefault="008A1B99" w:rsidP="00EE02E2">
            <w:pPr>
              <w:jc w:val="center"/>
              <w:rPr>
                <w:rFonts w:ascii="Times New Roman" w:hAnsi="Times New Roman" w:cs="Times New Roman"/>
              </w:rPr>
            </w:pPr>
            <w:r w:rsidRPr="007E7FDF">
              <w:rPr>
                <w:rFonts w:ascii="Times New Roman" w:hAnsi="Times New Roman" w:cs="Times New Roman"/>
              </w:rPr>
              <w:t xml:space="preserve">(bez </w:t>
            </w:r>
            <w:proofErr w:type="spellStart"/>
            <w:r w:rsidRPr="007E7FDF">
              <w:rPr>
                <w:rFonts w:ascii="Times New Roman" w:hAnsi="Times New Roman" w:cs="Times New Roman"/>
              </w:rPr>
              <w:t>virsizdevumiem</w:t>
            </w:r>
            <w:proofErr w:type="spellEnd"/>
            <w:r>
              <w:rPr>
                <w:rFonts w:ascii="Times New Roman" w:hAnsi="Times New Roman" w:cs="Times New Roman"/>
              </w:rPr>
              <w:t xml:space="preserve"> un</w:t>
            </w:r>
            <w:r w:rsidRPr="007E7FDF">
              <w:rPr>
                <w:rFonts w:ascii="Times New Roman" w:hAnsi="Times New Roman" w:cs="Times New Roman"/>
              </w:rPr>
              <w:t xml:space="preserve"> PVN)</w:t>
            </w:r>
          </w:p>
        </w:tc>
      </w:tr>
      <w:tr w:rsidR="008A1B99" w:rsidRPr="00265545" w14:paraId="345E709B" w14:textId="77777777" w:rsidTr="00EE02E2">
        <w:tc>
          <w:tcPr>
            <w:tcW w:w="921" w:type="dxa"/>
          </w:tcPr>
          <w:p w14:paraId="078F5716" w14:textId="77777777" w:rsidR="008A1B99" w:rsidRPr="00265545" w:rsidRDefault="008A1B99" w:rsidP="00EE02E2">
            <w:pPr>
              <w:jc w:val="both"/>
              <w:rPr>
                <w:rFonts w:ascii="Times New Roman" w:hAnsi="Times New Roman" w:cs="Times New Roman"/>
                <w:b/>
                <w:bCs/>
              </w:rPr>
            </w:pPr>
          </w:p>
        </w:tc>
        <w:tc>
          <w:tcPr>
            <w:tcW w:w="5878" w:type="dxa"/>
          </w:tcPr>
          <w:p w14:paraId="210C93F4" w14:textId="26D2AF29" w:rsidR="008A1B99" w:rsidRPr="00265545" w:rsidRDefault="008A1B99" w:rsidP="00EE02E2">
            <w:pPr>
              <w:jc w:val="both"/>
              <w:rPr>
                <w:rFonts w:ascii="Times New Roman" w:hAnsi="Times New Roman" w:cs="Times New Roman"/>
                <w:b/>
                <w:bCs/>
              </w:rPr>
            </w:pPr>
            <w:r w:rsidRPr="00265545">
              <w:rPr>
                <w:rFonts w:ascii="Times New Roman" w:hAnsi="Times New Roman" w:cs="Times New Roman"/>
                <w:b/>
                <w:bCs/>
              </w:rPr>
              <w:t>Inženiertīkli (iekšējie)</w:t>
            </w:r>
          </w:p>
        </w:tc>
        <w:tc>
          <w:tcPr>
            <w:tcW w:w="2268" w:type="dxa"/>
          </w:tcPr>
          <w:p w14:paraId="7A94AA84" w14:textId="77777777" w:rsidR="008A1B99" w:rsidRPr="00265545" w:rsidRDefault="008A1B99" w:rsidP="00EE02E2">
            <w:pPr>
              <w:jc w:val="right"/>
              <w:rPr>
                <w:rFonts w:ascii="Times New Roman" w:hAnsi="Times New Roman" w:cs="Times New Roman"/>
              </w:rPr>
            </w:pPr>
          </w:p>
        </w:tc>
      </w:tr>
      <w:tr w:rsidR="008A1B99" w:rsidRPr="00265545" w14:paraId="1405DC15" w14:textId="77777777" w:rsidTr="00EE02E2">
        <w:trPr>
          <w:trHeight w:val="107"/>
        </w:trPr>
        <w:tc>
          <w:tcPr>
            <w:tcW w:w="921" w:type="dxa"/>
          </w:tcPr>
          <w:p w14:paraId="7DE354BC" w14:textId="541149ED" w:rsidR="008A1B99" w:rsidRPr="00265545" w:rsidRDefault="008A1B99" w:rsidP="008A1B99">
            <w:pPr>
              <w:jc w:val="center"/>
              <w:rPr>
                <w:rFonts w:ascii="Times New Roman" w:hAnsi="Times New Roman" w:cs="Times New Roman"/>
              </w:rPr>
            </w:pPr>
            <w:r w:rsidRPr="00265545">
              <w:rPr>
                <w:rFonts w:ascii="Times New Roman" w:hAnsi="Times New Roman" w:cs="Times New Roman"/>
              </w:rPr>
              <w:t>4</w:t>
            </w:r>
          </w:p>
        </w:tc>
        <w:tc>
          <w:tcPr>
            <w:tcW w:w="5878" w:type="dxa"/>
            <w:vAlign w:val="center"/>
          </w:tcPr>
          <w:p w14:paraId="15369B5F" w14:textId="364DE124" w:rsidR="008A1B99" w:rsidRPr="00265545" w:rsidRDefault="008A1B99" w:rsidP="008A1B99">
            <w:pPr>
              <w:jc w:val="both"/>
              <w:rPr>
                <w:rFonts w:ascii="Times New Roman" w:hAnsi="Times New Roman" w:cs="Times New Roman"/>
              </w:rPr>
            </w:pPr>
            <w:r w:rsidRPr="00265545">
              <w:rPr>
                <w:rFonts w:ascii="Times New Roman" w:hAnsi="Times New Roman" w:cs="Times New Roman"/>
              </w:rPr>
              <w:t>Montēt jaunu apkures katlu</w:t>
            </w:r>
          </w:p>
        </w:tc>
        <w:tc>
          <w:tcPr>
            <w:tcW w:w="2268" w:type="dxa"/>
            <w:vAlign w:val="center"/>
          </w:tcPr>
          <w:p w14:paraId="6AF354B7" w14:textId="64C2E5F6" w:rsidR="008A1B99" w:rsidRPr="00265545" w:rsidRDefault="008A1B99" w:rsidP="008A1B99">
            <w:pPr>
              <w:jc w:val="right"/>
              <w:rPr>
                <w:rFonts w:ascii="Times New Roman" w:hAnsi="Times New Roman" w:cs="Times New Roman"/>
              </w:rPr>
            </w:pPr>
            <w:r w:rsidRPr="00265545">
              <w:rPr>
                <w:rFonts w:ascii="Times New Roman" w:hAnsi="Times New Roman" w:cs="Times New Roman"/>
              </w:rPr>
              <w:t xml:space="preserve">          1 764.60 </w:t>
            </w:r>
          </w:p>
        </w:tc>
      </w:tr>
      <w:tr w:rsidR="008A1B99" w:rsidRPr="00265545" w14:paraId="3C780876" w14:textId="77777777" w:rsidTr="00EE02E2">
        <w:trPr>
          <w:trHeight w:val="107"/>
        </w:trPr>
        <w:tc>
          <w:tcPr>
            <w:tcW w:w="921" w:type="dxa"/>
          </w:tcPr>
          <w:p w14:paraId="0755F043" w14:textId="7CADEA82" w:rsidR="008A1B99" w:rsidRPr="00265545" w:rsidRDefault="008A1B99" w:rsidP="008A1B99">
            <w:pPr>
              <w:jc w:val="center"/>
              <w:rPr>
                <w:rFonts w:ascii="Times New Roman" w:hAnsi="Times New Roman" w:cs="Times New Roman"/>
              </w:rPr>
            </w:pPr>
            <w:r w:rsidRPr="00265545">
              <w:rPr>
                <w:rFonts w:ascii="Times New Roman" w:hAnsi="Times New Roman" w:cs="Times New Roman"/>
              </w:rPr>
              <w:t>7</w:t>
            </w:r>
          </w:p>
        </w:tc>
        <w:tc>
          <w:tcPr>
            <w:tcW w:w="5878" w:type="dxa"/>
            <w:vAlign w:val="center"/>
          </w:tcPr>
          <w:p w14:paraId="06EEF922" w14:textId="370A74E3" w:rsidR="008A1B99" w:rsidRPr="00265545" w:rsidRDefault="008A1B99" w:rsidP="008A1B99">
            <w:pPr>
              <w:jc w:val="both"/>
              <w:rPr>
                <w:rFonts w:ascii="Times New Roman" w:hAnsi="Times New Roman" w:cs="Times New Roman"/>
              </w:rPr>
            </w:pPr>
            <w:r w:rsidRPr="00265545">
              <w:rPr>
                <w:rFonts w:ascii="Times New Roman" w:hAnsi="Times New Roman" w:cs="Times New Roman"/>
              </w:rPr>
              <w:t xml:space="preserve">Ierīkot ūdensapgādes tīklus (t.sk. caurules, veidgabali, </w:t>
            </w:r>
            <w:r>
              <w:rPr>
                <w:rFonts w:ascii="Times New Roman" w:hAnsi="Times New Roman" w:cs="Times New Roman"/>
              </w:rPr>
              <w:t>u.c.</w:t>
            </w:r>
            <w:r w:rsidRPr="00265545">
              <w:rPr>
                <w:rFonts w:ascii="Times New Roman" w:hAnsi="Times New Roman" w:cs="Times New Roman"/>
              </w:rPr>
              <w:t>)</w:t>
            </w:r>
          </w:p>
        </w:tc>
        <w:tc>
          <w:tcPr>
            <w:tcW w:w="2268" w:type="dxa"/>
            <w:vAlign w:val="center"/>
          </w:tcPr>
          <w:p w14:paraId="18D84912" w14:textId="27330574" w:rsidR="008A1B99" w:rsidRPr="00265545" w:rsidRDefault="008A1B99" w:rsidP="008A1B99">
            <w:pPr>
              <w:jc w:val="right"/>
              <w:rPr>
                <w:rFonts w:ascii="Times New Roman" w:hAnsi="Times New Roman" w:cs="Times New Roman"/>
              </w:rPr>
            </w:pPr>
            <w:r w:rsidRPr="00265545">
              <w:rPr>
                <w:rFonts w:ascii="Times New Roman" w:hAnsi="Times New Roman" w:cs="Times New Roman"/>
              </w:rPr>
              <w:t xml:space="preserve">          5 543.40 </w:t>
            </w:r>
          </w:p>
        </w:tc>
      </w:tr>
      <w:tr w:rsidR="008A1B99" w:rsidRPr="00265545" w14:paraId="0AC230AB" w14:textId="77777777" w:rsidTr="00EE02E2">
        <w:trPr>
          <w:trHeight w:val="107"/>
        </w:trPr>
        <w:tc>
          <w:tcPr>
            <w:tcW w:w="921" w:type="dxa"/>
          </w:tcPr>
          <w:p w14:paraId="553ABC95" w14:textId="6B64F693" w:rsidR="008A1B99" w:rsidRPr="00265545" w:rsidRDefault="008A1B99" w:rsidP="008A1B99">
            <w:pPr>
              <w:jc w:val="center"/>
              <w:rPr>
                <w:rFonts w:ascii="Times New Roman" w:hAnsi="Times New Roman" w:cs="Times New Roman"/>
              </w:rPr>
            </w:pPr>
            <w:r w:rsidRPr="00265545">
              <w:rPr>
                <w:rFonts w:ascii="Times New Roman" w:hAnsi="Times New Roman" w:cs="Times New Roman"/>
              </w:rPr>
              <w:t>8</w:t>
            </w:r>
          </w:p>
        </w:tc>
        <w:tc>
          <w:tcPr>
            <w:tcW w:w="5878" w:type="dxa"/>
            <w:vAlign w:val="center"/>
          </w:tcPr>
          <w:p w14:paraId="49618FD9" w14:textId="1B545187" w:rsidR="008A1B99" w:rsidRPr="00265545" w:rsidRDefault="008A1B99" w:rsidP="008A1B99">
            <w:pPr>
              <w:jc w:val="both"/>
              <w:rPr>
                <w:rFonts w:ascii="Times New Roman" w:hAnsi="Times New Roman" w:cs="Times New Roman"/>
              </w:rPr>
            </w:pPr>
            <w:r w:rsidRPr="00265545">
              <w:rPr>
                <w:rFonts w:ascii="Times New Roman" w:hAnsi="Times New Roman" w:cs="Times New Roman"/>
              </w:rPr>
              <w:t xml:space="preserve">Ierīkot kanalizācijas tīklus (t.sk. caurules, veidgabali, </w:t>
            </w:r>
            <w:proofErr w:type="spellStart"/>
            <w:r w:rsidRPr="00265545">
              <w:rPr>
                <w:rFonts w:ascii="Times New Roman" w:hAnsi="Times New Roman" w:cs="Times New Roman"/>
              </w:rPr>
              <w:t>fasondaļas</w:t>
            </w:r>
            <w:proofErr w:type="spellEnd"/>
            <w:r w:rsidRPr="00265545">
              <w:rPr>
                <w:rFonts w:ascii="Times New Roman" w:hAnsi="Times New Roman" w:cs="Times New Roman"/>
              </w:rPr>
              <w:t>)</w:t>
            </w:r>
          </w:p>
        </w:tc>
        <w:tc>
          <w:tcPr>
            <w:tcW w:w="2268" w:type="dxa"/>
            <w:vAlign w:val="center"/>
          </w:tcPr>
          <w:p w14:paraId="3ED84B01" w14:textId="0CC85FB8" w:rsidR="008A1B99" w:rsidRPr="00265545" w:rsidRDefault="008A1B99" w:rsidP="008A1B99">
            <w:pPr>
              <w:jc w:val="right"/>
              <w:rPr>
                <w:rFonts w:ascii="Times New Roman" w:hAnsi="Times New Roman" w:cs="Times New Roman"/>
              </w:rPr>
            </w:pPr>
            <w:r w:rsidRPr="00265545">
              <w:rPr>
                <w:rFonts w:ascii="Times New Roman" w:hAnsi="Times New Roman" w:cs="Times New Roman"/>
              </w:rPr>
              <w:t xml:space="preserve">          5 025.00 </w:t>
            </w:r>
          </w:p>
        </w:tc>
      </w:tr>
      <w:tr w:rsidR="008A1B99" w:rsidRPr="00753F0D" w14:paraId="432434C9" w14:textId="77777777" w:rsidTr="00EE02E2">
        <w:trPr>
          <w:trHeight w:val="107"/>
        </w:trPr>
        <w:tc>
          <w:tcPr>
            <w:tcW w:w="921" w:type="dxa"/>
          </w:tcPr>
          <w:p w14:paraId="5CFC90FF" w14:textId="77777777" w:rsidR="008A1B99" w:rsidRPr="00265545" w:rsidRDefault="008A1B99" w:rsidP="008A1B99">
            <w:pPr>
              <w:jc w:val="center"/>
              <w:rPr>
                <w:rFonts w:ascii="Times New Roman" w:hAnsi="Times New Roman" w:cs="Times New Roman"/>
              </w:rPr>
            </w:pPr>
          </w:p>
        </w:tc>
        <w:tc>
          <w:tcPr>
            <w:tcW w:w="5878" w:type="dxa"/>
            <w:vAlign w:val="center"/>
          </w:tcPr>
          <w:p w14:paraId="60535C47" w14:textId="57442555" w:rsidR="008A1B99" w:rsidRPr="00F667C5" w:rsidRDefault="008A1B99" w:rsidP="008A1B99">
            <w:pPr>
              <w:jc w:val="both"/>
              <w:rPr>
                <w:rFonts w:ascii="Times New Roman" w:hAnsi="Times New Roman" w:cs="Times New Roman"/>
                <w:b/>
                <w:bCs/>
              </w:rPr>
            </w:pPr>
            <w:r w:rsidRPr="00F667C5">
              <w:rPr>
                <w:rFonts w:ascii="Times New Roman" w:hAnsi="Times New Roman" w:cs="Times New Roman"/>
                <w:b/>
                <w:bCs/>
              </w:rPr>
              <w:t>Kopā</w:t>
            </w:r>
          </w:p>
        </w:tc>
        <w:tc>
          <w:tcPr>
            <w:tcW w:w="2268" w:type="dxa"/>
            <w:vAlign w:val="center"/>
          </w:tcPr>
          <w:p w14:paraId="7908013B" w14:textId="72A9521B" w:rsidR="008A1B99" w:rsidRPr="00D97A60" w:rsidRDefault="00DD4FF5" w:rsidP="008A1B99">
            <w:pPr>
              <w:jc w:val="right"/>
              <w:rPr>
                <w:rFonts w:ascii="Times New Roman" w:hAnsi="Times New Roman" w:cs="Times New Roman"/>
                <w:b/>
                <w:bCs/>
              </w:rPr>
            </w:pPr>
            <w:r>
              <w:rPr>
                <w:rFonts w:ascii="Times New Roman" w:hAnsi="Times New Roman" w:cs="Times New Roman"/>
                <w:b/>
                <w:bCs/>
              </w:rPr>
              <w:t>12 333,00</w:t>
            </w:r>
          </w:p>
        </w:tc>
      </w:tr>
    </w:tbl>
    <w:p w14:paraId="1AFCC8B1" w14:textId="5CDB9520" w:rsidR="007E7FDF" w:rsidRPr="00D97A60" w:rsidRDefault="00D1222C" w:rsidP="00A830D2">
      <w:pPr>
        <w:spacing w:before="120"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Ņemot vērā Ēkas tehnisko stāvokli, </w:t>
      </w:r>
      <w:r w:rsidR="00DE287A">
        <w:rPr>
          <w:rFonts w:ascii="Times New Roman" w:hAnsi="Times New Roman" w:cs="Times New Roman"/>
          <w:sz w:val="24"/>
          <w:szCs w:val="24"/>
        </w:rPr>
        <w:t>plānoto remontdarbu izmaksas</w:t>
      </w:r>
      <w:r>
        <w:rPr>
          <w:rFonts w:ascii="Times New Roman" w:hAnsi="Times New Roman" w:cs="Times New Roman"/>
          <w:sz w:val="24"/>
          <w:szCs w:val="24"/>
        </w:rPr>
        <w:t xml:space="preserve">, </w:t>
      </w:r>
      <w:r w:rsidR="00DE287A">
        <w:rPr>
          <w:rFonts w:ascii="Times New Roman" w:hAnsi="Times New Roman" w:cs="Times New Roman"/>
          <w:sz w:val="24"/>
          <w:szCs w:val="24"/>
        </w:rPr>
        <w:t xml:space="preserve">pašvaldības </w:t>
      </w:r>
      <w:r w:rsidRPr="00D1222C">
        <w:rPr>
          <w:rFonts w:ascii="Times New Roman" w:hAnsi="Times New Roman" w:cs="Times New Roman"/>
          <w:sz w:val="24"/>
          <w:szCs w:val="24"/>
        </w:rPr>
        <w:t xml:space="preserve">vidēja termiņa plānos paredzēto teritorijas attīstību </w:t>
      </w:r>
      <w:r w:rsidR="00BB18A3">
        <w:rPr>
          <w:rFonts w:ascii="Times New Roman" w:hAnsi="Times New Roman" w:cs="Times New Roman"/>
          <w:sz w:val="24"/>
          <w:szCs w:val="24"/>
        </w:rPr>
        <w:t>(Carnikavas vidusskolas paplašināšanu, jaunas bibliotēkas izbūvi</w:t>
      </w:r>
      <w:r w:rsidR="00F55B18">
        <w:rPr>
          <w:rFonts w:ascii="Times New Roman" w:hAnsi="Times New Roman" w:cs="Times New Roman"/>
          <w:sz w:val="24"/>
          <w:szCs w:val="24"/>
        </w:rPr>
        <w:t>, telpu izveidi Ādažu novada mākslu skolai</w:t>
      </w:r>
      <w:r w:rsidR="00BB18A3">
        <w:rPr>
          <w:rFonts w:ascii="Times New Roman" w:hAnsi="Times New Roman" w:cs="Times New Roman"/>
          <w:sz w:val="24"/>
          <w:szCs w:val="24"/>
        </w:rPr>
        <w:t>)</w:t>
      </w:r>
      <w:r w:rsidR="00B822C7">
        <w:rPr>
          <w:rFonts w:ascii="Times New Roman" w:hAnsi="Times New Roman" w:cs="Times New Roman"/>
          <w:sz w:val="24"/>
          <w:szCs w:val="24"/>
        </w:rPr>
        <w:t>, vietējās kopienas iniciatīvu</w:t>
      </w:r>
      <w:r w:rsidR="00BB18A3">
        <w:rPr>
          <w:rFonts w:ascii="Times New Roman" w:hAnsi="Times New Roman" w:cs="Times New Roman"/>
          <w:sz w:val="24"/>
          <w:szCs w:val="24"/>
        </w:rPr>
        <w:t xml:space="preserve"> </w:t>
      </w:r>
      <w:r w:rsidR="00DE287A">
        <w:rPr>
          <w:rFonts w:ascii="Times New Roman" w:hAnsi="Times New Roman" w:cs="Times New Roman"/>
          <w:sz w:val="24"/>
          <w:szCs w:val="24"/>
        </w:rPr>
        <w:t>un</w:t>
      </w:r>
      <w:r w:rsidRPr="00D1222C">
        <w:rPr>
          <w:rFonts w:ascii="Times New Roman" w:hAnsi="Times New Roman" w:cs="Times New Roman"/>
          <w:sz w:val="24"/>
          <w:szCs w:val="24"/>
        </w:rPr>
        <w:t xml:space="preserve"> </w:t>
      </w:r>
      <w:r w:rsidRPr="0032272B">
        <w:rPr>
          <w:rFonts w:ascii="Times New Roman" w:hAnsi="Times New Roman" w:cs="Times New Roman"/>
          <w:sz w:val="24"/>
          <w:szCs w:val="24"/>
        </w:rPr>
        <w:t xml:space="preserve">publisko līdzekļu </w:t>
      </w:r>
      <w:r w:rsidR="00DE287A" w:rsidRPr="0032272B">
        <w:rPr>
          <w:rFonts w:ascii="Times New Roman" w:hAnsi="Times New Roman" w:cs="Times New Roman"/>
          <w:sz w:val="24"/>
          <w:szCs w:val="24"/>
        </w:rPr>
        <w:t xml:space="preserve">racionālas </w:t>
      </w:r>
      <w:r w:rsidRPr="0032272B">
        <w:rPr>
          <w:rFonts w:ascii="Times New Roman" w:hAnsi="Times New Roman" w:cs="Times New Roman"/>
          <w:color w:val="000000" w:themeColor="text1"/>
          <w:sz w:val="24"/>
          <w:szCs w:val="24"/>
        </w:rPr>
        <w:t>izlietošan</w:t>
      </w:r>
      <w:r w:rsidR="00DE287A" w:rsidRPr="0032272B">
        <w:rPr>
          <w:rFonts w:ascii="Times New Roman" w:hAnsi="Times New Roman" w:cs="Times New Roman"/>
          <w:color w:val="000000" w:themeColor="text1"/>
          <w:sz w:val="24"/>
          <w:szCs w:val="24"/>
        </w:rPr>
        <w:t>as apsvērumus</w:t>
      </w:r>
      <w:r w:rsidRPr="0032272B">
        <w:rPr>
          <w:rFonts w:ascii="Times New Roman" w:hAnsi="Times New Roman" w:cs="Times New Roman"/>
          <w:color w:val="000000" w:themeColor="text1"/>
          <w:sz w:val="24"/>
          <w:szCs w:val="24"/>
        </w:rPr>
        <w:t xml:space="preserve">, </w:t>
      </w:r>
      <w:r w:rsidR="00B822C7" w:rsidRPr="0032272B">
        <w:rPr>
          <w:rFonts w:ascii="Times New Roman" w:hAnsi="Times New Roman" w:cs="Times New Roman"/>
          <w:color w:val="000000" w:themeColor="text1"/>
          <w:sz w:val="24"/>
          <w:szCs w:val="24"/>
        </w:rPr>
        <w:t>APN ieskatā ir iespējamas 2 alte</w:t>
      </w:r>
      <w:r w:rsidR="0032272B">
        <w:rPr>
          <w:rFonts w:ascii="Times New Roman" w:hAnsi="Times New Roman" w:cs="Times New Roman"/>
          <w:color w:val="000000" w:themeColor="text1"/>
          <w:sz w:val="24"/>
          <w:szCs w:val="24"/>
        </w:rPr>
        <w:t>r</w:t>
      </w:r>
      <w:r w:rsidR="00B822C7" w:rsidRPr="0032272B">
        <w:rPr>
          <w:rFonts w:ascii="Times New Roman" w:hAnsi="Times New Roman" w:cs="Times New Roman"/>
          <w:color w:val="000000" w:themeColor="text1"/>
          <w:sz w:val="24"/>
          <w:szCs w:val="24"/>
        </w:rPr>
        <w:t xml:space="preserve">natīvas: </w:t>
      </w:r>
    </w:p>
    <w:p w14:paraId="7D7AD1AF" w14:textId="6C430955" w:rsidR="00B822C7" w:rsidRPr="00D97A60" w:rsidRDefault="0032272B" w:rsidP="0032272B">
      <w:pPr>
        <w:pStyle w:val="ListParagraph"/>
        <w:numPr>
          <w:ilvl w:val="0"/>
          <w:numId w:val="24"/>
        </w:numPr>
        <w:spacing w:before="120" w:after="0" w:line="240" w:lineRule="auto"/>
        <w:jc w:val="both"/>
        <w:rPr>
          <w:rFonts w:ascii="Times New Roman" w:hAnsi="Times New Roman" w:cs="Times New Roman"/>
          <w:color w:val="000000" w:themeColor="text1"/>
          <w:sz w:val="24"/>
          <w:szCs w:val="24"/>
        </w:rPr>
      </w:pPr>
      <w:r w:rsidRPr="00D97A60">
        <w:rPr>
          <w:rFonts w:ascii="Times New Roman" w:hAnsi="Times New Roman" w:cs="Times New Roman"/>
          <w:color w:val="000000" w:themeColor="text1"/>
          <w:sz w:val="24"/>
          <w:szCs w:val="24"/>
        </w:rPr>
        <w:t>Veikt ē</w:t>
      </w:r>
      <w:r w:rsidR="00B822C7" w:rsidRPr="00D97A60">
        <w:rPr>
          <w:rFonts w:ascii="Times New Roman" w:hAnsi="Times New Roman" w:cs="Times New Roman"/>
          <w:color w:val="000000" w:themeColor="text1"/>
          <w:sz w:val="24"/>
          <w:szCs w:val="24"/>
        </w:rPr>
        <w:t>kas nojaukšan</w:t>
      </w:r>
      <w:r w:rsidRPr="00D97A60">
        <w:rPr>
          <w:rFonts w:ascii="Times New Roman" w:hAnsi="Times New Roman" w:cs="Times New Roman"/>
          <w:color w:val="000000" w:themeColor="text1"/>
          <w:sz w:val="24"/>
          <w:szCs w:val="24"/>
        </w:rPr>
        <w:t>u,</w:t>
      </w:r>
    </w:p>
    <w:p w14:paraId="4D8B82CE" w14:textId="548A6717" w:rsidR="0032272B" w:rsidRPr="00D97A60" w:rsidRDefault="0032272B" w:rsidP="00D97A60">
      <w:pPr>
        <w:pStyle w:val="ListParagraph"/>
        <w:numPr>
          <w:ilvl w:val="0"/>
          <w:numId w:val="24"/>
        </w:numPr>
        <w:spacing w:before="120" w:after="0" w:line="240" w:lineRule="auto"/>
        <w:jc w:val="both"/>
        <w:rPr>
          <w:rFonts w:ascii="Times New Roman" w:hAnsi="Times New Roman" w:cs="Times New Roman"/>
          <w:color w:val="000000" w:themeColor="text1"/>
          <w:sz w:val="24"/>
          <w:szCs w:val="24"/>
        </w:rPr>
      </w:pPr>
      <w:r w:rsidRPr="00D97A60">
        <w:rPr>
          <w:rFonts w:ascii="Times New Roman" w:hAnsi="Times New Roman" w:cs="Times New Roman"/>
          <w:color w:val="000000" w:themeColor="text1"/>
          <w:sz w:val="24"/>
          <w:szCs w:val="24"/>
        </w:rPr>
        <w:lastRenderedPageBreak/>
        <w:t>Ēku iznomāt vai nodot bezatlīdzības lietošanā.</w:t>
      </w:r>
    </w:p>
    <w:p w14:paraId="3D7F3C6A" w14:textId="1ADE78CA" w:rsidR="0032272B" w:rsidRDefault="0032272B" w:rsidP="00F23C8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1. alternatīvas apsvērumi:</w:t>
      </w:r>
    </w:p>
    <w:p w14:paraId="017910B1" w14:textId="23B464FC" w:rsidR="0032272B" w:rsidRDefault="0032272B" w:rsidP="0032272B">
      <w:pPr>
        <w:pStyle w:val="ListParagraph"/>
        <w:numPr>
          <w:ilvl w:val="0"/>
          <w:numId w:val="26"/>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Atbilst Carnikavas novada domes lēmumiem (</w:t>
      </w:r>
      <w:r w:rsidRPr="00192A8C">
        <w:rPr>
          <w:rFonts w:ascii="Times New Roman" w:hAnsi="Times New Roman" w:cs="Times New Roman"/>
          <w:sz w:val="24"/>
          <w:szCs w:val="24"/>
        </w:rPr>
        <w:t>25.01.2017.</w:t>
      </w:r>
      <w:r>
        <w:rPr>
          <w:rFonts w:ascii="Times New Roman" w:hAnsi="Times New Roman" w:cs="Times New Roman"/>
          <w:sz w:val="24"/>
          <w:szCs w:val="24"/>
        </w:rPr>
        <w:t xml:space="preserve">, </w:t>
      </w:r>
      <w:r w:rsidRPr="00192A8C">
        <w:rPr>
          <w:rFonts w:ascii="Times New Roman" w:hAnsi="Times New Roman" w:cs="Times New Roman"/>
          <w:sz w:val="24"/>
          <w:szCs w:val="24"/>
        </w:rPr>
        <w:t>24.03.2021.</w:t>
      </w:r>
      <w:r>
        <w:rPr>
          <w:rFonts w:ascii="Times New Roman" w:hAnsi="Times New Roman" w:cs="Times New Roman"/>
          <w:sz w:val="24"/>
          <w:szCs w:val="24"/>
        </w:rPr>
        <w:t>), Ādažu novada pašvaldības Finanšu komitejas 16.10.2024 atzinumam, kā arī Ādažu novada pašvaldības Attīstības programmā minētajam pasākumam Nr. C5.1.2.3.</w:t>
      </w:r>
    </w:p>
    <w:p w14:paraId="4653F951" w14:textId="6F961637" w:rsidR="0032272B" w:rsidRDefault="0032272B" w:rsidP="0032272B">
      <w:pPr>
        <w:pStyle w:val="ListParagraph"/>
        <w:numPr>
          <w:ilvl w:val="0"/>
          <w:numId w:val="26"/>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Kopienas vajadzībām tiek attīstīts Blusu krogs.</w:t>
      </w:r>
    </w:p>
    <w:p w14:paraId="46A4A21B" w14:textId="77777777" w:rsidR="0032272B" w:rsidRDefault="0032272B" w:rsidP="0032272B">
      <w:pPr>
        <w:pStyle w:val="ListParagraph"/>
        <w:numPr>
          <w:ilvl w:val="0"/>
          <w:numId w:val="26"/>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Ēkas tehniskais stāvokļa uzlabošanai nepieciešami lieli finanšu ieguldījumi, ko pašvaldība nevar atļauties, jo ēkas turpmākā lietošana nav paredzēta pašvaldības pamatfunkcijām.</w:t>
      </w:r>
    </w:p>
    <w:p w14:paraId="14B8919D" w14:textId="1B8D8BEE" w:rsidR="0032272B" w:rsidRPr="00D97A60" w:rsidRDefault="0032272B" w:rsidP="00D97A60">
      <w:pPr>
        <w:pStyle w:val="ListParagraph"/>
        <w:numPr>
          <w:ilvl w:val="0"/>
          <w:numId w:val="26"/>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Pieļaujot ēkas turpmāko izmantošanu, ja lietotājs tajā veiks nepieciešamos remonta un uzturēšanas ieguldījumus, ēka kļūs par ilgtermiņa lietošanas objektu, neļaujot zemes gabala turpmāko izmantošanu pašvaldības funkcijām (iestāžu paplašināšanai un izvietošanai). </w:t>
      </w:r>
    </w:p>
    <w:p w14:paraId="515FD1CC" w14:textId="6A727837" w:rsidR="0032272B" w:rsidRDefault="0032272B" w:rsidP="0032272B">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2. alternatīvas apsvērumi:</w:t>
      </w:r>
    </w:p>
    <w:p w14:paraId="541B2BB0" w14:textId="064A5D37" w:rsidR="003E108D" w:rsidRDefault="003E108D" w:rsidP="0032272B">
      <w:pPr>
        <w:pStyle w:val="ListParagraph"/>
        <w:numPr>
          <w:ilvl w:val="0"/>
          <w:numId w:val="26"/>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Kopienas iecere lietot ēku kopienas vajadzībām ir pašvaldības brīvprātīgā iniciatīva.</w:t>
      </w:r>
    </w:p>
    <w:p w14:paraId="64005AAB" w14:textId="67A7DA1F" w:rsidR="0032272B" w:rsidRDefault="003E108D" w:rsidP="0032272B">
      <w:pPr>
        <w:pStyle w:val="ListParagraph"/>
        <w:numPr>
          <w:ilvl w:val="0"/>
          <w:numId w:val="26"/>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Ēka ir iznomājama vispārējā kārtībā, ievērojot noteiktu procedūru</w:t>
      </w:r>
      <w:r w:rsidR="0032272B">
        <w:rPr>
          <w:rFonts w:ascii="Times New Roman" w:hAnsi="Times New Roman" w:cs="Times New Roman"/>
          <w:sz w:val="24"/>
          <w:szCs w:val="24"/>
        </w:rPr>
        <w:t>.</w:t>
      </w:r>
    </w:p>
    <w:p w14:paraId="0FBAFC58" w14:textId="334D6ED8" w:rsidR="007C4DF9" w:rsidRDefault="007C4DF9" w:rsidP="0032272B">
      <w:pPr>
        <w:pStyle w:val="ListParagraph"/>
        <w:numPr>
          <w:ilvl w:val="0"/>
          <w:numId w:val="26"/>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Vietējā kopiena ir izrādījusi interesi izmantot ēku </w:t>
      </w:r>
      <w:r w:rsidRPr="00D1222C">
        <w:rPr>
          <w:rFonts w:ascii="Times New Roman" w:hAnsi="Times New Roman" w:cs="Times New Roman"/>
          <w:sz w:val="24"/>
          <w:szCs w:val="24"/>
        </w:rPr>
        <w:t>sabiedriskām vajadzībām</w:t>
      </w:r>
      <w:r>
        <w:rPr>
          <w:rFonts w:ascii="Times New Roman" w:hAnsi="Times New Roman" w:cs="Times New Roman"/>
          <w:sz w:val="24"/>
          <w:szCs w:val="24"/>
        </w:rPr>
        <w:t>, kā arī amatniecībai.</w:t>
      </w:r>
    </w:p>
    <w:p w14:paraId="7CA350F9" w14:textId="7644D35B" w:rsidR="0032272B" w:rsidRDefault="003E108D" w:rsidP="0032272B">
      <w:pPr>
        <w:pStyle w:val="ListParagraph"/>
        <w:numPr>
          <w:ilvl w:val="0"/>
          <w:numId w:val="26"/>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Ēkas remonta un uzturēšanas izmaksas jāsedz lietotājam</w:t>
      </w:r>
      <w:r w:rsidR="0032272B">
        <w:rPr>
          <w:rFonts w:ascii="Times New Roman" w:hAnsi="Times New Roman" w:cs="Times New Roman"/>
          <w:sz w:val="24"/>
          <w:szCs w:val="24"/>
        </w:rPr>
        <w:t>.</w:t>
      </w:r>
    </w:p>
    <w:p w14:paraId="7F1C1275" w14:textId="4C90C820" w:rsidR="007C4DF9" w:rsidRDefault="007C4DF9" w:rsidP="0032272B">
      <w:pPr>
        <w:pStyle w:val="ListParagraph"/>
        <w:numPr>
          <w:ilvl w:val="0"/>
          <w:numId w:val="26"/>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Ēkas izmantošana būtu atbalstāma līdz brīdim, kad zemes gabals būtu nepieciešams pašvaldības pamatfunkciju īstenošanai, vai kad kopienas vajadzībām būtu pieejama Blusu kroga ēka (provizoriski </w:t>
      </w:r>
      <w:r w:rsidR="00422332">
        <w:rPr>
          <w:rFonts w:ascii="Times New Roman" w:hAnsi="Times New Roman" w:cs="Times New Roman"/>
          <w:sz w:val="24"/>
          <w:szCs w:val="24"/>
        </w:rPr>
        <w:t>2-</w:t>
      </w:r>
      <w:r>
        <w:rPr>
          <w:rFonts w:ascii="Times New Roman" w:hAnsi="Times New Roman" w:cs="Times New Roman"/>
          <w:sz w:val="24"/>
          <w:szCs w:val="24"/>
        </w:rPr>
        <w:t>3 gadi).</w:t>
      </w:r>
    </w:p>
    <w:p w14:paraId="401FEF2F" w14:textId="606A263B" w:rsidR="003E108D" w:rsidRDefault="003E108D" w:rsidP="0032272B">
      <w:pPr>
        <w:pStyle w:val="ListParagraph"/>
        <w:numPr>
          <w:ilvl w:val="0"/>
          <w:numId w:val="26"/>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Pieļaujot ēkas turpmāko izmantošanu, pēc nepieciešamā remonta un uzturēšanas ieguldījumiem, ēka kļūs par ilgtermiņa lietošanas objektu, neļaujot zemes gabala turpmāko izmantošanu pašvaldības funkcijām (iestāžu paplašināšanai un izvietošanai).</w:t>
      </w:r>
    </w:p>
    <w:p w14:paraId="24D7979C" w14:textId="3CD3A46B" w:rsidR="00F23C8C" w:rsidRDefault="00F23C8C" w:rsidP="00F23C8C">
      <w:pPr>
        <w:spacing w:before="120" w:after="0" w:line="240" w:lineRule="auto"/>
        <w:jc w:val="both"/>
        <w:rPr>
          <w:rFonts w:ascii="Times New Roman" w:hAnsi="Times New Roman" w:cs="Times New Roman"/>
          <w:sz w:val="24"/>
          <w:szCs w:val="24"/>
        </w:rPr>
      </w:pPr>
      <w:r w:rsidRPr="00802E41">
        <w:rPr>
          <w:rFonts w:ascii="Times New Roman" w:hAnsi="Times New Roman" w:cs="Times New Roman"/>
          <w:b/>
          <w:bCs/>
          <w:sz w:val="24"/>
          <w:szCs w:val="24"/>
        </w:rPr>
        <w:t>Ēka</w:t>
      </w:r>
      <w:r w:rsidRPr="00FB45B3">
        <w:rPr>
          <w:rFonts w:ascii="Times New Roman" w:hAnsi="Times New Roman" w:cs="Times New Roman"/>
          <w:b/>
          <w:bCs/>
          <w:sz w:val="24"/>
          <w:szCs w:val="24"/>
        </w:rPr>
        <w:t xml:space="preserve"> </w:t>
      </w:r>
      <w:r>
        <w:rPr>
          <w:rFonts w:ascii="Times New Roman" w:hAnsi="Times New Roman" w:cs="Times New Roman"/>
          <w:b/>
          <w:bCs/>
          <w:sz w:val="24"/>
          <w:szCs w:val="24"/>
        </w:rPr>
        <w:t xml:space="preserve">var tikt </w:t>
      </w:r>
      <w:r w:rsidRPr="00802E41">
        <w:rPr>
          <w:rFonts w:ascii="Times New Roman" w:hAnsi="Times New Roman" w:cs="Times New Roman"/>
          <w:b/>
          <w:bCs/>
          <w:sz w:val="24"/>
          <w:szCs w:val="24"/>
        </w:rPr>
        <w:t>nodot</w:t>
      </w:r>
      <w:r>
        <w:rPr>
          <w:rFonts w:ascii="Times New Roman" w:hAnsi="Times New Roman" w:cs="Times New Roman"/>
          <w:b/>
          <w:bCs/>
          <w:sz w:val="24"/>
          <w:szCs w:val="24"/>
        </w:rPr>
        <w:t>a lietošanā</w:t>
      </w:r>
      <w:r w:rsidRPr="00802E41">
        <w:rPr>
          <w:rFonts w:ascii="Times New Roman" w:hAnsi="Times New Roman" w:cs="Times New Roman"/>
          <w:b/>
          <w:bCs/>
          <w:sz w:val="24"/>
          <w:szCs w:val="24"/>
        </w:rPr>
        <w:t xml:space="preserve"> kopienai</w:t>
      </w:r>
      <w:r>
        <w:rPr>
          <w:rFonts w:ascii="Times New Roman" w:hAnsi="Times New Roman" w:cs="Times New Roman"/>
          <w:b/>
          <w:bCs/>
          <w:sz w:val="24"/>
          <w:szCs w:val="24"/>
        </w:rPr>
        <w:t xml:space="preserve"> kādā no veidiem: </w:t>
      </w:r>
    </w:p>
    <w:p w14:paraId="13453236" w14:textId="2D2867DE" w:rsidR="00F23C8C" w:rsidRPr="00026833" w:rsidRDefault="00F23C8C" w:rsidP="0058168B">
      <w:pPr>
        <w:pStyle w:val="ListParagraph"/>
        <w:numPr>
          <w:ilvl w:val="0"/>
          <w:numId w:val="13"/>
        </w:numPr>
        <w:autoSpaceDE w:val="0"/>
        <w:autoSpaceDN w:val="0"/>
        <w:adjustRightInd w:val="0"/>
        <w:spacing w:before="120" w:after="120" w:line="240" w:lineRule="auto"/>
        <w:ind w:left="284" w:hanging="284"/>
        <w:contextualSpacing w:val="0"/>
        <w:jc w:val="both"/>
        <w:rPr>
          <w:rFonts w:ascii="Times New Roman" w:hAnsi="Times New Roman" w:cs="Times New Roman"/>
          <w:color w:val="000000" w:themeColor="text1"/>
          <w:sz w:val="24"/>
          <w:szCs w:val="24"/>
        </w:rPr>
      </w:pPr>
      <w:r w:rsidRPr="00026833">
        <w:rPr>
          <w:rFonts w:ascii="Times New Roman" w:hAnsi="Times New Roman" w:cs="Times New Roman"/>
          <w:b/>
          <w:bCs/>
          <w:color w:val="000000" w:themeColor="text1"/>
          <w:sz w:val="24"/>
          <w:szCs w:val="24"/>
        </w:rPr>
        <w:t>Iznomāšana</w:t>
      </w:r>
      <w:r w:rsidRPr="00026833">
        <w:rPr>
          <w:rFonts w:ascii="Times New Roman" w:hAnsi="Times New Roman" w:cs="Times New Roman"/>
          <w:color w:val="000000" w:themeColor="text1"/>
          <w:sz w:val="24"/>
          <w:szCs w:val="24"/>
        </w:rPr>
        <w:t xml:space="preserve"> (ar izsoli vai nerīkojot izsoli – atkarībā no nomas mērķa), nosakot nomas maksu. </w:t>
      </w:r>
      <w:r w:rsidR="0017402C">
        <w:rPr>
          <w:rFonts w:ascii="Times New Roman" w:hAnsi="Times New Roman" w:cs="Times New Roman"/>
          <w:color w:val="000000" w:themeColor="text1"/>
          <w:sz w:val="24"/>
          <w:szCs w:val="24"/>
        </w:rPr>
        <w:t>Lietderīgi ir i</w:t>
      </w:r>
      <w:r w:rsidR="00BB18A3">
        <w:rPr>
          <w:rFonts w:ascii="Times New Roman" w:hAnsi="Times New Roman" w:cs="Times New Roman"/>
          <w:color w:val="000000" w:themeColor="text1"/>
          <w:sz w:val="24"/>
          <w:szCs w:val="24"/>
        </w:rPr>
        <w:t xml:space="preserve">znomāt ēku </w:t>
      </w:r>
      <w:r w:rsidR="0017402C">
        <w:rPr>
          <w:rFonts w:ascii="Times New Roman" w:hAnsi="Times New Roman" w:cs="Times New Roman"/>
          <w:color w:val="000000" w:themeColor="text1"/>
          <w:sz w:val="24"/>
          <w:szCs w:val="24"/>
        </w:rPr>
        <w:t xml:space="preserve">vienai personai – ar nosacījumu, ka šī persona turpmāk pati lieto telpas vai organizē to lietošanu, nodrošina telpu uzturēšanu, saglabāšanu utt. </w:t>
      </w:r>
      <w:r w:rsidRPr="00026833">
        <w:rPr>
          <w:rFonts w:ascii="Times New Roman" w:hAnsi="Times New Roman" w:cs="Times New Roman"/>
          <w:color w:val="000000" w:themeColor="text1"/>
          <w:sz w:val="24"/>
          <w:szCs w:val="24"/>
        </w:rPr>
        <w:t>Nomas tiesību izsoli var nerīkot, ja nomas objektu iznomā sociālās aizsardzības, kultūras, izglītības, zinātnes, sporta, vides un dzīvnieku aizsardzības vai veselības aprūpes funkciju nodrošināšanai. Nomas maksu nosaka atbilstoši neatkarīga vērtētāja vērtējumam</w:t>
      </w:r>
      <w:r w:rsidRPr="00026833">
        <w:rPr>
          <w:rStyle w:val="FootnoteReference"/>
          <w:rFonts w:ascii="Times New Roman" w:hAnsi="Times New Roman" w:cs="Times New Roman"/>
          <w:color w:val="000000" w:themeColor="text1"/>
          <w:sz w:val="24"/>
          <w:szCs w:val="24"/>
        </w:rPr>
        <w:footnoteReference w:id="1"/>
      </w:r>
      <w:r w:rsidRPr="00026833">
        <w:rPr>
          <w:rFonts w:ascii="Times New Roman" w:hAnsi="Times New Roman" w:cs="Times New Roman"/>
          <w:color w:val="000000" w:themeColor="text1"/>
          <w:sz w:val="24"/>
          <w:szCs w:val="24"/>
        </w:rPr>
        <w:t>.</w:t>
      </w:r>
    </w:p>
    <w:p w14:paraId="60A4062D" w14:textId="77777777" w:rsidR="00F23C8C" w:rsidRPr="00026833" w:rsidRDefault="00F23C8C" w:rsidP="00F23C8C">
      <w:pPr>
        <w:pStyle w:val="ListParagraph"/>
        <w:numPr>
          <w:ilvl w:val="0"/>
          <w:numId w:val="13"/>
        </w:numPr>
        <w:autoSpaceDE w:val="0"/>
        <w:autoSpaceDN w:val="0"/>
        <w:adjustRightInd w:val="0"/>
        <w:spacing w:after="120" w:line="240" w:lineRule="auto"/>
        <w:ind w:left="284" w:hanging="284"/>
        <w:contextualSpacing w:val="0"/>
        <w:jc w:val="both"/>
        <w:rPr>
          <w:rFonts w:ascii="Times New Roman" w:hAnsi="Times New Roman" w:cs="Times New Roman"/>
          <w:color w:val="000000" w:themeColor="text1"/>
          <w:sz w:val="24"/>
          <w:szCs w:val="24"/>
        </w:rPr>
      </w:pPr>
      <w:r w:rsidRPr="00026833">
        <w:rPr>
          <w:rFonts w:ascii="Times New Roman" w:hAnsi="Times New Roman" w:cs="Times New Roman"/>
          <w:b/>
          <w:bCs/>
          <w:color w:val="000000" w:themeColor="text1"/>
          <w:sz w:val="24"/>
          <w:szCs w:val="24"/>
        </w:rPr>
        <w:t>Bezatlīdzības lietošana</w:t>
      </w:r>
      <w:r w:rsidRPr="00026833">
        <w:rPr>
          <w:rFonts w:ascii="Times New Roman" w:hAnsi="Times New Roman" w:cs="Times New Roman"/>
          <w:color w:val="000000" w:themeColor="text1"/>
          <w:sz w:val="24"/>
          <w:szCs w:val="24"/>
        </w:rPr>
        <w:t xml:space="preserve">. Pašvaldības mantu var nodot bez atlīdzības – tikai </w:t>
      </w:r>
      <w:r w:rsidRPr="00026833">
        <w:rPr>
          <w:rFonts w:ascii="Times New Roman" w:hAnsi="Times New Roman" w:cs="Times New Roman"/>
          <w:color w:val="000000" w:themeColor="text1"/>
          <w:sz w:val="24"/>
          <w:szCs w:val="24"/>
          <w:u w:val="single"/>
        </w:rPr>
        <w:t>sabiedriskā labuma organizācijai vai sociālajam uzņēmumam</w:t>
      </w:r>
      <w:r w:rsidRPr="00026833">
        <w:rPr>
          <w:rStyle w:val="FootnoteReference"/>
          <w:rFonts w:ascii="Times New Roman" w:hAnsi="Times New Roman" w:cs="Times New Roman"/>
          <w:color w:val="000000" w:themeColor="text1"/>
          <w:sz w:val="24"/>
          <w:szCs w:val="24"/>
          <w:u w:val="single"/>
        </w:rPr>
        <w:footnoteReference w:id="2"/>
      </w:r>
      <w:r w:rsidRPr="00026833">
        <w:rPr>
          <w:rFonts w:ascii="Times New Roman" w:hAnsi="Times New Roman" w:cs="Times New Roman"/>
          <w:color w:val="000000" w:themeColor="text1"/>
          <w:sz w:val="24"/>
          <w:szCs w:val="24"/>
          <w:u w:val="single"/>
        </w:rPr>
        <w:t>.</w:t>
      </w:r>
      <w:r w:rsidRPr="00026833">
        <w:rPr>
          <w:rFonts w:ascii="Times New Roman" w:hAnsi="Times New Roman" w:cs="Times New Roman"/>
          <w:color w:val="000000" w:themeColor="text1"/>
          <w:sz w:val="24"/>
          <w:szCs w:val="24"/>
        </w:rPr>
        <w:t xml:space="preserve"> </w:t>
      </w:r>
    </w:p>
    <w:p w14:paraId="1E4A7D52" w14:textId="63EAD670" w:rsidR="007B58A4" w:rsidRPr="00F667C5" w:rsidRDefault="007B58A4" w:rsidP="00A830D2">
      <w:pPr>
        <w:spacing w:before="120" w:after="0" w:line="240" w:lineRule="auto"/>
        <w:jc w:val="both"/>
        <w:rPr>
          <w:rFonts w:ascii="Times New Roman" w:hAnsi="Times New Roman" w:cs="Times New Roman"/>
          <w:sz w:val="24"/>
          <w:szCs w:val="24"/>
        </w:rPr>
      </w:pPr>
      <w:r w:rsidRPr="00F667C5">
        <w:rPr>
          <w:rFonts w:ascii="Times New Roman" w:hAnsi="Times New Roman" w:cs="Times New Roman"/>
          <w:sz w:val="24"/>
          <w:szCs w:val="24"/>
        </w:rPr>
        <w:t xml:space="preserve">Ministru kabineta </w:t>
      </w:r>
      <w:r>
        <w:rPr>
          <w:rFonts w:ascii="Times New Roman" w:hAnsi="Times New Roman" w:cs="Times New Roman"/>
          <w:sz w:val="24"/>
          <w:szCs w:val="24"/>
        </w:rPr>
        <w:t>20.02.</w:t>
      </w:r>
      <w:r w:rsidRPr="00F667C5">
        <w:rPr>
          <w:rFonts w:ascii="Times New Roman" w:hAnsi="Times New Roman" w:cs="Times New Roman"/>
          <w:sz w:val="24"/>
          <w:szCs w:val="24"/>
        </w:rPr>
        <w:t>2018. noteikumu Nr. 97 “Publiskas personas mantas iznomāšanas noteikumi” pieļauj nomas nosacījumos iekļaut pienākumu nomniekam veikt kapitālieguldījumus. Ņemot vērā kapitālieguldījumu summu, arī nomas termiņš jānosaka samērīgs, t.i. nomai jābūt ilgstošai. MK noteikumu 6.4. apakšpunkts nosaka, kādos gadījumos var arī nolemt nerīkot nomas tiesību izsoli (tas gan nav attiecināms uz piem. komerciāliem mērķiem).</w:t>
      </w:r>
    </w:p>
    <w:p w14:paraId="56085B61" w14:textId="46740607" w:rsidR="007E7FDF" w:rsidRDefault="00F55B18" w:rsidP="00A830D2">
      <w:pPr>
        <w:spacing w:before="120"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Attīstības un projektu nodaļas ieskatā </w:t>
      </w:r>
      <w:r>
        <w:rPr>
          <w:rFonts w:ascii="Times New Roman" w:hAnsi="Times New Roman" w:cs="Times New Roman"/>
          <w:sz w:val="24"/>
          <w:szCs w:val="24"/>
        </w:rPr>
        <w:t>ēka Jūras ielā 4 varētu tikt nodota nomas tiesību izsolē</w:t>
      </w:r>
      <w:r w:rsidR="00CB443F">
        <w:rPr>
          <w:rFonts w:ascii="Times New Roman" w:hAnsi="Times New Roman" w:cs="Times New Roman"/>
          <w:sz w:val="24"/>
          <w:szCs w:val="24"/>
        </w:rPr>
        <w:t>, paredzot tās izmantošanu kopienas, brīvā laika pavadīšanai, vietējo amatnieku un mājražotāju vajadzībām</w:t>
      </w:r>
      <w:r w:rsidR="007C4DF9">
        <w:rPr>
          <w:rFonts w:ascii="Times New Roman" w:hAnsi="Times New Roman" w:cs="Times New Roman"/>
          <w:sz w:val="24"/>
          <w:szCs w:val="24"/>
        </w:rPr>
        <w:t xml:space="preserve"> uz laiku līdz 2-3 gadiem</w:t>
      </w:r>
      <w:r>
        <w:rPr>
          <w:rFonts w:ascii="Times New Roman" w:hAnsi="Times New Roman" w:cs="Times New Roman"/>
          <w:sz w:val="24"/>
          <w:szCs w:val="24"/>
        </w:rPr>
        <w:t>. Kā viens no izsoles noteikumu nosacījumiem būtu nomniekam noteiktā periodā ve</w:t>
      </w:r>
      <w:r w:rsidR="00CB443F">
        <w:rPr>
          <w:rFonts w:ascii="Times New Roman" w:hAnsi="Times New Roman" w:cs="Times New Roman"/>
          <w:sz w:val="24"/>
          <w:szCs w:val="24"/>
        </w:rPr>
        <w:t>i</w:t>
      </w:r>
      <w:r>
        <w:rPr>
          <w:rFonts w:ascii="Times New Roman" w:hAnsi="Times New Roman" w:cs="Times New Roman"/>
          <w:sz w:val="24"/>
          <w:szCs w:val="24"/>
        </w:rPr>
        <w:t xml:space="preserve">kt minimāli nepieciešamos ieguldījumus ēkas tehniskā stāvokļa </w:t>
      </w:r>
      <w:r>
        <w:rPr>
          <w:rFonts w:ascii="Times New Roman" w:hAnsi="Times New Roman" w:cs="Times New Roman"/>
          <w:sz w:val="24"/>
          <w:szCs w:val="24"/>
        </w:rPr>
        <w:lastRenderedPageBreak/>
        <w:t xml:space="preserve">uzlabošanai. </w:t>
      </w:r>
      <w:r w:rsidR="00AD2B20">
        <w:rPr>
          <w:rFonts w:ascii="Times New Roman" w:hAnsi="Times New Roman" w:cs="Times New Roman"/>
          <w:sz w:val="24"/>
          <w:szCs w:val="24"/>
        </w:rPr>
        <w:t xml:space="preserve">Turpmākās </w:t>
      </w:r>
      <w:r w:rsidR="00F23C8C" w:rsidRPr="00F23C8C">
        <w:rPr>
          <w:rFonts w:ascii="Times New Roman" w:hAnsi="Times New Roman" w:cs="Times New Roman"/>
          <w:sz w:val="24"/>
          <w:szCs w:val="24"/>
        </w:rPr>
        <w:t xml:space="preserve">darbības, lai </w:t>
      </w:r>
      <w:r w:rsidR="009B2EBF">
        <w:rPr>
          <w:rFonts w:ascii="Times New Roman" w:hAnsi="Times New Roman" w:cs="Times New Roman"/>
          <w:sz w:val="24"/>
          <w:szCs w:val="24"/>
        </w:rPr>
        <w:t>organizētu</w:t>
      </w:r>
      <w:r w:rsidR="00F23C8C" w:rsidRPr="00F23C8C">
        <w:rPr>
          <w:rFonts w:ascii="Times New Roman" w:hAnsi="Times New Roman" w:cs="Times New Roman"/>
          <w:sz w:val="24"/>
          <w:szCs w:val="24"/>
        </w:rPr>
        <w:t xml:space="preserve"> ēkas iznomāšan</w:t>
      </w:r>
      <w:r w:rsidR="009B2EBF">
        <w:rPr>
          <w:rFonts w:ascii="Times New Roman" w:hAnsi="Times New Roman" w:cs="Times New Roman"/>
          <w:sz w:val="24"/>
          <w:szCs w:val="24"/>
        </w:rPr>
        <w:t>u</w:t>
      </w:r>
      <w:r w:rsidR="00F23C8C" w:rsidRPr="00F23C8C">
        <w:rPr>
          <w:rFonts w:ascii="Times New Roman" w:hAnsi="Times New Roman" w:cs="Times New Roman"/>
          <w:sz w:val="24"/>
          <w:szCs w:val="24"/>
        </w:rPr>
        <w:t xml:space="preserve"> un lietošan</w:t>
      </w:r>
      <w:r w:rsidR="009B2EBF">
        <w:rPr>
          <w:rFonts w:ascii="Times New Roman" w:hAnsi="Times New Roman" w:cs="Times New Roman"/>
          <w:sz w:val="24"/>
          <w:szCs w:val="24"/>
        </w:rPr>
        <w:t>u</w:t>
      </w:r>
      <w:r w:rsidR="00F23C8C" w:rsidRPr="00F23C8C">
        <w:rPr>
          <w:rFonts w:ascii="Times New Roman" w:hAnsi="Times New Roman" w:cs="Times New Roman"/>
          <w:sz w:val="24"/>
          <w:szCs w:val="24"/>
        </w:rPr>
        <w:t xml:space="preserve"> līdz brīdim, kad ēkas teritorija būs nepieciešama pašvaldības izglītības iestāžu paplašināšanai</w:t>
      </w:r>
      <w:r w:rsidR="00AD2B20">
        <w:rPr>
          <w:rFonts w:ascii="Times New Roman" w:hAnsi="Times New Roman" w:cs="Times New Roman"/>
          <w:sz w:val="24"/>
          <w:szCs w:val="24"/>
        </w:rPr>
        <w:t>:</w:t>
      </w:r>
    </w:p>
    <w:p w14:paraId="333280E4" w14:textId="77777777" w:rsidR="00F55B18" w:rsidRPr="00CB443F" w:rsidRDefault="00F55B18" w:rsidP="00F55B18">
      <w:pPr>
        <w:pStyle w:val="ListParagraph"/>
        <w:numPr>
          <w:ilvl w:val="0"/>
          <w:numId w:val="18"/>
        </w:numPr>
        <w:spacing w:before="120" w:after="0" w:line="240" w:lineRule="auto"/>
        <w:jc w:val="both"/>
        <w:rPr>
          <w:rFonts w:ascii="Times New Roman" w:hAnsi="Times New Roman" w:cs="Times New Roman"/>
          <w:sz w:val="24"/>
          <w:szCs w:val="24"/>
        </w:rPr>
      </w:pPr>
      <w:r w:rsidRPr="00CB443F">
        <w:rPr>
          <w:rFonts w:ascii="Times New Roman" w:hAnsi="Times New Roman" w:cs="Times New Roman"/>
          <w:sz w:val="24"/>
          <w:szCs w:val="24"/>
        </w:rPr>
        <w:t>Paskaidrojuma raksta izstrāde par ēkas lietošanas mērķa maiņu.</w:t>
      </w:r>
    </w:p>
    <w:p w14:paraId="7F9C5ABC" w14:textId="7AF3A3A0" w:rsidR="00AD2B20" w:rsidRPr="00CB443F" w:rsidRDefault="00F55B18" w:rsidP="00AD2B20">
      <w:pPr>
        <w:pStyle w:val="ListParagraph"/>
        <w:numPr>
          <w:ilvl w:val="0"/>
          <w:numId w:val="18"/>
        </w:numPr>
        <w:spacing w:before="120" w:after="0" w:line="240" w:lineRule="auto"/>
        <w:jc w:val="both"/>
        <w:rPr>
          <w:rFonts w:ascii="Times New Roman" w:hAnsi="Times New Roman" w:cs="Times New Roman"/>
          <w:sz w:val="24"/>
          <w:szCs w:val="24"/>
        </w:rPr>
      </w:pPr>
      <w:r w:rsidRPr="00CB443F">
        <w:rPr>
          <w:rFonts w:ascii="Times New Roman" w:hAnsi="Times New Roman" w:cs="Times New Roman"/>
          <w:sz w:val="24"/>
          <w:szCs w:val="24"/>
        </w:rPr>
        <w:t>Ēkas nomas maksas noteikšana, piesaistot sertificēta vērtētāja pakalpojumus.</w:t>
      </w:r>
    </w:p>
    <w:p w14:paraId="642D6445" w14:textId="737F2A19" w:rsidR="00F55B18" w:rsidRPr="00CB443F" w:rsidRDefault="00F55B18" w:rsidP="00AD2B20">
      <w:pPr>
        <w:pStyle w:val="ListParagraph"/>
        <w:numPr>
          <w:ilvl w:val="0"/>
          <w:numId w:val="18"/>
        </w:numPr>
        <w:spacing w:before="120" w:after="0" w:line="240" w:lineRule="auto"/>
        <w:jc w:val="both"/>
        <w:rPr>
          <w:rFonts w:ascii="Times New Roman" w:hAnsi="Times New Roman" w:cs="Times New Roman"/>
          <w:sz w:val="24"/>
          <w:szCs w:val="24"/>
        </w:rPr>
      </w:pPr>
      <w:r w:rsidRPr="00CB443F">
        <w:rPr>
          <w:rFonts w:ascii="Times New Roman" w:hAnsi="Times New Roman" w:cs="Times New Roman"/>
          <w:sz w:val="24"/>
          <w:szCs w:val="24"/>
        </w:rPr>
        <w:t>Domes lēmuma pieņemšana par nomas cenas apstiprināšanu.</w:t>
      </w:r>
    </w:p>
    <w:p w14:paraId="364AD84F" w14:textId="5297DE0B" w:rsidR="00F55B18" w:rsidRPr="00CB443F" w:rsidRDefault="00F55B18" w:rsidP="00AD2B20">
      <w:pPr>
        <w:pStyle w:val="ListParagraph"/>
        <w:numPr>
          <w:ilvl w:val="0"/>
          <w:numId w:val="18"/>
        </w:numPr>
        <w:spacing w:before="120" w:after="0" w:line="240" w:lineRule="auto"/>
        <w:jc w:val="both"/>
        <w:rPr>
          <w:rFonts w:ascii="Times New Roman" w:hAnsi="Times New Roman" w:cs="Times New Roman"/>
          <w:sz w:val="24"/>
          <w:szCs w:val="24"/>
        </w:rPr>
      </w:pPr>
      <w:r w:rsidRPr="00CB443F">
        <w:rPr>
          <w:rFonts w:ascii="Times New Roman" w:hAnsi="Times New Roman" w:cs="Times New Roman"/>
          <w:sz w:val="24"/>
          <w:szCs w:val="24"/>
        </w:rPr>
        <w:t>Domes lēmuma pieņemšana par izsoles nolikuma apstiprināšanu.</w:t>
      </w:r>
    </w:p>
    <w:p w14:paraId="3CF828C8" w14:textId="0B0D0EC8" w:rsidR="00F55B18" w:rsidRPr="00CB443F" w:rsidRDefault="00F55B18" w:rsidP="00AD2B20">
      <w:pPr>
        <w:pStyle w:val="ListParagraph"/>
        <w:numPr>
          <w:ilvl w:val="0"/>
          <w:numId w:val="18"/>
        </w:numPr>
        <w:spacing w:before="120" w:after="0" w:line="240" w:lineRule="auto"/>
        <w:jc w:val="both"/>
        <w:rPr>
          <w:rFonts w:ascii="Times New Roman" w:hAnsi="Times New Roman" w:cs="Times New Roman"/>
          <w:sz w:val="24"/>
          <w:szCs w:val="24"/>
        </w:rPr>
      </w:pPr>
      <w:r w:rsidRPr="00CB443F">
        <w:rPr>
          <w:rFonts w:ascii="Times New Roman" w:hAnsi="Times New Roman" w:cs="Times New Roman"/>
          <w:sz w:val="24"/>
          <w:szCs w:val="24"/>
        </w:rPr>
        <w:t>Izsoles organizēšana.</w:t>
      </w:r>
    </w:p>
    <w:p w14:paraId="63092924" w14:textId="77777777" w:rsidR="00A26F38" w:rsidRDefault="00A26F38" w:rsidP="00A26F38">
      <w:pPr>
        <w:spacing w:before="120" w:after="0" w:line="240" w:lineRule="auto"/>
        <w:jc w:val="both"/>
        <w:rPr>
          <w:rFonts w:ascii="Times New Roman" w:hAnsi="Times New Roman" w:cs="Times New Roman"/>
          <w:sz w:val="24"/>
          <w:szCs w:val="24"/>
        </w:rPr>
      </w:pPr>
    </w:p>
    <w:p w14:paraId="2CDA0788" w14:textId="3DAEEB69" w:rsidR="003839BA" w:rsidRPr="003839BA" w:rsidRDefault="003839BA" w:rsidP="00A26F38">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0202B3">
        <w:rPr>
          <w:rFonts w:ascii="Times New Roman" w:hAnsi="Times New Roman" w:cs="Times New Roman"/>
          <w:sz w:val="24"/>
          <w:szCs w:val="24"/>
        </w:rPr>
        <w:t>0</w:t>
      </w:r>
      <w:r w:rsidR="006228CF">
        <w:rPr>
          <w:rFonts w:ascii="Times New Roman" w:hAnsi="Times New Roman" w:cs="Times New Roman"/>
          <w:sz w:val="24"/>
          <w:szCs w:val="24"/>
        </w:rPr>
        <w:t>9</w:t>
      </w:r>
      <w:r w:rsidR="000202B3">
        <w:rPr>
          <w:rFonts w:ascii="Times New Roman" w:hAnsi="Times New Roman" w:cs="Times New Roman"/>
          <w:sz w:val="24"/>
          <w:szCs w:val="24"/>
        </w:rPr>
        <w:t>.07</w:t>
      </w:r>
      <w:r w:rsidR="00A26F38">
        <w:rPr>
          <w:rFonts w:ascii="Times New Roman" w:hAnsi="Times New Roman" w:cs="Times New Roman"/>
          <w:sz w:val="24"/>
          <w:szCs w:val="24"/>
        </w:rPr>
        <w:t xml:space="preserve">.2025. </w:t>
      </w:r>
      <w:r w:rsidR="00A26F38">
        <w:rPr>
          <w:rFonts w:ascii="Times New Roman" w:hAnsi="Times New Roman" w:cs="Times New Roman"/>
          <w:sz w:val="24"/>
          <w:szCs w:val="24"/>
        </w:rPr>
        <w:tab/>
      </w:r>
      <w:r w:rsidR="00A26F38">
        <w:rPr>
          <w:rFonts w:ascii="Times New Roman" w:hAnsi="Times New Roman" w:cs="Times New Roman"/>
          <w:sz w:val="24"/>
          <w:szCs w:val="24"/>
        </w:rPr>
        <w:tab/>
      </w:r>
      <w:r w:rsidR="00A26F38">
        <w:rPr>
          <w:rFonts w:ascii="Times New Roman" w:hAnsi="Times New Roman" w:cs="Times New Roman"/>
          <w:sz w:val="24"/>
          <w:szCs w:val="24"/>
        </w:rPr>
        <w:tab/>
      </w:r>
      <w:r w:rsidR="00A26F38">
        <w:rPr>
          <w:rFonts w:ascii="Times New Roman" w:hAnsi="Times New Roman" w:cs="Times New Roman"/>
          <w:sz w:val="24"/>
          <w:szCs w:val="24"/>
        </w:rPr>
        <w:tab/>
      </w:r>
      <w:r w:rsidR="00A26F38">
        <w:rPr>
          <w:rFonts w:ascii="Times New Roman" w:hAnsi="Times New Roman" w:cs="Times New Roman"/>
          <w:sz w:val="24"/>
          <w:szCs w:val="24"/>
        </w:rPr>
        <w:tab/>
      </w:r>
      <w:r w:rsidR="00A26F38">
        <w:rPr>
          <w:rFonts w:ascii="Times New Roman" w:hAnsi="Times New Roman" w:cs="Times New Roman"/>
          <w:sz w:val="24"/>
          <w:szCs w:val="24"/>
        </w:rPr>
        <w:tab/>
      </w:r>
      <w:r>
        <w:rPr>
          <w:rFonts w:ascii="Times New Roman" w:hAnsi="Times New Roman" w:cs="Times New Roman"/>
          <w:sz w:val="24"/>
          <w:szCs w:val="24"/>
        </w:rPr>
        <w:t>Attīstības un projektu nodaļa</w:t>
      </w:r>
    </w:p>
    <w:sectPr w:rsidR="003839BA" w:rsidRPr="003839BA" w:rsidSect="0058168B">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C698" w14:textId="77777777" w:rsidR="00AA6386" w:rsidRDefault="00AA6386" w:rsidP="00A830D2">
      <w:pPr>
        <w:spacing w:after="0" w:line="240" w:lineRule="auto"/>
      </w:pPr>
      <w:r>
        <w:separator/>
      </w:r>
    </w:p>
  </w:endnote>
  <w:endnote w:type="continuationSeparator" w:id="0">
    <w:p w14:paraId="36A215E6" w14:textId="77777777" w:rsidR="00AA6386" w:rsidRDefault="00AA6386" w:rsidP="00A8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437052"/>
      <w:docPartObj>
        <w:docPartGallery w:val="Page Numbers (Bottom of Page)"/>
        <w:docPartUnique/>
      </w:docPartObj>
    </w:sdtPr>
    <w:sdtEndPr/>
    <w:sdtContent>
      <w:p w14:paraId="07D271EC" w14:textId="5BA8AC8C" w:rsidR="00A830D2" w:rsidRDefault="00A830D2">
        <w:pPr>
          <w:pStyle w:val="Footer"/>
          <w:jc w:val="center"/>
        </w:pPr>
        <w:r>
          <w:fldChar w:fldCharType="begin"/>
        </w:r>
        <w:r>
          <w:instrText>PAGE   \* MERGEFORMAT</w:instrText>
        </w:r>
        <w:r>
          <w:fldChar w:fldCharType="separate"/>
        </w:r>
        <w:r>
          <w:t>2</w:t>
        </w:r>
        <w:r>
          <w:fldChar w:fldCharType="end"/>
        </w:r>
      </w:p>
    </w:sdtContent>
  </w:sdt>
  <w:p w14:paraId="0E690C70" w14:textId="77777777" w:rsidR="00A830D2" w:rsidRDefault="00A8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6C70" w14:textId="77777777" w:rsidR="00AA6386" w:rsidRDefault="00AA6386" w:rsidP="00A830D2">
      <w:pPr>
        <w:spacing w:after="0" w:line="240" w:lineRule="auto"/>
      </w:pPr>
      <w:r>
        <w:separator/>
      </w:r>
    </w:p>
  </w:footnote>
  <w:footnote w:type="continuationSeparator" w:id="0">
    <w:p w14:paraId="06A861E8" w14:textId="77777777" w:rsidR="00AA6386" w:rsidRDefault="00AA6386" w:rsidP="00A830D2">
      <w:pPr>
        <w:spacing w:after="0" w:line="240" w:lineRule="auto"/>
      </w:pPr>
      <w:r>
        <w:continuationSeparator/>
      </w:r>
    </w:p>
  </w:footnote>
  <w:footnote w:id="1">
    <w:p w14:paraId="639B334C" w14:textId="77777777" w:rsidR="00F23C8C" w:rsidRPr="00026833" w:rsidRDefault="00F23C8C" w:rsidP="00F23C8C">
      <w:pPr>
        <w:pStyle w:val="FootnoteText"/>
        <w:jc w:val="both"/>
        <w:rPr>
          <w:rFonts w:ascii="Times New Roman" w:hAnsi="Times New Roman" w:cs="Times New Roman"/>
          <w:color w:val="000000" w:themeColor="text1"/>
          <w:sz w:val="18"/>
          <w:szCs w:val="18"/>
        </w:rPr>
      </w:pPr>
      <w:r w:rsidRPr="00026833">
        <w:rPr>
          <w:rStyle w:val="FootnoteReference"/>
          <w:rFonts w:ascii="Times New Roman" w:hAnsi="Times New Roman" w:cs="Times New Roman"/>
          <w:color w:val="000000" w:themeColor="text1"/>
          <w:sz w:val="18"/>
          <w:szCs w:val="18"/>
        </w:rPr>
        <w:footnoteRef/>
      </w:r>
      <w:r w:rsidRPr="00026833">
        <w:rPr>
          <w:rFonts w:ascii="Times New Roman" w:hAnsi="Times New Roman" w:cs="Times New Roman"/>
          <w:color w:val="000000" w:themeColor="text1"/>
          <w:sz w:val="18"/>
          <w:szCs w:val="18"/>
        </w:rPr>
        <w:t xml:space="preserve"> Ministru kabineta </w:t>
      </w:r>
      <w:r w:rsidRPr="00026833">
        <w:rPr>
          <w:rFonts w:ascii="Times New Roman" w:hAnsi="Times New Roman" w:cs="Times New Roman"/>
          <w:color w:val="000000" w:themeColor="text1"/>
          <w:sz w:val="18"/>
          <w:szCs w:val="18"/>
          <w:shd w:val="clear" w:color="auto" w:fill="FFFFFF"/>
        </w:rPr>
        <w:t xml:space="preserve">2018. gada 20. februāra </w:t>
      </w:r>
      <w:r w:rsidRPr="00026833">
        <w:rPr>
          <w:rFonts w:ascii="Times New Roman" w:hAnsi="Times New Roman" w:cs="Times New Roman"/>
          <w:color w:val="000000" w:themeColor="text1"/>
          <w:sz w:val="18"/>
          <w:szCs w:val="18"/>
        </w:rPr>
        <w:t>noteikumu Nr. 97 “Publiskas personas mantas iznomāšanas noteikumi” 4.1., 5. punkti</w:t>
      </w:r>
    </w:p>
  </w:footnote>
  <w:footnote w:id="2">
    <w:p w14:paraId="540BDF6C" w14:textId="77777777" w:rsidR="00F23C8C" w:rsidRPr="00854C7C" w:rsidRDefault="00F23C8C" w:rsidP="00F23C8C">
      <w:pPr>
        <w:pStyle w:val="FootnoteText"/>
        <w:rPr>
          <w:rFonts w:ascii="Times New Roman" w:hAnsi="Times New Roman" w:cs="Times New Roman"/>
          <w:color w:val="007BB8"/>
          <w:sz w:val="18"/>
          <w:szCs w:val="18"/>
        </w:rPr>
      </w:pPr>
      <w:r w:rsidRPr="00026833">
        <w:rPr>
          <w:rStyle w:val="FootnoteReference"/>
          <w:rFonts w:ascii="Times New Roman" w:hAnsi="Times New Roman" w:cs="Times New Roman"/>
          <w:color w:val="000000" w:themeColor="text1"/>
          <w:sz w:val="18"/>
          <w:szCs w:val="18"/>
        </w:rPr>
        <w:footnoteRef/>
      </w:r>
      <w:r w:rsidRPr="00026833">
        <w:rPr>
          <w:rFonts w:ascii="Times New Roman" w:hAnsi="Times New Roman" w:cs="Times New Roman"/>
          <w:color w:val="000000" w:themeColor="text1"/>
          <w:sz w:val="18"/>
          <w:szCs w:val="18"/>
        </w:rPr>
        <w:t xml:space="preserve"> Publiskas personas finanšu līdzekļu un mantas izšķērdēšanas novēršanas likuma 5. panta pirmā daļa, otrās daļas 4.1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3D0"/>
    <w:multiLevelType w:val="multilevel"/>
    <w:tmpl w:val="43069A0C"/>
    <w:lvl w:ilvl="0">
      <w:start w:val="1"/>
      <w:numFmt w:val="decimal"/>
      <w:lvlText w:val="%1."/>
      <w:lvlJc w:val="left"/>
      <w:pPr>
        <w:ind w:left="360" w:hanging="360"/>
      </w:pPr>
      <w:rPr>
        <w:rFonts w:ascii="Times New Roman" w:hAnsi="Times New Roman" w:cs="Times New Roman" w:hint="default"/>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73421"/>
    <w:multiLevelType w:val="hybridMultilevel"/>
    <w:tmpl w:val="E5AA3AB8"/>
    <w:lvl w:ilvl="0" w:tplc="2548B7A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E54B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33B8A"/>
    <w:multiLevelType w:val="multilevel"/>
    <w:tmpl w:val="D1F4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E58F0"/>
    <w:multiLevelType w:val="multilevel"/>
    <w:tmpl w:val="7FF44F4C"/>
    <w:styleLink w:val="Stils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616681"/>
    <w:multiLevelType w:val="hybridMultilevel"/>
    <w:tmpl w:val="75B2CC8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157134E7"/>
    <w:multiLevelType w:val="hybridMultilevel"/>
    <w:tmpl w:val="2F74D96E"/>
    <w:lvl w:ilvl="0" w:tplc="E896654A">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1A1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3F4D53"/>
    <w:multiLevelType w:val="hybridMultilevel"/>
    <w:tmpl w:val="5EC4E9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710E21"/>
    <w:multiLevelType w:val="hybridMultilevel"/>
    <w:tmpl w:val="6CA2F5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740B24"/>
    <w:multiLevelType w:val="hybridMultilevel"/>
    <w:tmpl w:val="7CBCBAD0"/>
    <w:lvl w:ilvl="0" w:tplc="59CEBEB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917558"/>
    <w:multiLevelType w:val="multilevel"/>
    <w:tmpl w:val="2160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34F59"/>
    <w:multiLevelType w:val="hybridMultilevel"/>
    <w:tmpl w:val="8072FDB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43D925F7"/>
    <w:multiLevelType w:val="hybridMultilevel"/>
    <w:tmpl w:val="7366B3E2"/>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ED4AED"/>
    <w:multiLevelType w:val="hybridMultilevel"/>
    <w:tmpl w:val="E91A47FC"/>
    <w:lvl w:ilvl="0" w:tplc="3BFCA0E8">
      <w:start w:val="1"/>
      <w:numFmt w:val="decimal"/>
      <w:lvlText w:val="%1)"/>
      <w:lvlJc w:val="left"/>
      <w:pPr>
        <w:ind w:left="720" w:hanging="360"/>
      </w:pPr>
      <w:rPr>
        <w:rFonts w:ascii="Times New Roman" w:eastAsiaTheme="minorHAnsi" w:hAnsi="Times New Roman" w:cs="Times New Roman"/>
      </w:rPr>
    </w:lvl>
    <w:lvl w:ilvl="1" w:tplc="91B418D2">
      <w:start w:val="1"/>
      <w:numFmt w:val="lowerLetter"/>
      <w:lvlText w:val="%2."/>
      <w:lvlJc w:val="left"/>
      <w:pPr>
        <w:ind w:left="1440" w:hanging="360"/>
      </w:pPr>
    </w:lvl>
    <w:lvl w:ilvl="2" w:tplc="8D12768C" w:tentative="1">
      <w:start w:val="1"/>
      <w:numFmt w:val="lowerRoman"/>
      <w:lvlText w:val="%3."/>
      <w:lvlJc w:val="right"/>
      <w:pPr>
        <w:ind w:left="2160" w:hanging="180"/>
      </w:pPr>
    </w:lvl>
    <w:lvl w:ilvl="3" w:tplc="7C46223E" w:tentative="1">
      <w:start w:val="1"/>
      <w:numFmt w:val="decimal"/>
      <w:lvlText w:val="%4."/>
      <w:lvlJc w:val="left"/>
      <w:pPr>
        <w:ind w:left="2880" w:hanging="360"/>
      </w:pPr>
    </w:lvl>
    <w:lvl w:ilvl="4" w:tplc="E56C0334" w:tentative="1">
      <w:start w:val="1"/>
      <w:numFmt w:val="lowerLetter"/>
      <w:lvlText w:val="%5."/>
      <w:lvlJc w:val="left"/>
      <w:pPr>
        <w:ind w:left="3600" w:hanging="360"/>
      </w:pPr>
    </w:lvl>
    <w:lvl w:ilvl="5" w:tplc="3B884554" w:tentative="1">
      <w:start w:val="1"/>
      <w:numFmt w:val="lowerRoman"/>
      <w:lvlText w:val="%6."/>
      <w:lvlJc w:val="right"/>
      <w:pPr>
        <w:ind w:left="4320" w:hanging="180"/>
      </w:pPr>
    </w:lvl>
    <w:lvl w:ilvl="6" w:tplc="226E1FBC" w:tentative="1">
      <w:start w:val="1"/>
      <w:numFmt w:val="decimal"/>
      <w:lvlText w:val="%7."/>
      <w:lvlJc w:val="left"/>
      <w:pPr>
        <w:ind w:left="5040" w:hanging="360"/>
      </w:pPr>
    </w:lvl>
    <w:lvl w:ilvl="7" w:tplc="EBAA8E78" w:tentative="1">
      <w:start w:val="1"/>
      <w:numFmt w:val="lowerLetter"/>
      <w:lvlText w:val="%8."/>
      <w:lvlJc w:val="left"/>
      <w:pPr>
        <w:ind w:left="5760" w:hanging="360"/>
      </w:pPr>
    </w:lvl>
    <w:lvl w:ilvl="8" w:tplc="FD9AC720" w:tentative="1">
      <w:start w:val="1"/>
      <w:numFmt w:val="lowerRoman"/>
      <w:lvlText w:val="%9."/>
      <w:lvlJc w:val="right"/>
      <w:pPr>
        <w:ind w:left="6480" w:hanging="180"/>
      </w:pPr>
    </w:lvl>
  </w:abstractNum>
  <w:abstractNum w:abstractNumId="15" w15:restartNumberingAfterBreak="0">
    <w:nsid w:val="4F9130BD"/>
    <w:multiLevelType w:val="multilevel"/>
    <w:tmpl w:val="EF6E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E424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AD6E2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042C47"/>
    <w:multiLevelType w:val="multilevel"/>
    <w:tmpl w:val="BCF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943F6"/>
    <w:multiLevelType w:val="hybridMultilevel"/>
    <w:tmpl w:val="FAA64F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A355C1"/>
    <w:multiLevelType w:val="multilevel"/>
    <w:tmpl w:val="7FF44F4C"/>
    <w:numStyleLink w:val="Stils1"/>
  </w:abstractNum>
  <w:abstractNum w:abstractNumId="21" w15:restartNumberingAfterBreak="0">
    <w:nsid w:val="6E8068CB"/>
    <w:multiLevelType w:val="multilevel"/>
    <w:tmpl w:val="C83E66B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356BBF"/>
    <w:multiLevelType w:val="hybridMultilevel"/>
    <w:tmpl w:val="AFA017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6F731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1960E7"/>
    <w:multiLevelType w:val="hybridMultilevel"/>
    <w:tmpl w:val="804677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DD4058E"/>
    <w:multiLevelType w:val="multilevel"/>
    <w:tmpl w:val="86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256791">
    <w:abstractNumId w:val="5"/>
  </w:num>
  <w:num w:numId="2" w16cid:durableId="1160459619">
    <w:abstractNumId w:val="19"/>
  </w:num>
  <w:num w:numId="3" w16cid:durableId="1142695805">
    <w:abstractNumId w:val="8"/>
  </w:num>
  <w:num w:numId="4" w16cid:durableId="2007055546">
    <w:abstractNumId w:val="21"/>
  </w:num>
  <w:num w:numId="5" w16cid:durableId="1621909458">
    <w:abstractNumId w:val="12"/>
  </w:num>
  <w:num w:numId="6" w16cid:durableId="1189022591">
    <w:abstractNumId w:val="13"/>
  </w:num>
  <w:num w:numId="7" w16cid:durableId="643968491">
    <w:abstractNumId w:val="25"/>
  </w:num>
  <w:num w:numId="8" w16cid:durableId="868685268">
    <w:abstractNumId w:val="15"/>
  </w:num>
  <w:num w:numId="9" w16cid:durableId="1602109976">
    <w:abstractNumId w:val="3"/>
  </w:num>
  <w:num w:numId="10" w16cid:durableId="1254969257">
    <w:abstractNumId w:val="18"/>
  </w:num>
  <w:num w:numId="11" w16cid:durableId="354497915">
    <w:abstractNumId w:val="11"/>
  </w:num>
  <w:num w:numId="12" w16cid:durableId="78990800">
    <w:abstractNumId w:val="6"/>
  </w:num>
  <w:num w:numId="13" w16cid:durableId="1551963539">
    <w:abstractNumId w:val="1"/>
  </w:num>
  <w:num w:numId="14" w16cid:durableId="696782896">
    <w:abstractNumId w:val="14"/>
  </w:num>
  <w:num w:numId="15" w16cid:durableId="777330463">
    <w:abstractNumId w:val="7"/>
  </w:num>
  <w:num w:numId="16" w16cid:durableId="665522981">
    <w:abstractNumId w:val="10"/>
  </w:num>
  <w:num w:numId="17" w16cid:durableId="2030835944">
    <w:abstractNumId w:val="9"/>
  </w:num>
  <w:num w:numId="18" w16cid:durableId="622928477">
    <w:abstractNumId w:val="24"/>
  </w:num>
  <w:num w:numId="19" w16cid:durableId="1378969784">
    <w:abstractNumId w:val="17"/>
  </w:num>
  <w:num w:numId="20" w16cid:durableId="1889027983">
    <w:abstractNumId w:val="2"/>
  </w:num>
  <w:num w:numId="21" w16cid:durableId="2079009397">
    <w:abstractNumId w:val="23"/>
  </w:num>
  <w:num w:numId="22" w16cid:durableId="995649415">
    <w:abstractNumId w:val="0"/>
  </w:num>
  <w:num w:numId="23" w16cid:durableId="110899755">
    <w:abstractNumId w:val="16"/>
  </w:num>
  <w:num w:numId="24" w16cid:durableId="2134471818">
    <w:abstractNumId w:val="20"/>
  </w:num>
  <w:num w:numId="25" w16cid:durableId="869756284">
    <w:abstractNumId w:val="4"/>
  </w:num>
  <w:num w:numId="26" w16cid:durableId="11663600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22"/>
    <w:rsid w:val="000202B3"/>
    <w:rsid w:val="00021908"/>
    <w:rsid w:val="00021FC3"/>
    <w:rsid w:val="00026833"/>
    <w:rsid w:val="00040184"/>
    <w:rsid w:val="000442C1"/>
    <w:rsid w:val="00085C0E"/>
    <w:rsid w:val="000B1A90"/>
    <w:rsid w:val="000C3544"/>
    <w:rsid w:val="000E6EBB"/>
    <w:rsid w:val="00120FD1"/>
    <w:rsid w:val="00135C99"/>
    <w:rsid w:val="001524F5"/>
    <w:rsid w:val="00164FCC"/>
    <w:rsid w:val="0017402C"/>
    <w:rsid w:val="00192767"/>
    <w:rsid w:val="00192A8C"/>
    <w:rsid w:val="001D6754"/>
    <w:rsid w:val="0023280C"/>
    <w:rsid w:val="00265545"/>
    <w:rsid w:val="00291413"/>
    <w:rsid w:val="002A211C"/>
    <w:rsid w:val="002F05D8"/>
    <w:rsid w:val="002F2CD5"/>
    <w:rsid w:val="003145DF"/>
    <w:rsid w:val="00316269"/>
    <w:rsid w:val="0032272B"/>
    <w:rsid w:val="00325F7D"/>
    <w:rsid w:val="00344695"/>
    <w:rsid w:val="003464BF"/>
    <w:rsid w:val="00354CFE"/>
    <w:rsid w:val="0036067F"/>
    <w:rsid w:val="003665F6"/>
    <w:rsid w:val="003707F4"/>
    <w:rsid w:val="003839BA"/>
    <w:rsid w:val="00387AEF"/>
    <w:rsid w:val="003941F9"/>
    <w:rsid w:val="003D45E5"/>
    <w:rsid w:val="003D6987"/>
    <w:rsid w:val="003E108D"/>
    <w:rsid w:val="00401403"/>
    <w:rsid w:val="00402948"/>
    <w:rsid w:val="00422332"/>
    <w:rsid w:val="004535BF"/>
    <w:rsid w:val="00500184"/>
    <w:rsid w:val="00526547"/>
    <w:rsid w:val="00533507"/>
    <w:rsid w:val="00535D98"/>
    <w:rsid w:val="005448A9"/>
    <w:rsid w:val="00552252"/>
    <w:rsid w:val="00560905"/>
    <w:rsid w:val="0058168B"/>
    <w:rsid w:val="005A0B2E"/>
    <w:rsid w:val="005A18AB"/>
    <w:rsid w:val="005B35D0"/>
    <w:rsid w:val="005C687A"/>
    <w:rsid w:val="005D18D5"/>
    <w:rsid w:val="005D63EA"/>
    <w:rsid w:val="005E6B8A"/>
    <w:rsid w:val="00604435"/>
    <w:rsid w:val="006228CF"/>
    <w:rsid w:val="00626A00"/>
    <w:rsid w:val="00646C9D"/>
    <w:rsid w:val="006570A1"/>
    <w:rsid w:val="00666B89"/>
    <w:rsid w:val="00684B8E"/>
    <w:rsid w:val="00691FED"/>
    <w:rsid w:val="00692B4B"/>
    <w:rsid w:val="006B634D"/>
    <w:rsid w:val="006D7425"/>
    <w:rsid w:val="006E4D8F"/>
    <w:rsid w:val="006E61FA"/>
    <w:rsid w:val="007066AE"/>
    <w:rsid w:val="00716F8B"/>
    <w:rsid w:val="00720E57"/>
    <w:rsid w:val="0074475C"/>
    <w:rsid w:val="00753F0D"/>
    <w:rsid w:val="007736C0"/>
    <w:rsid w:val="00776DE1"/>
    <w:rsid w:val="007A2422"/>
    <w:rsid w:val="007B58A4"/>
    <w:rsid w:val="007B7F7A"/>
    <w:rsid w:val="007C4DF9"/>
    <w:rsid w:val="007E7FDF"/>
    <w:rsid w:val="00802E41"/>
    <w:rsid w:val="00823A33"/>
    <w:rsid w:val="0083063B"/>
    <w:rsid w:val="00832718"/>
    <w:rsid w:val="00846FAA"/>
    <w:rsid w:val="00851686"/>
    <w:rsid w:val="00854C7C"/>
    <w:rsid w:val="008567C5"/>
    <w:rsid w:val="00861A72"/>
    <w:rsid w:val="008849FE"/>
    <w:rsid w:val="008A1B99"/>
    <w:rsid w:val="008C75EE"/>
    <w:rsid w:val="00903501"/>
    <w:rsid w:val="009313F2"/>
    <w:rsid w:val="00956C18"/>
    <w:rsid w:val="009621C9"/>
    <w:rsid w:val="00973AFD"/>
    <w:rsid w:val="00975ED1"/>
    <w:rsid w:val="009A489C"/>
    <w:rsid w:val="009A6266"/>
    <w:rsid w:val="009B2EBF"/>
    <w:rsid w:val="009B4F26"/>
    <w:rsid w:val="009B6C9A"/>
    <w:rsid w:val="009B7D10"/>
    <w:rsid w:val="009C7211"/>
    <w:rsid w:val="009E2AEA"/>
    <w:rsid w:val="00A26F38"/>
    <w:rsid w:val="00A830D2"/>
    <w:rsid w:val="00A84524"/>
    <w:rsid w:val="00A91FF9"/>
    <w:rsid w:val="00A95D4A"/>
    <w:rsid w:val="00AA6386"/>
    <w:rsid w:val="00AB4CAB"/>
    <w:rsid w:val="00AC62FB"/>
    <w:rsid w:val="00AD045E"/>
    <w:rsid w:val="00AD2B20"/>
    <w:rsid w:val="00AE3B43"/>
    <w:rsid w:val="00AF0E5E"/>
    <w:rsid w:val="00B11845"/>
    <w:rsid w:val="00B32413"/>
    <w:rsid w:val="00B470E1"/>
    <w:rsid w:val="00B60C50"/>
    <w:rsid w:val="00B65E4B"/>
    <w:rsid w:val="00B822C7"/>
    <w:rsid w:val="00B92294"/>
    <w:rsid w:val="00BA33AF"/>
    <w:rsid w:val="00BB18A3"/>
    <w:rsid w:val="00BB1D77"/>
    <w:rsid w:val="00BD5442"/>
    <w:rsid w:val="00C1207D"/>
    <w:rsid w:val="00C15049"/>
    <w:rsid w:val="00C15F06"/>
    <w:rsid w:val="00C16C67"/>
    <w:rsid w:val="00C4006C"/>
    <w:rsid w:val="00C41968"/>
    <w:rsid w:val="00C46FCC"/>
    <w:rsid w:val="00C743BD"/>
    <w:rsid w:val="00CB443F"/>
    <w:rsid w:val="00CC3249"/>
    <w:rsid w:val="00CC3BDD"/>
    <w:rsid w:val="00CE08D6"/>
    <w:rsid w:val="00CE26F2"/>
    <w:rsid w:val="00CE695A"/>
    <w:rsid w:val="00CF2C59"/>
    <w:rsid w:val="00CF4D1E"/>
    <w:rsid w:val="00CF7337"/>
    <w:rsid w:val="00D065F6"/>
    <w:rsid w:val="00D1222C"/>
    <w:rsid w:val="00D265F8"/>
    <w:rsid w:val="00D439AD"/>
    <w:rsid w:val="00D44C76"/>
    <w:rsid w:val="00D51EDF"/>
    <w:rsid w:val="00D55F6F"/>
    <w:rsid w:val="00D578FE"/>
    <w:rsid w:val="00D6477F"/>
    <w:rsid w:val="00D70159"/>
    <w:rsid w:val="00D87D6B"/>
    <w:rsid w:val="00D97A60"/>
    <w:rsid w:val="00DA4F30"/>
    <w:rsid w:val="00DA68F7"/>
    <w:rsid w:val="00DB62D3"/>
    <w:rsid w:val="00DD36F5"/>
    <w:rsid w:val="00DD4FF5"/>
    <w:rsid w:val="00DE287A"/>
    <w:rsid w:val="00DF403A"/>
    <w:rsid w:val="00E17A3D"/>
    <w:rsid w:val="00E207E3"/>
    <w:rsid w:val="00E6697C"/>
    <w:rsid w:val="00E72A4B"/>
    <w:rsid w:val="00E756F7"/>
    <w:rsid w:val="00E91CB8"/>
    <w:rsid w:val="00E93138"/>
    <w:rsid w:val="00EB187F"/>
    <w:rsid w:val="00EC0F46"/>
    <w:rsid w:val="00EE78F3"/>
    <w:rsid w:val="00F2146F"/>
    <w:rsid w:val="00F2349F"/>
    <w:rsid w:val="00F23C8C"/>
    <w:rsid w:val="00F326F1"/>
    <w:rsid w:val="00F32806"/>
    <w:rsid w:val="00F434FC"/>
    <w:rsid w:val="00F47AFE"/>
    <w:rsid w:val="00F53352"/>
    <w:rsid w:val="00F55B18"/>
    <w:rsid w:val="00F614A5"/>
    <w:rsid w:val="00F667C5"/>
    <w:rsid w:val="00F73E0E"/>
    <w:rsid w:val="00F81A78"/>
    <w:rsid w:val="00F91FB6"/>
    <w:rsid w:val="00FA1D28"/>
    <w:rsid w:val="00FA445B"/>
    <w:rsid w:val="00FB45B3"/>
    <w:rsid w:val="00FF4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314A"/>
  <w15:chartTrackingRefBased/>
  <w15:docId w15:val="{513A8C27-E5B7-4C30-9FE9-F98C6D82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4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4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4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4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4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4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4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422"/>
    <w:rPr>
      <w:rFonts w:eastAsiaTheme="majorEastAsia" w:cstheme="majorBidi"/>
      <w:color w:val="272727" w:themeColor="text1" w:themeTint="D8"/>
    </w:rPr>
  </w:style>
  <w:style w:type="paragraph" w:styleId="Title">
    <w:name w:val="Title"/>
    <w:basedOn w:val="Normal"/>
    <w:next w:val="Normal"/>
    <w:link w:val="TitleChar"/>
    <w:uiPriority w:val="10"/>
    <w:qFormat/>
    <w:rsid w:val="007A2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422"/>
    <w:pPr>
      <w:spacing w:before="160"/>
      <w:jc w:val="center"/>
    </w:pPr>
    <w:rPr>
      <w:i/>
      <w:iCs/>
      <w:color w:val="404040" w:themeColor="text1" w:themeTint="BF"/>
    </w:rPr>
  </w:style>
  <w:style w:type="character" w:customStyle="1" w:styleId="QuoteChar">
    <w:name w:val="Quote Char"/>
    <w:basedOn w:val="DefaultParagraphFont"/>
    <w:link w:val="Quote"/>
    <w:uiPriority w:val="29"/>
    <w:rsid w:val="007A2422"/>
    <w:rPr>
      <w:i/>
      <w:iCs/>
      <w:color w:val="404040" w:themeColor="text1" w:themeTint="BF"/>
    </w:rPr>
  </w:style>
  <w:style w:type="paragraph" w:styleId="ListParagraph">
    <w:name w:val="List Paragraph"/>
    <w:basedOn w:val="Normal"/>
    <w:uiPriority w:val="34"/>
    <w:qFormat/>
    <w:rsid w:val="007A2422"/>
    <w:pPr>
      <w:ind w:left="720"/>
      <w:contextualSpacing/>
    </w:pPr>
  </w:style>
  <w:style w:type="character" w:styleId="IntenseEmphasis">
    <w:name w:val="Intense Emphasis"/>
    <w:basedOn w:val="DefaultParagraphFont"/>
    <w:uiPriority w:val="21"/>
    <w:qFormat/>
    <w:rsid w:val="007A2422"/>
    <w:rPr>
      <w:i/>
      <w:iCs/>
      <w:color w:val="2F5496" w:themeColor="accent1" w:themeShade="BF"/>
    </w:rPr>
  </w:style>
  <w:style w:type="paragraph" w:styleId="IntenseQuote">
    <w:name w:val="Intense Quote"/>
    <w:basedOn w:val="Normal"/>
    <w:next w:val="Normal"/>
    <w:link w:val="IntenseQuoteChar"/>
    <w:uiPriority w:val="30"/>
    <w:qFormat/>
    <w:rsid w:val="007A2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422"/>
    <w:rPr>
      <w:i/>
      <w:iCs/>
      <w:color w:val="2F5496" w:themeColor="accent1" w:themeShade="BF"/>
    </w:rPr>
  </w:style>
  <w:style w:type="character" w:styleId="IntenseReference">
    <w:name w:val="Intense Reference"/>
    <w:basedOn w:val="DefaultParagraphFont"/>
    <w:uiPriority w:val="32"/>
    <w:qFormat/>
    <w:rsid w:val="007A2422"/>
    <w:rPr>
      <w:b/>
      <w:bCs/>
      <w:smallCaps/>
      <w:color w:val="2F5496" w:themeColor="accent1" w:themeShade="BF"/>
      <w:spacing w:val="5"/>
    </w:rPr>
  </w:style>
  <w:style w:type="character" w:styleId="CommentReference">
    <w:name w:val="annotation reference"/>
    <w:basedOn w:val="DefaultParagraphFont"/>
    <w:uiPriority w:val="99"/>
    <w:semiHidden/>
    <w:unhideWhenUsed/>
    <w:rsid w:val="00CC3249"/>
    <w:rPr>
      <w:sz w:val="16"/>
      <w:szCs w:val="16"/>
    </w:rPr>
  </w:style>
  <w:style w:type="paragraph" w:styleId="CommentText">
    <w:name w:val="annotation text"/>
    <w:basedOn w:val="Normal"/>
    <w:link w:val="CommentTextChar"/>
    <w:uiPriority w:val="99"/>
    <w:unhideWhenUsed/>
    <w:rsid w:val="00CC3249"/>
    <w:pPr>
      <w:spacing w:line="240" w:lineRule="auto"/>
    </w:pPr>
    <w:rPr>
      <w:sz w:val="20"/>
      <w:szCs w:val="20"/>
    </w:rPr>
  </w:style>
  <w:style w:type="character" w:customStyle="1" w:styleId="CommentTextChar">
    <w:name w:val="Comment Text Char"/>
    <w:basedOn w:val="DefaultParagraphFont"/>
    <w:link w:val="CommentText"/>
    <w:uiPriority w:val="99"/>
    <w:rsid w:val="00CC3249"/>
    <w:rPr>
      <w:sz w:val="20"/>
      <w:szCs w:val="20"/>
    </w:rPr>
  </w:style>
  <w:style w:type="paragraph" w:styleId="CommentSubject">
    <w:name w:val="annotation subject"/>
    <w:basedOn w:val="CommentText"/>
    <w:next w:val="CommentText"/>
    <w:link w:val="CommentSubjectChar"/>
    <w:uiPriority w:val="99"/>
    <w:semiHidden/>
    <w:unhideWhenUsed/>
    <w:rsid w:val="00CC3249"/>
    <w:rPr>
      <w:b/>
      <w:bCs/>
    </w:rPr>
  </w:style>
  <w:style w:type="character" w:customStyle="1" w:styleId="CommentSubjectChar">
    <w:name w:val="Comment Subject Char"/>
    <w:basedOn w:val="CommentTextChar"/>
    <w:link w:val="CommentSubject"/>
    <w:uiPriority w:val="99"/>
    <w:semiHidden/>
    <w:rsid w:val="00CC3249"/>
    <w:rPr>
      <w:b/>
      <w:bCs/>
      <w:sz w:val="20"/>
      <w:szCs w:val="20"/>
    </w:rPr>
  </w:style>
  <w:style w:type="character" w:styleId="Hyperlink">
    <w:name w:val="Hyperlink"/>
    <w:basedOn w:val="DefaultParagraphFont"/>
    <w:uiPriority w:val="99"/>
    <w:unhideWhenUsed/>
    <w:rsid w:val="00F2349F"/>
    <w:rPr>
      <w:color w:val="0563C1" w:themeColor="hyperlink"/>
      <w:u w:val="single"/>
    </w:rPr>
  </w:style>
  <w:style w:type="character" w:styleId="UnresolvedMention">
    <w:name w:val="Unresolved Mention"/>
    <w:basedOn w:val="DefaultParagraphFont"/>
    <w:uiPriority w:val="99"/>
    <w:semiHidden/>
    <w:unhideWhenUsed/>
    <w:rsid w:val="00F2349F"/>
    <w:rPr>
      <w:color w:val="605E5C"/>
      <w:shd w:val="clear" w:color="auto" w:fill="E1DFDD"/>
    </w:rPr>
  </w:style>
  <w:style w:type="paragraph" w:styleId="Header">
    <w:name w:val="header"/>
    <w:basedOn w:val="Normal"/>
    <w:link w:val="HeaderChar"/>
    <w:uiPriority w:val="99"/>
    <w:unhideWhenUsed/>
    <w:rsid w:val="00A830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30D2"/>
  </w:style>
  <w:style w:type="paragraph" w:styleId="Footer">
    <w:name w:val="footer"/>
    <w:basedOn w:val="Normal"/>
    <w:link w:val="FooterChar"/>
    <w:uiPriority w:val="99"/>
    <w:unhideWhenUsed/>
    <w:rsid w:val="00A830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30D2"/>
  </w:style>
  <w:style w:type="paragraph" w:styleId="Revision">
    <w:name w:val="Revision"/>
    <w:hidden/>
    <w:uiPriority w:val="99"/>
    <w:semiHidden/>
    <w:rsid w:val="009E2AEA"/>
    <w:pPr>
      <w:spacing w:after="0" w:line="240" w:lineRule="auto"/>
    </w:pPr>
  </w:style>
  <w:style w:type="paragraph" w:styleId="FootnoteText">
    <w:name w:val="footnote text"/>
    <w:basedOn w:val="Normal"/>
    <w:link w:val="FootnoteTextChar"/>
    <w:uiPriority w:val="99"/>
    <w:semiHidden/>
    <w:unhideWhenUsed/>
    <w:rsid w:val="00D87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D6B"/>
    <w:rPr>
      <w:sz w:val="20"/>
      <w:szCs w:val="20"/>
    </w:rPr>
  </w:style>
  <w:style w:type="character" w:styleId="FootnoteReference">
    <w:name w:val="footnote reference"/>
    <w:basedOn w:val="DefaultParagraphFont"/>
    <w:uiPriority w:val="99"/>
    <w:semiHidden/>
    <w:unhideWhenUsed/>
    <w:rsid w:val="00D87D6B"/>
    <w:rPr>
      <w:vertAlign w:val="superscript"/>
    </w:rPr>
  </w:style>
  <w:style w:type="table" w:styleId="TableGrid">
    <w:name w:val="Table Grid"/>
    <w:basedOn w:val="TableNormal"/>
    <w:uiPriority w:val="39"/>
    <w:rsid w:val="007E7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1">
    <w:name w:val="Stils1"/>
    <w:uiPriority w:val="99"/>
    <w:rsid w:val="0032272B"/>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589361">
      <w:bodyDiv w:val="1"/>
      <w:marLeft w:val="0"/>
      <w:marRight w:val="0"/>
      <w:marTop w:val="0"/>
      <w:marBottom w:val="0"/>
      <w:divBdr>
        <w:top w:val="none" w:sz="0" w:space="0" w:color="auto"/>
        <w:left w:val="none" w:sz="0" w:space="0" w:color="auto"/>
        <w:bottom w:val="none" w:sz="0" w:space="0" w:color="auto"/>
        <w:right w:val="none" w:sz="0" w:space="0" w:color="auto"/>
      </w:divBdr>
    </w:div>
    <w:div w:id="1033192221">
      <w:bodyDiv w:val="1"/>
      <w:marLeft w:val="0"/>
      <w:marRight w:val="0"/>
      <w:marTop w:val="0"/>
      <w:marBottom w:val="0"/>
      <w:divBdr>
        <w:top w:val="none" w:sz="0" w:space="0" w:color="auto"/>
        <w:left w:val="none" w:sz="0" w:space="0" w:color="auto"/>
        <w:bottom w:val="none" w:sz="0" w:space="0" w:color="auto"/>
        <w:right w:val="none" w:sz="0" w:space="0" w:color="auto"/>
      </w:divBdr>
      <w:divsChild>
        <w:div w:id="1805389839">
          <w:marLeft w:val="0"/>
          <w:marRight w:val="0"/>
          <w:marTop w:val="0"/>
          <w:marBottom w:val="0"/>
          <w:divBdr>
            <w:top w:val="none" w:sz="0" w:space="0" w:color="auto"/>
            <w:left w:val="none" w:sz="0" w:space="0" w:color="auto"/>
            <w:bottom w:val="none" w:sz="0" w:space="0" w:color="auto"/>
            <w:right w:val="none" w:sz="0" w:space="0" w:color="auto"/>
          </w:divBdr>
        </w:div>
        <w:div w:id="560871112">
          <w:marLeft w:val="0"/>
          <w:marRight w:val="0"/>
          <w:marTop w:val="0"/>
          <w:marBottom w:val="0"/>
          <w:divBdr>
            <w:top w:val="none" w:sz="0" w:space="0" w:color="auto"/>
            <w:left w:val="none" w:sz="0" w:space="0" w:color="auto"/>
            <w:bottom w:val="none" w:sz="0" w:space="0" w:color="auto"/>
            <w:right w:val="none" w:sz="0" w:space="0" w:color="auto"/>
          </w:divBdr>
        </w:div>
      </w:divsChild>
    </w:div>
    <w:div w:id="1109084444">
      <w:bodyDiv w:val="1"/>
      <w:marLeft w:val="0"/>
      <w:marRight w:val="0"/>
      <w:marTop w:val="0"/>
      <w:marBottom w:val="0"/>
      <w:divBdr>
        <w:top w:val="none" w:sz="0" w:space="0" w:color="auto"/>
        <w:left w:val="none" w:sz="0" w:space="0" w:color="auto"/>
        <w:bottom w:val="none" w:sz="0" w:space="0" w:color="auto"/>
        <w:right w:val="none" w:sz="0" w:space="0" w:color="auto"/>
      </w:divBdr>
    </w:div>
    <w:div w:id="2039815567">
      <w:bodyDiv w:val="1"/>
      <w:marLeft w:val="0"/>
      <w:marRight w:val="0"/>
      <w:marTop w:val="0"/>
      <w:marBottom w:val="0"/>
      <w:divBdr>
        <w:top w:val="none" w:sz="0" w:space="0" w:color="auto"/>
        <w:left w:val="none" w:sz="0" w:space="0" w:color="auto"/>
        <w:bottom w:val="none" w:sz="0" w:space="0" w:color="auto"/>
        <w:right w:val="none" w:sz="0" w:space="0" w:color="auto"/>
      </w:divBdr>
      <w:divsChild>
        <w:div w:id="1603106760">
          <w:marLeft w:val="0"/>
          <w:marRight w:val="0"/>
          <w:marTop w:val="0"/>
          <w:marBottom w:val="0"/>
          <w:divBdr>
            <w:top w:val="none" w:sz="0" w:space="0" w:color="auto"/>
            <w:left w:val="none" w:sz="0" w:space="0" w:color="auto"/>
            <w:bottom w:val="none" w:sz="0" w:space="0" w:color="auto"/>
            <w:right w:val="none" w:sz="0" w:space="0" w:color="auto"/>
          </w:divBdr>
        </w:div>
        <w:div w:id="1577395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8919-26F8-42A5-8851-4DB65644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10031</Words>
  <Characters>5718</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Sintija Tenisa</cp:lastModifiedBy>
  <cp:revision>2</cp:revision>
  <cp:lastPrinted>2025-03-10T11:21:00Z</cp:lastPrinted>
  <dcterms:created xsi:type="dcterms:W3CDTF">2025-07-14T12:46:00Z</dcterms:created>
  <dcterms:modified xsi:type="dcterms:W3CDTF">2025-07-14T12:46:00Z</dcterms:modified>
</cp:coreProperties>
</file>