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1E9A" w14:textId="786E84D5" w:rsidR="00E26589" w:rsidRPr="00E56FEB" w:rsidRDefault="00E26589" w:rsidP="00E26589">
      <w:pPr>
        <w:suppressAutoHyphens w:val="0"/>
        <w:jc w:val="right"/>
        <w:rPr>
          <w:lang w:eastAsia="en-US"/>
        </w:rPr>
      </w:pPr>
      <w:r w:rsidRPr="00E56FEB">
        <w:rPr>
          <w:lang w:eastAsia="en-US"/>
        </w:rPr>
        <w:t xml:space="preserve">Projekts uz </w:t>
      </w:r>
      <w:r w:rsidR="00321BAC">
        <w:rPr>
          <w:lang w:eastAsia="en-US"/>
        </w:rPr>
        <w:t>10</w:t>
      </w:r>
      <w:r w:rsidRPr="00E56FEB">
        <w:rPr>
          <w:lang w:eastAsia="en-US"/>
        </w:rPr>
        <w:t>.</w:t>
      </w:r>
      <w:r>
        <w:rPr>
          <w:lang w:eastAsia="en-US"/>
        </w:rPr>
        <w:t>07</w:t>
      </w:r>
      <w:r w:rsidRPr="00E56FEB">
        <w:rPr>
          <w:lang w:eastAsia="en-US"/>
        </w:rPr>
        <w:t>.202</w:t>
      </w:r>
      <w:r w:rsidR="00D25710">
        <w:rPr>
          <w:lang w:eastAsia="en-US"/>
        </w:rPr>
        <w:t>5</w:t>
      </w:r>
      <w:r w:rsidRPr="00E56FEB">
        <w:rPr>
          <w:lang w:eastAsia="en-US"/>
        </w:rPr>
        <w:t>.</w:t>
      </w:r>
    </w:p>
    <w:p w14:paraId="00B7ACFA" w14:textId="77777777" w:rsidR="00E26589" w:rsidRPr="00E56FEB" w:rsidRDefault="00E26589" w:rsidP="00E26589">
      <w:pPr>
        <w:suppressAutoHyphens w:val="0"/>
        <w:jc w:val="right"/>
        <w:rPr>
          <w:lang w:eastAsia="en-US"/>
        </w:rPr>
      </w:pPr>
      <w:r w:rsidRPr="00E56FEB">
        <w:rPr>
          <w:lang w:eastAsia="en-US"/>
        </w:rPr>
        <w:t xml:space="preserve">Vēlamais izskatīšanas laiks: </w:t>
      </w:r>
    </w:p>
    <w:p w14:paraId="21739AAF" w14:textId="24B2AE43" w:rsidR="00E26589" w:rsidRDefault="00E26589" w:rsidP="00E26589">
      <w:pPr>
        <w:suppressAutoHyphens w:val="0"/>
        <w:jc w:val="right"/>
        <w:rPr>
          <w:lang w:eastAsia="en-US"/>
        </w:rPr>
      </w:pPr>
      <w:r w:rsidRPr="00E56FEB">
        <w:rPr>
          <w:lang w:eastAsia="en-US"/>
        </w:rPr>
        <w:t xml:space="preserve">FK </w:t>
      </w:r>
      <w:r>
        <w:rPr>
          <w:lang w:eastAsia="en-US"/>
        </w:rPr>
        <w:t>1</w:t>
      </w:r>
      <w:r w:rsidR="00D25710">
        <w:rPr>
          <w:lang w:eastAsia="en-US"/>
        </w:rPr>
        <w:t>6</w:t>
      </w:r>
      <w:r w:rsidRPr="00E56FEB">
        <w:rPr>
          <w:lang w:eastAsia="en-US"/>
        </w:rPr>
        <w:t>.0</w:t>
      </w:r>
      <w:r>
        <w:rPr>
          <w:lang w:eastAsia="en-US"/>
        </w:rPr>
        <w:t>7</w:t>
      </w:r>
      <w:r w:rsidRPr="00E56FEB">
        <w:rPr>
          <w:lang w:eastAsia="en-US"/>
        </w:rPr>
        <w:t>.202</w:t>
      </w:r>
      <w:r w:rsidR="00D25710">
        <w:rPr>
          <w:lang w:eastAsia="en-US"/>
        </w:rPr>
        <w:t>5</w:t>
      </w:r>
      <w:r w:rsidRPr="00E56FEB">
        <w:rPr>
          <w:lang w:eastAsia="en-US"/>
        </w:rPr>
        <w:t>.</w:t>
      </w:r>
    </w:p>
    <w:p w14:paraId="170F2F61" w14:textId="78C51987" w:rsidR="00DF1FFC" w:rsidRPr="00E56FEB" w:rsidRDefault="00DF1FFC" w:rsidP="00E26589">
      <w:pPr>
        <w:suppressAutoHyphens w:val="0"/>
        <w:jc w:val="right"/>
        <w:rPr>
          <w:lang w:eastAsia="en-US"/>
        </w:rPr>
      </w:pPr>
      <w:r>
        <w:rPr>
          <w:lang w:eastAsia="en-US"/>
        </w:rPr>
        <w:t>Domē: 24.07.2025.</w:t>
      </w:r>
    </w:p>
    <w:p w14:paraId="6B01F753" w14:textId="77777777" w:rsidR="00E26589" w:rsidRPr="00E56FEB" w:rsidRDefault="00E26589" w:rsidP="00E26589">
      <w:pPr>
        <w:suppressAutoHyphens w:val="0"/>
        <w:jc w:val="right"/>
        <w:rPr>
          <w:lang w:eastAsia="en-US"/>
        </w:rPr>
      </w:pPr>
      <w:r w:rsidRPr="00E56FEB">
        <w:rPr>
          <w:lang w:eastAsia="en-US"/>
        </w:rPr>
        <w:t>Sagatavotājs: Oskars Feldmanis</w:t>
      </w:r>
    </w:p>
    <w:p w14:paraId="457A28FF" w14:textId="77777777" w:rsidR="00E26589" w:rsidRPr="00E56FEB" w:rsidRDefault="00E26589" w:rsidP="00E26589">
      <w:pPr>
        <w:suppressAutoHyphens w:val="0"/>
        <w:jc w:val="right"/>
        <w:rPr>
          <w:noProof/>
          <w:lang w:eastAsia="en-US"/>
        </w:rPr>
      </w:pPr>
      <w:r w:rsidRPr="00E56FEB">
        <w:rPr>
          <w:lang w:eastAsia="en-US"/>
        </w:rPr>
        <w:t>Ziņotājs: Oskars Feldmanis</w:t>
      </w:r>
    </w:p>
    <w:p w14:paraId="7A8387D7" w14:textId="77777777" w:rsidR="00E26589" w:rsidRPr="00E56FEB" w:rsidRDefault="00E26589" w:rsidP="00E26589">
      <w:pPr>
        <w:suppressAutoHyphens w:val="0"/>
        <w:jc w:val="right"/>
        <w:rPr>
          <w:noProof/>
          <w:lang w:eastAsia="en-US"/>
        </w:rPr>
      </w:pPr>
    </w:p>
    <w:p w14:paraId="22FF2EB4" w14:textId="77777777" w:rsidR="00E26589" w:rsidRPr="00E56FEB" w:rsidRDefault="00E26589" w:rsidP="00E26589">
      <w:pPr>
        <w:suppressAutoHyphens w:val="0"/>
        <w:jc w:val="center"/>
        <w:rPr>
          <w:lang w:eastAsia="en-US"/>
        </w:rPr>
      </w:pPr>
    </w:p>
    <w:p w14:paraId="32AF82F0" w14:textId="77777777" w:rsidR="00E26589" w:rsidRPr="00E56FEB" w:rsidRDefault="00E26589" w:rsidP="00E26589">
      <w:pPr>
        <w:suppressAutoHyphens w:val="0"/>
        <w:jc w:val="center"/>
        <w:rPr>
          <w:lang w:eastAsia="en-US"/>
        </w:rPr>
      </w:pPr>
      <w:r w:rsidRPr="00E56FEB">
        <w:rPr>
          <w:lang w:eastAsia="en-US"/>
        </w:rPr>
        <w:t>PROTOKOLLĒMUMS</w:t>
      </w:r>
    </w:p>
    <w:p w14:paraId="123EF8F9" w14:textId="7811E209" w:rsidR="00E26589" w:rsidRPr="00E56FEB" w:rsidRDefault="00E26589" w:rsidP="00E26589">
      <w:pPr>
        <w:suppressAutoHyphens w:val="0"/>
        <w:spacing w:before="120"/>
        <w:jc w:val="center"/>
        <w:rPr>
          <w:b/>
          <w:lang w:eastAsia="en-US"/>
        </w:rPr>
      </w:pPr>
      <w:bookmarkStart w:id="0" w:name="_Hlk532217428"/>
      <w:r w:rsidRPr="00E56FEB">
        <w:rPr>
          <w:b/>
          <w:lang w:eastAsia="en-US"/>
        </w:rPr>
        <w:t xml:space="preserve">Par </w:t>
      </w:r>
      <w:bookmarkEnd w:id="0"/>
      <w:r w:rsidR="00D25710">
        <w:rPr>
          <w:b/>
          <w:lang w:eastAsia="en-US"/>
        </w:rPr>
        <w:t xml:space="preserve">automatizētās sistēmas ieviešanu </w:t>
      </w:r>
      <w:r w:rsidR="00DF1FFC">
        <w:rPr>
          <w:b/>
          <w:lang w:eastAsia="en-US"/>
        </w:rPr>
        <w:t xml:space="preserve">pašvaldībā </w:t>
      </w:r>
      <w:r w:rsidR="00D25710">
        <w:rPr>
          <w:b/>
          <w:lang w:eastAsia="en-US"/>
        </w:rPr>
        <w:t>ceļu satiksmes noteikumu ievērošanas kontrol</w:t>
      </w:r>
      <w:r w:rsidR="00DF1FFC">
        <w:rPr>
          <w:b/>
          <w:lang w:eastAsia="en-US"/>
        </w:rPr>
        <w:t>ei</w:t>
      </w:r>
      <w:r w:rsidR="00D25710">
        <w:rPr>
          <w:b/>
          <w:lang w:eastAsia="en-US"/>
        </w:rPr>
        <w:t xml:space="preserve"> </w:t>
      </w:r>
    </w:p>
    <w:p w14:paraId="2F002A13" w14:textId="77777777" w:rsidR="00633B7B" w:rsidRDefault="00E26589" w:rsidP="00D25710">
      <w:pPr>
        <w:suppressAutoHyphens w:val="0"/>
        <w:spacing w:before="120" w:after="120"/>
        <w:jc w:val="both"/>
      </w:pPr>
      <w:r w:rsidRPr="00E26589">
        <w:t>202</w:t>
      </w:r>
      <w:r w:rsidR="00D25710">
        <w:t>5</w:t>
      </w:r>
      <w:r w:rsidRPr="00E26589">
        <w:t>.</w:t>
      </w:r>
      <w:r w:rsidR="00DF1FFC">
        <w:t xml:space="preserve"> </w:t>
      </w:r>
      <w:r w:rsidRPr="00E26589">
        <w:t xml:space="preserve">gada </w:t>
      </w:r>
      <w:r w:rsidR="00D25710">
        <w:t>1.</w:t>
      </w:r>
      <w:r w:rsidR="00DF1FFC">
        <w:t xml:space="preserve"> </w:t>
      </w:r>
      <w:r w:rsidR="00D25710">
        <w:t>janvārī stājās spēkā grozījumi Administratīvās atbildības likumā, nosak</w:t>
      </w:r>
      <w:r w:rsidR="00DF1FFC">
        <w:t>ot</w:t>
      </w:r>
      <w:r w:rsidR="00D25710">
        <w:t xml:space="preserve">, </w:t>
      </w:r>
      <w:proofErr w:type="gramStart"/>
      <w:r w:rsidR="00D25710">
        <w:t>ka</w:t>
      </w:r>
      <w:proofErr w:type="gramEnd"/>
      <w:r w:rsidR="00D25710">
        <w:t xml:space="preserve"> ja pārkāpums ceļu satiksmē tiek fiksēts ar tehniskiem līdzekļiem, neapturot transportlīdzekli, tad lēmumu par administratīvā pārkāpuma procesa uzsākšanu un soda piemērošanu var pieņemt, pamatojoties tikai uz automātisku datu apstrādi.</w:t>
      </w:r>
      <w:r w:rsidR="00CB07FC">
        <w:t xml:space="preserve"> </w:t>
      </w:r>
    </w:p>
    <w:p w14:paraId="0B1D499E" w14:textId="22A50010" w:rsidR="00713FFD" w:rsidRDefault="00DF1FFC" w:rsidP="00D25710">
      <w:pPr>
        <w:suppressAutoHyphens w:val="0"/>
        <w:spacing w:before="120" w:after="120"/>
        <w:jc w:val="both"/>
      </w:pPr>
      <w:r>
        <w:t>Šobrīd</w:t>
      </w:r>
      <w:r w:rsidR="00CB07FC">
        <w:t xml:space="preserve"> Ādažu novada pašvaldības policija (turpmāk – ĀNPP) ceļu satiksmes ievērošanas kontroli veic gan apturot transportlīdzekļus, gan arī izmantojot videonovērošanas sistēmu, </w:t>
      </w:r>
      <w:r>
        <w:t xml:space="preserve">t.i., </w:t>
      </w:r>
      <w:r w:rsidR="00CB07FC">
        <w:t xml:space="preserve">manuāli konstatējot pārkāpumus un uzaicinot transportlīdzekļu īpašniekus </w:t>
      </w:r>
      <w:r>
        <w:t xml:space="preserve">ierasties </w:t>
      </w:r>
      <w:r w:rsidR="00CB07FC">
        <w:t>ĀNPP</w:t>
      </w:r>
      <w:r w:rsidRPr="00DF1FFC">
        <w:t xml:space="preserve"> </w:t>
      </w:r>
      <w:r>
        <w:t>procesuālo darbību veikšanai</w:t>
      </w:r>
      <w:r w:rsidR="00CB07FC">
        <w:t>.</w:t>
      </w:r>
    </w:p>
    <w:p w14:paraId="623956D9" w14:textId="70341FFD" w:rsidR="00733E80" w:rsidRDefault="00D25710" w:rsidP="00D25710">
      <w:pPr>
        <w:suppressAutoHyphens w:val="0"/>
        <w:spacing w:before="120" w:after="120"/>
        <w:jc w:val="both"/>
      </w:pPr>
      <w:r>
        <w:t>2025.</w:t>
      </w:r>
      <w:r w:rsidR="00DF1FFC">
        <w:t xml:space="preserve"> </w:t>
      </w:r>
      <w:r>
        <w:t>gada 26.</w:t>
      </w:r>
      <w:r w:rsidR="00DF1FFC">
        <w:t xml:space="preserve"> </w:t>
      </w:r>
      <w:r>
        <w:t>martā starp pašvaldību un SIA “Latvijas mobilai</w:t>
      </w:r>
      <w:r w:rsidR="0079151E">
        <w:t>s</w:t>
      </w:r>
      <w:r>
        <w:t xml:space="preserve"> telefons” (turpmāk – LMT) tika noslēgts testa līgums</w:t>
      </w:r>
      <w:r w:rsidR="000C4F33">
        <w:t xml:space="preserve"> (turpmāk – Līgums)</w:t>
      </w:r>
      <w:r w:rsidR="00F0787E">
        <w:t xml:space="preserve"> uz trīs mēneš</w:t>
      </w:r>
      <w:r w:rsidR="00DF1FFC">
        <w:t>iem</w:t>
      </w:r>
      <w:r w:rsidR="00F0787E">
        <w:t xml:space="preserve"> </w:t>
      </w:r>
      <w:r>
        <w:t xml:space="preserve">ar mērķi pārliecināties par LMT izstrādāta satiksmes kontroles un uzraudzības video analītikas risinājuma efektivitāti un piemērotību </w:t>
      </w:r>
      <w:r w:rsidR="00DF1FFC">
        <w:t xml:space="preserve">pašvaldības </w:t>
      </w:r>
      <w:r>
        <w:t>vajadzībām.</w:t>
      </w:r>
      <w:r w:rsidR="00CB07FC">
        <w:t xml:space="preserve"> </w:t>
      </w:r>
      <w:r w:rsidR="00DF1FFC">
        <w:t>R</w:t>
      </w:r>
      <w:r w:rsidR="00CB07FC">
        <w:t>isinājums veic ceļu satiksmes pārkāpumu fiksēšanu</w:t>
      </w:r>
      <w:r w:rsidR="002C66E7">
        <w:t xml:space="preserve">, </w:t>
      </w:r>
      <w:r w:rsidR="00876ACA">
        <w:t xml:space="preserve">neapturot transportlīdzekli, </w:t>
      </w:r>
      <w:r w:rsidR="002C66E7">
        <w:t>sagatavo materiālu</w:t>
      </w:r>
      <w:r w:rsidR="00876ACA">
        <w:t>,</w:t>
      </w:r>
      <w:r w:rsidR="002C66E7">
        <w:t xml:space="preserve"> </w:t>
      </w:r>
      <w:r w:rsidR="00103257">
        <w:t>un nosūta to</w:t>
      </w:r>
      <w:r w:rsidR="002C66E7">
        <w:t xml:space="preserve"> VAS “Ceļu satiksmes drošības direkcijai”</w:t>
      </w:r>
      <w:r w:rsidR="006645DC">
        <w:t xml:space="preserve"> (turpmāk – CSDD)</w:t>
      </w:r>
      <w:r w:rsidR="002C66E7">
        <w:t>, kas lēmumu par soda piemērošanu nosūta transportlīdzekļa īpašniekam</w:t>
      </w:r>
      <w:r w:rsidR="00CB07FC">
        <w:t>.</w:t>
      </w:r>
      <w:r w:rsidR="00644CFA">
        <w:t xml:space="preserve"> </w:t>
      </w:r>
    </w:p>
    <w:p w14:paraId="52953F2A" w14:textId="5B66642E" w:rsidR="00D25710" w:rsidRDefault="00644CFA" w:rsidP="00D25710">
      <w:pPr>
        <w:suppressAutoHyphens w:val="0"/>
        <w:spacing w:before="120" w:after="120"/>
        <w:jc w:val="both"/>
      </w:pPr>
      <w:r>
        <w:t>Līguma ietvaros tika uzstādīti divi kontroles punkti Ādažos</w:t>
      </w:r>
      <w:r w:rsidR="00F857CB">
        <w:t xml:space="preserve"> </w:t>
      </w:r>
      <w:proofErr w:type="gramStart"/>
      <w:r w:rsidR="00DF1FFC">
        <w:t>(</w:t>
      </w:r>
      <w:proofErr w:type="gramEnd"/>
      <w:r>
        <w:t xml:space="preserve">Gaujas ielā 6 (kontroles </w:t>
      </w:r>
      <w:r w:rsidR="00DF1FFC">
        <w:t xml:space="preserve">objekts - </w:t>
      </w:r>
      <w:r>
        <w:t>neatļauta nogriešanās pa kreisi abos kustības virzienos un neatļautu apdzīšanas manevru veikšana)</w:t>
      </w:r>
      <w:r w:rsidR="00DF1FFC">
        <w:t>.</w:t>
      </w:r>
      <w:r>
        <w:t xml:space="preserve"> </w:t>
      </w:r>
      <w:r w:rsidR="00DF1FFC">
        <w:t xml:space="preserve">Kontrole </w:t>
      </w:r>
      <w:r>
        <w:t xml:space="preserve">tika veikta ar LMT aparatūru, </w:t>
      </w:r>
      <w:r w:rsidR="00DF1FFC">
        <w:t>bet</w:t>
      </w:r>
      <w:r>
        <w:t xml:space="preserve"> Rīgas gatves un Draudzības ielas krustojumā (kontroles </w:t>
      </w:r>
      <w:r w:rsidR="00DF1FFC">
        <w:t xml:space="preserve">objekts - </w:t>
      </w:r>
      <w:r>
        <w:t>neatļauta nogriešanās pa kreisi), kontrole tika veikta, izveidojot piekļuvi Ā</w:t>
      </w:r>
      <w:r w:rsidR="00F857CB">
        <w:t>NPP</w:t>
      </w:r>
      <w:r>
        <w:t xml:space="preserve"> </w:t>
      </w:r>
      <w:r w:rsidR="00DF1FFC">
        <w:t xml:space="preserve">videonovērošanas </w:t>
      </w:r>
      <w:r>
        <w:t>aparatūrai.</w:t>
      </w:r>
    </w:p>
    <w:p w14:paraId="28AA8E7B" w14:textId="6722CCFB" w:rsidR="000C4F33" w:rsidRDefault="000C4F33" w:rsidP="008B7BCD">
      <w:pPr>
        <w:spacing w:before="120" w:after="120"/>
        <w:jc w:val="both"/>
      </w:pPr>
      <w:r>
        <w:t>Līguma ietvaros līdz 2025.</w:t>
      </w:r>
      <w:r w:rsidR="00DF1FFC">
        <w:t xml:space="preserve"> </w:t>
      </w:r>
      <w:r>
        <w:t xml:space="preserve">gada </w:t>
      </w:r>
      <w:r w:rsidR="00484EC7">
        <w:t>2</w:t>
      </w:r>
      <w:r w:rsidR="00861133">
        <w:t>3</w:t>
      </w:r>
      <w:r w:rsidR="00484EC7">
        <w:t>.</w:t>
      </w:r>
      <w:r w:rsidR="00DF1FFC">
        <w:t xml:space="preserve"> </w:t>
      </w:r>
      <w:r w:rsidR="00484EC7">
        <w:t>jūnijam</w:t>
      </w:r>
      <w:r>
        <w:t xml:space="preserve"> Gaujas ielā 6 dienā </w:t>
      </w:r>
      <w:r w:rsidR="00DF1FFC">
        <w:t xml:space="preserve">vidēji </w:t>
      </w:r>
      <w:r>
        <w:t xml:space="preserve">tika veikti </w:t>
      </w:r>
      <w:r w:rsidR="005E75DB">
        <w:t>159</w:t>
      </w:r>
      <w:r>
        <w:t xml:space="preserve"> pārkāpumi</w:t>
      </w:r>
      <w:r w:rsidR="00CB07FC">
        <w:t xml:space="preserve">, savukārt Rīgas gatves un Draudzības ielas krustojumā </w:t>
      </w:r>
      <w:r w:rsidR="00DF1FFC">
        <w:t>-</w:t>
      </w:r>
      <w:r w:rsidR="00CB07FC">
        <w:t xml:space="preserve"> </w:t>
      </w:r>
      <w:r w:rsidR="005E75DB">
        <w:t>105</w:t>
      </w:r>
      <w:r w:rsidR="00CB07FC">
        <w:t xml:space="preserve"> pārkāpumi.</w:t>
      </w:r>
      <w:r w:rsidR="008526D0">
        <w:t xml:space="preserve"> </w:t>
      </w:r>
      <w:r w:rsidR="00DF1FFC">
        <w:t>Ceļu satiksmes likumā noteikts, ka par neatļautu kreisā pagrieziena manevra veikšanu transportlīdzekļa vadītājam piemēro naudas sodu EUR 30,00 apmērā.</w:t>
      </w:r>
    </w:p>
    <w:p w14:paraId="7B013FF0" w14:textId="712DC391" w:rsidR="006E7F25" w:rsidRPr="00DF1FFC" w:rsidRDefault="00DD27C3" w:rsidP="008B7BCD">
      <w:pPr>
        <w:suppressAutoHyphens w:val="0"/>
        <w:spacing w:before="120" w:after="120"/>
        <w:jc w:val="both"/>
      </w:pPr>
      <w:r>
        <w:t xml:space="preserve">Salīdzinot </w:t>
      </w:r>
      <w:r w:rsidR="00DF1FFC">
        <w:t xml:space="preserve">abu </w:t>
      </w:r>
      <w:r>
        <w:t>risinājum</w:t>
      </w:r>
      <w:r w:rsidR="00DF1FFC">
        <w:t>u</w:t>
      </w:r>
      <w:r>
        <w:t xml:space="preserve"> efektivitāti</w:t>
      </w:r>
      <w:r w:rsidR="00DF1FFC">
        <w:t xml:space="preserve">, konstatēts, ka </w:t>
      </w:r>
      <w:r w:rsidRPr="00DF1FFC">
        <w:t>esošais risinājums</w:t>
      </w:r>
      <w:r w:rsidR="00DF1FFC" w:rsidRPr="00DF1FFC">
        <w:t xml:space="preserve"> (</w:t>
      </w:r>
      <w:r w:rsidR="0061535F" w:rsidRPr="00DF1FFC">
        <w:t>ĀNPP manuāli vei</w:t>
      </w:r>
      <w:r w:rsidR="00DF1FFC" w:rsidRPr="00DF1FFC">
        <w:t>ktās</w:t>
      </w:r>
      <w:r w:rsidR="0061535F" w:rsidRPr="00DF1FFC">
        <w:t xml:space="preserve"> </w:t>
      </w:r>
      <w:r w:rsidR="00DF1FFC" w:rsidRPr="00DF1FFC">
        <w:t>darbības)</w:t>
      </w:r>
      <w:r w:rsidRPr="00DF1FFC">
        <w:t xml:space="preserve"> </w:t>
      </w:r>
      <w:r w:rsidR="00876ACA">
        <w:t>vienas dienas laikā nodrošina</w:t>
      </w:r>
      <w:r w:rsidRPr="00DF1FFC">
        <w:t xml:space="preserve"> vidēji 6 pārkāpum</w:t>
      </w:r>
      <w:r w:rsidR="00DF1FFC" w:rsidRPr="00DF1FFC">
        <w:t>u apstrād</w:t>
      </w:r>
      <w:r w:rsidR="00876ACA">
        <w:t>i</w:t>
      </w:r>
      <w:r w:rsidR="00DF1FFC">
        <w:t xml:space="preserve">, bet </w:t>
      </w:r>
      <w:r w:rsidRPr="00DF1FFC">
        <w:t xml:space="preserve">LMT risinājums – vidēji </w:t>
      </w:r>
      <w:r w:rsidR="00CB0219" w:rsidRPr="00DF1FFC">
        <w:t>194</w:t>
      </w:r>
      <w:r w:rsidRPr="00DF1FFC">
        <w:t xml:space="preserve"> pārkāpum</w:t>
      </w:r>
      <w:r w:rsidR="00DF1FFC">
        <w:t>u apstrād</w:t>
      </w:r>
      <w:r w:rsidR="00876ACA">
        <w:t>i</w:t>
      </w:r>
      <w:r w:rsidR="00DF1FFC">
        <w:t>.</w:t>
      </w:r>
    </w:p>
    <w:p w14:paraId="71A4AE32" w14:textId="679BFC74" w:rsidR="006E7F25" w:rsidRPr="006645DC" w:rsidRDefault="006E7F25" w:rsidP="008B7BCD">
      <w:pPr>
        <w:spacing w:before="120" w:after="120"/>
        <w:jc w:val="both"/>
      </w:pPr>
      <w:r>
        <w:t xml:space="preserve">LMT </w:t>
      </w:r>
      <w:r w:rsidR="00DF1FFC">
        <w:t>piedāvā sav</w:t>
      </w:r>
      <w:r w:rsidR="00876ACA">
        <w:t>u</w:t>
      </w:r>
      <w:r>
        <w:t xml:space="preserve"> </w:t>
      </w:r>
      <w:r w:rsidR="00876ACA">
        <w:t>p</w:t>
      </w:r>
      <w:r w:rsidR="00876ACA" w:rsidRPr="006E7F25">
        <w:t>ilna servisa pakalpojum</w:t>
      </w:r>
      <w:r w:rsidR="00876ACA">
        <w:t>a</w:t>
      </w:r>
      <w:r w:rsidR="00876ACA" w:rsidRPr="006E7F25">
        <w:t xml:space="preserve"> </w:t>
      </w:r>
      <w:r>
        <w:t>risinājum</w:t>
      </w:r>
      <w:r w:rsidR="00876ACA">
        <w:t>u</w:t>
      </w:r>
      <w:r>
        <w:t xml:space="preserve"> di</w:t>
      </w:r>
      <w:r w:rsidR="00D11CCA">
        <w:t>v</w:t>
      </w:r>
      <w:r w:rsidR="00876ACA">
        <w:t>a</w:t>
      </w:r>
      <w:r w:rsidR="00D11CCA">
        <w:t>s alternatīv</w:t>
      </w:r>
      <w:r w:rsidR="00876ACA">
        <w:t>a</w:t>
      </w:r>
      <w:r w:rsidR="00D11CCA">
        <w:t>s (</w:t>
      </w:r>
      <w:r w:rsidRPr="006E7F25">
        <w:t>aparatūras nom</w:t>
      </w:r>
      <w:r w:rsidR="00D11CCA">
        <w:t>a</w:t>
      </w:r>
      <w:r w:rsidRPr="006E7F25">
        <w:t>, uzstādīšan</w:t>
      </w:r>
      <w:r w:rsidR="00D11CCA">
        <w:t>a</w:t>
      </w:r>
      <w:r w:rsidRPr="006E7F25">
        <w:t>, apkalpošan</w:t>
      </w:r>
      <w:r w:rsidR="00D11CCA">
        <w:t>a</w:t>
      </w:r>
      <w:r w:rsidRPr="006E7F25">
        <w:t>, programmatūr</w:t>
      </w:r>
      <w:r w:rsidR="00D11CCA">
        <w:t>a</w:t>
      </w:r>
      <w:r w:rsidR="00615CAC">
        <w:t xml:space="preserve"> </w:t>
      </w:r>
      <w:r w:rsidR="00615CAC" w:rsidRPr="00374A46">
        <w:rPr>
          <w:color w:val="000000" w:themeColor="text1"/>
        </w:rPr>
        <w:t>(par vienu videosistēmu)</w:t>
      </w:r>
      <w:r w:rsidR="00D11CCA">
        <w:rPr>
          <w:color w:val="000000" w:themeColor="text1"/>
        </w:rPr>
        <w:t>)</w:t>
      </w:r>
      <w:r w:rsidR="00D11CCA">
        <w:t>: 1) s</w:t>
      </w:r>
      <w:r w:rsidRPr="00D11CCA">
        <w:t>lēdzot līgumu uz gadu, izmaksas ir EUR 1</w:t>
      </w:r>
      <w:r w:rsidR="000263D1" w:rsidRPr="00D11CCA">
        <w:t>970</w:t>
      </w:r>
      <w:r w:rsidRPr="00D11CCA">
        <w:t>,</w:t>
      </w:r>
      <w:r w:rsidR="000263D1" w:rsidRPr="00D11CCA">
        <w:t>31</w:t>
      </w:r>
      <w:r w:rsidRPr="00D11CCA">
        <w:t xml:space="preserve"> </w:t>
      </w:r>
      <w:r w:rsidR="00D11CCA" w:rsidRPr="00D11CCA">
        <w:t>mēnesī</w:t>
      </w:r>
      <w:r w:rsidR="00D11CCA">
        <w:t>,</w:t>
      </w:r>
      <w:r w:rsidR="00D11CCA" w:rsidRPr="00D11CCA">
        <w:t xml:space="preserve"> </w:t>
      </w:r>
      <w:r w:rsidRPr="00D11CCA">
        <w:t>bez PVN</w:t>
      </w:r>
      <w:r w:rsidR="00D11CCA">
        <w:t>, vai 2) s</w:t>
      </w:r>
      <w:r w:rsidRPr="00D11CCA">
        <w:t>lēdzot līgumu uz 3 gadiem, izmaksas ir EUR 8</w:t>
      </w:r>
      <w:r w:rsidR="000263D1" w:rsidRPr="00D11CCA">
        <w:t>45</w:t>
      </w:r>
      <w:r w:rsidRPr="00D11CCA">
        <w:t>,</w:t>
      </w:r>
      <w:r w:rsidR="000263D1" w:rsidRPr="00D11CCA">
        <w:t>66</w:t>
      </w:r>
      <w:r w:rsidRPr="00D11CCA">
        <w:t xml:space="preserve"> </w:t>
      </w:r>
      <w:r w:rsidR="00D11CCA" w:rsidRPr="00D11CCA">
        <w:t>mēnesī</w:t>
      </w:r>
      <w:r w:rsidR="00D11CCA">
        <w:t>,</w:t>
      </w:r>
      <w:r w:rsidR="00D11CCA" w:rsidRPr="00D11CCA">
        <w:t xml:space="preserve"> </w:t>
      </w:r>
      <w:r w:rsidRPr="00D11CCA">
        <w:t>bez PVN</w:t>
      </w:r>
      <w:r w:rsidR="00182117" w:rsidRPr="00D11CCA">
        <w:t>.</w:t>
      </w:r>
      <w:r w:rsidRPr="00D11CCA">
        <w:t xml:space="preserve"> </w:t>
      </w:r>
    </w:p>
    <w:p w14:paraId="60053544" w14:textId="3AF3145D" w:rsidR="006645DC" w:rsidRDefault="00182117" w:rsidP="006645DC">
      <w:pPr>
        <w:spacing w:before="120" w:after="120"/>
        <w:jc w:val="both"/>
      </w:pPr>
      <w:r w:rsidRPr="00374A46">
        <w:rPr>
          <w:color w:val="000000" w:themeColor="text1"/>
        </w:rPr>
        <w:t xml:space="preserve">Lai nodrošinātu normatīvo aktu prasībām atbilstošu automatizētu lēmumu pieņemšanu un paziņošanu pārkāpējiem, </w:t>
      </w:r>
      <w:r>
        <w:t>n</w:t>
      </w:r>
      <w:r w:rsidR="006645DC">
        <w:t xml:space="preserve">epieciešams arī noslēgt līgumu ar CSDD par pieņemto lēmumu administrēšanu, kas mēnesī </w:t>
      </w:r>
      <w:r w:rsidR="0032461C">
        <w:t xml:space="preserve">ietver abonēšanas maksu EUR 170 </w:t>
      </w:r>
      <w:r w:rsidR="0032461C" w:rsidRPr="00374A46">
        <w:rPr>
          <w:color w:val="000000" w:themeColor="text1"/>
        </w:rPr>
        <w:t xml:space="preserve">un </w:t>
      </w:r>
      <w:r w:rsidRPr="00374A46">
        <w:rPr>
          <w:color w:val="000000" w:themeColor="text1"/>
        </w:rPr>
        <w:t xml:space="preserve">izmaksas </w:t>
      </w:r>
      <w:r>
        <w:t>par vienu pārkāpējam nosūtītu lēmumu (</w:t>
      </w:r>
      <w:r w:rsidR="0032461C">
        <w:t xml:space="preserve">EUR 2,28 </w:t>
      </w:r>
      <w:r w:rsidR="00D11CCA">
        <w:t>-</w:t>
      </w:r>
      <w:r w:rsidR="0032461C">
        <w:t xml:space="preserve"> 3,80</w:t>
      </w:r>
      <w:r>
        <w:t>)</w:t>
      </w:r>
      <w:r w:rsidR="0032461C">
        <w:t>.</w:t>
      </w:r>
    </w:p>
    <w:p w14:paraId="0701D64E" w14:textId="77777777" w:rsidR="00633B7B" w:rsidRDefault="008B0BBF" w:rsidP="00633B7B">
      <w:pPr>
        <w:spacing w:before="120" w:after="120"/>
        <w:jc w:val="both"/>
      </w:pPr>
      <w:r>
        <w:rPr>
          <w:iCs/>
        </w:rPr>
        <w:t>ĀNPP ieskatā, i</w:t>
      </w:r>
      <w:r>
        <w:t>eviešot automatizētu sistēmu ceļu satiksmes noteikumu ievērošanas kontrolē</w:t>
      </w:r>
      <w:r w:rsidR="00633B7B">
        <w:t>:</w:t>
      </w:r>
    </w:p>
    <w:p w14:paraId="6C972B07" w14:textId="1ABC2CAA" w:rsidR="00633B7B" w:rsidRPr="00633B7B" w:rsidRDefault="008B0BBF" w:rsidP="00633B7B">
      <w:pPr>
        <w:pStyle w:val="Sarakstarindkopa"/>
        <w:numPr>
          <w:ilvl w:val="0"/>
          <w:numId w:val="6"/>
        </w:numPr>
        <w:spacing w:before="120"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3B7B">
        <w:rPr>
          <w:rFonts w:ascii="Times New Roman" w:hAnsi="Times New Roman" w:cs="Times New Roman"/>
          <w:sz w:val="24"/>
          <w:szCs w:val="24"/>
        </w:rPr>
        <w:t>ievērojami tiks samazināts administratīvais slogs pašvaldībai</w:t>
      </w:r>
      <w:r w:rsidR="00633B7B" w:rsidRPr="00633B7B">
        <w:rPr>
          <w:rFonts w:ascii="Times New Roman" w:hAnsi="Times New Roman" w:cs="Times New Roman"/>
          <w:sz w:val="24"/>
          <w:szCs w:val="24"/>
        </w:rPr>
        <w:t>;</w:t>
      </w:r>
    </w:p>
    <w:p w14:paraId="4B4AC165" w14:textId="400A440F" w:rsidR="00633B7B" w:rsidRPr="00633B7B" w:rsidRDefault="008B0BBF" w:rsidP="00633B7B">
      <w:pPr>
        <w:pStyle w:val="Sarakstarindkopa"/>
        <w:numPr>
          <w:ilvl w:val="0"/>
          <w:numId w:val="6"/>
        </w:numPr>
        <w:spacing w:before="120"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3B7B">
        <w:rPr>
          <w:rFonts w:ascii="Times New Roman" w:hAnsi="Times New Roman" w:cs="Times New Roman"/>
          <w:sz w:val="24"/>
          <w:szCs w:val="24"/>
        </w:rPr>
        <w:lastRenderedPageBreak/>
        <w:t>ceļu satiksmes noteikumu ievērošanas kontrole</w:t>
      </w:r>
      <w:r w:rsidR="00876ACA" w:rsidRPr="00633B7B">
        <w:rPr>
          <w:rFonts w:ascii="Times New Roman" w:hAnsi="Times New Roman" w:cs="Times New Roman"/>
          <w:sz w:val="24"/>
          <w:szCs w:val="24"/>
        </w:rPr>
        <w:t xml:space="preserve"> būs pilnvērtīgāka</w:t>
      </w:r>
      <w:r w:rsidR="00633B7B" w:rsidRPr="00633B7B">
        <w:rPr>
          <w:rFonts w:ascii="Times New Roman" w:hAnsi="Times New Roman" w:cs="Times New Roman"/>
          <w:sz w:val="24"/>
          <w:szCs w:val="24"/>
        </w:rPr>
        <w:t>;</w:t>
      </w:r>
    </w:p>
    <w:p w14:paraId="57D4F443" w14:textId="1ED5C222" w:rsidR="00633B7B" w:rsidRPr="00633B7B" w:rsidRDefault="008B0BBF" w:rsidP="00633B7B">
      <w:pPr>
        <w:pStyle w:val="Sarakstarindkopa"/>
        <w:numPr>
          <w:ilvl w:val="0"/>
          <w:numId w:val="6"/>
        </w:numPr>
        <w:spacing w:before="120"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3B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pašvaldības</w:t>
      </w:r>
      <w:r w:rsidRPr="00633B7B">
        <w:rPr>
          <w:rFonts w:ascii="Times New Roman" w:hAnsi="Times New Roman" w:cs="Times New Roman"/>
          <w:iCs/>
          <w:sz w:val="24"/>
          <w:szCs w:val="24"/>
        </w:rPr>
        <w:t xml:space="preserve"> policijas </w:t>
      </w:r>
      <w:r w:rsidR="00876ACA" w:rsidRPr="00633B7B">
        <w:rPr>
          <w:rFonts w:ascii="Times New Roman" w:hAnsi="Times New Roman" w:cs="Times New Roman"/>
          <w:iCs/>
          <w:sz w:val="24"/>
          <w:szCs w:val="24"/>
        </w:rPr>
        <w:t xml:space="preserve">darbiniekus </w:t>
      </w:r>
      <w:r w:rsidR="00633B7B" w:rsidRPr="00633B7B">
        <w:rPr>
          <w:rFonts w:ascii="Times New Roman" w:hAnsi="Times New Roman" w:cs="Times New Roman"/>
          <w:iCs/>
          <w:sz w:val="24"/>
          <w:szCs w:val="24"/>
        </w:rPr>
        <w:t xml:space="preserve">varēs </w:t>
      </w:r>
      <w:r w:rsidR="00633B7B" w:rsidRPr="00633B7B">
        <w:rPr>
          <w:rFonts w:ascii="Times New Roman" w:hAnsi="Times New Roman" w:cs="Times New Roman"/>
          <w:iCs/>
          <w:sz w:val="24"/>
          <w:szCs w:val="24"/>
        </w:rPr>
        <w:t xml:space="preserve">nodarbināt </w:t>
      </w:r>
      <w:r w:rsidRPr="00633B7B">
        <w:rPr>
          <w:rFonts w:ascii="Times New Roman" w:hAnsi="Times New Roman" w:cs="Times New Roman"/>
          <w:iCs/>
          <w:sz w:val="24"/>
          <w:szCs w:val="24"/>
        </w:rPr>
        <w:t>citu tiešo pienākumu veikšanai</w:t>
      </w:r>
      <w:r w:rsidR="00633B7B" w:rsidRPr="00633B7B">
        <w:rPr>
          <w:rFonts w:ascii="Times New Roman" w:hAnsi="Times New Roman" w:cs="Times New Roman"/>
          <w:iCs/>
          <w:sz w:val="24"/>
          <w:szCs w:val="24"/>
        </w:rPr>
        <w:t>;</w:t>
      </w:r>
    </w:p>
    <w:p w14:paraId="609C0F5E" w14:textId="4D2EB206" w:rsidR="00830AF7" w:rsidRPr="00633B7B" w:rsidRDefault="008B7BCD" w:rsidP="00633B7B">
      <w:pPr>
        <w:pStyle w:val="Sarakstarindkopa"/>
        <w:numPr>
          <w:ilvl w:val="0"/>
          <w:numId w:val="6"/>
        </w:numPr>
        <w:spacing w:before="120"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B7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33B7B">
        <w:rPr>
          <w:rFonts w:ascii="Times New Roman" w:hAnsi="Times New Roman" w:cs="Times New Roman"/>
          <w:sz w:val="24"/>
          <w:szCs w:val="24"/>
        </w:rPr>
        <w:t xml:space="preserve"> lietderīgi veikt iepirkuma procedūru 3 gadu periodam. </w:t>
      </w:r>
      <w:r w:rsidR="00830AF7" w:rsidRPr="00633B7B">
        <w:rPr>
          <w:rFonts w:ascii="Times New Roman" w:hAnsi="Times New Roman" w:cs="Times New Roman"/>
          <w:sz w:val="24"/>
          <w:szCs w:val="24"/>
        </w:rPr>
        <w:t>Pakalpojuma tehniskajā specifikācijā tiks noteikts nosacījums kameru izvietojuma maiņai bez maksas</w:t>
      </w:r>
      <w:r w:rsidR="00633B7B">
        <w:rPr>
          <w:rFonts w:ascii="Times New Roman" w:hAnsi="Times New Roman" w:cs="Times New Roman"/>
          <w:sz w:val="24"/>
          <w:szCs w:val="24"/>
        </w:rPr>
        <w:t>,</w:t>
      </w:r>
      <w:r w:rsidR="00830AF7" w:rsidRPr="00633B7B">
        <w:rPr>
          <w:rFonts w:ascii="Times New Roman" w:hAnsi="Times New Roman" w:cs="Times New Roman"/>
          <w:sz w:val="24"/>
          <w:szCs w:val="24"/>
        </w:rPr>
        <w:t xml:space="preserve"> ne biežāk, kā 2 reizes mēnesī, kā arī līguma izbeigšan</w:t>
      </w:r>
      <w:r w:rsidR="00633B7B">
        <w:rPr>
          <w:rFonts w:ascii="Times New Roman" w:hAnsi="Times New Roman" w:cs="Times New Roman"/>
          <w:sz w:val="24"/>
          <w:szCs w:val="24"/>
        </w:rPr>
        <w:t>as iespēja</w:t>
      </w:r>
      <w:r w:rsidR="00830AF7" w:rsidRPr="00633B7B">
        <w:rPr>
          <w:rFonts w:ascii="Times New Roman" w:hAnsi="Times New Roman" w:cs="Times New Roman"/>
          <w:sz w:val="24"/>
          <w:szCs w:val="24"/>
        </w:rPr>
        <w:t xml:space="preserve"> bez soda sankcijām, brīdinot 30 dienas iepriekš.</w:t>
      </w:r>
    </w:p>
    <w:p w14:paraId="6555CD96" w14:textId="2C65940F" w:rsidR="008B7BCD" w:rsidRDefault="008B7BCD" w:rsidP="008B7BCD">
      <w:pPr>
        <w:spacing w:before="120" w:after="120"/>
        <w:jc w:val="both"/>
      </w:pPr>
      <w:r>
        <w:t xml:space="preserve">Ieceres izpildei 2025. gadā nepieciešami EUR </w:t>
      </w:r>
      <w:r w:rsidR="00F54CC0">
        <w:t>2536,98, bez PVN</w:t>
      </w:r>
      <w:r w:rsidR="00876ACA">
        <w:t>,</w:t>
      </w:r>
      <w:r w:rsidRPr="007F1D87">
        <w:t xml:space="preserve"> un līgumsaistību </w:t>
      </w:r>
      <w:r w:rsidR="00876ACA">
        <w:t>turpmākās</w:t>
      </w:r>
      <w:r w:rsidR="00876ACA" w:rsidRPr="007F1D87">
        <w:t xml:space="preserve"> izmaksas </w:t>
      </w:r>
      <w:r w:rsidR="00876ACA">
        <w:t xml:space="preserve">ir </w:t>
      </w:r>
      <w:r w:rsidRPr="007F1D87">
        <w:t>iekļaujamas ĀNPP</w:t>
      </w:r>
      <w:r w:rsidR="00876ACA">
        <w:t xml:space="preserve"> nākamo gadu</w:t>
      </w:r>
      <w:r w:rsidRPr="007F1D87">
        <w:t xml:space="preserve"> budžeta projektu tāmēs.</w:t>
      </w:r>
      <w:r>
        <w:t xml:space="preserve"> </w:t>
      </w:r>
    </w:p>
    <w:p w14:paraId="71218E5E" w14:textId="4228047C" w:rsidR="008B7BCD" w:rsidRDefault="008B7BCD" w:rsidP="008B7BCD">
      <w:pPr>
        <w:spacing w:before="120" w:after="120"/>
        <w:jc w:val="both"/>
      </w:pPr>
      <w:r>
        <w:t xml:space="preserve">ĀNPP ieskatā ir lietderīgi </w:t>
      </w:r>
      <w:r w:rsidRPr="008B0BBF">
        <w:t>noslēgt līgumu ar CSDD par pieņemto lēmumu administrēšanu</w:t>
      </w:r>
      <w:r>
        <w:t xml:space="preserve">. Ieceres izpildei 2025. gadā nepieciešami </w:t>
      </w:r>
      <w:r w:rsidRPr="007F1D87">
        <w:t>EUR 510</w:t>
      </w:r>
      <w:r w:rsidR="00876ACA">
        <w:t>,</w:t>
      </w:r>
      <w:r w:rsidRPr="007F1D87">
        <w:t xml:space="preserve"> </w:t>
      </w:r>
      <w:r w:rsidR="00876ACA" w:rsidRPr="007F1D87">
        <w:t xml:space="preserve">un līgumsaistību </w:t>
      </w:r>
      <w:r w:rsidR="00876ACA">
        <w:t>turpmākās</w:t>
      </w:r>
      <w:r w:rsidR="00876ACA" w:rsidRPr="007F1D87">
        <w:t xml:space="preserve"> izmaksas </w:t>
      </w:r>
      <w:r w:rsidR="00876ACA">
        <w:t xml:space="preserve">ir </w:t>
      </w:r>
      <w:r w:rsidR="00876ACA" w:rsidRPr="007F1D87">
        <w:t>iekļaujamas ĀNPP</w:t>
      </w:r>
      <w:r w:rsidR="00876ACA">
        <w:t xml:space="preserve"> nākamo gadu</w:t>
      </w:r>
      <w:r w:rsidR="00876ACA" w:rsidRPr="007F1D87">
        <w:t xml:space="preserve"> budžeta projektu tāmēs</w:t>
      </w:r>
      <w:r w:rsidRPr="007F1D87">
        <w:t>.</w:t>
      </w:r>
      <w:r>
        <w:t xml:space="preserve"> </w:t>
      </w:r>
    </w:p>
    <w:p w14:paraId="2B30708C" w14:textId="4D18EA27" w:rsidR="008B0BBF" w:rsidRDefault="00BF0D52" w:rsidP="008B0BBF">
      <w:pPr>
        <w:spacing w:after="120"/>
        <w:jc w:val="both"/>
        <w:rPr>
          <w:iCs/>
        </w:rPr>
      </w:pPr>
      <w:r>
        <w:rPr>
          <w:iCs/>
        </w:rPr>
        <w:t>Pamatojoties uz Pašvaldību likuma 4.</w:t>
      </w:r>
      <w:r w:rsidR="00D11CCA">
        <w:rPr>
          <w:iCs/>
        </w:rPr>
        <w:t xml:space="preserve"> </w:t>
      </w:r>
      <w:r>
        <w:rPr>
          <w:iCs/>
        </w:rPr>
        <w:t>panta pirmās daļas 14.</w:t>
      </w:r>
      <w:r w:rsidR="00D11CCA">
        <w:rPr>
          <w:iCs/>
        </w:rPr>
        <w:t xml:space="preserve"> </w:t>
      </w:r>
      <w:r>
        <w:rPr>
          <w:iCs/>
        </w:rPr>
        <w:t>punktu,</w:t>
      </w:r>
      <w:r w:rsidR="00505676">
        <w:rPr>
          <w:iCs/>
        </w:rPr>
        <w:t xml:space="preserve"> Administratīvās atbildības likuma 162.</w:t>
      </w:r>
      <w:r w:rsidR="007462CC">
        <w:rPr>
          <w:iCs/>
        </w:rPr>
        <w:t>, 297.</w:t>
      </w:r>
      <w:r w:rsidR="00D11CCA">
        <w:rPr>
          <w:iCs/>
        </w:rPr>
        <w:t xml:space="preserve"> </w:t>
      </w:r>
      <w:r w:rsidR="007C4921">
        <w:rPr>
          <w:iCs/>
        </w:rPr>
        <w:t>un 303.</w:t>
      </w:r>
      <w:r w:rsidR="00D11CCA">
        <w:rPr>
          <w:iCs/>
        </w:rPr>
        <w:t xml:space="preserve"> </w:t>
      </w:r>
      <w:r w:rsidR="007C4921">
        <w:rPr>
          <w:iCs/>
        </w:rPr>
        <w:t>pantu</w:t>
      </w:r>
      <w:r w:rsidR="00505676">
        <w:rPr>
          <w:iCs/>
        </w:rPr>
        <w:t>, Ceļu satiksmes likuma</w:t>
      </w:r>
      <w:r w:rsidR="00182117">
        <w:rPr>
          <w:iCs/>
        </w:rPr>
        <w:t xml:space="preserve"> </w:t>
      </w:r>
      <w:r w:rsidR="00182117" w:rsidRPr="00374A46">
        <w:rPr>
          <w:iCs/>
          <w:color w:val="000000" w:themeColor="text1"/>
        </w:rPr>
        <w:t>43.</w:t>
      </w:r>
      <w:r w:rsidR="00182117" w:rsidRPr="00374A46">
        <w:rPr>
          <w:iCs/>
          <w:color w:val="000000" w:themeColor="text1"/>
          <w:vertAlign w:val="superscript"/>
        </w:rPr>
        <w:t>7</w:t>
      </w:r>
      <w:r w:rsidR="00182117" w:rsidRPr="00374A46">
        <w:rPr>
          <w:iCs/>
          <w:color w:val="000000" w:themeColor="text1"/>
        </w:rPr>
        <w:t xml:space="preserve"> panta pirmo un otro daļu </w:t>
      </w:r>
      <w:r w:rsidR="00182117">
        <w:rPr>
          <w:iCs/>
        </w:rPr>
        <w:t xml:space="preserve">un </w:t>
      </w:r>
      <w:r w:rsidR="00505676">
        <w:rPr>
          <w:iCs/>
        </w:rPr>
        <w:t>83.</w:t>
      </w:r>
      <w:r w:rsidR="00D11CCA">
        <w:rPr>
          <w:iCs/>
        </w:rPr>
        <w:t xml:space="preserve"> </w:t>
      </w:r>
      <w:r w:rsidR="00505676">
        <w:rPr>
          <w:iCs/>
        </w:rPr>
        <w:t>panta trešo daļu,</w:t>
      </w:r>
      <w:r>
        <w:rPr>
          <w:iCs/>
        </w:rPr>
        <w:t xml:space="preserve"> kā arī ņemot vērā</w:t>
      </w:r>
      <w:r w:rsidR="00D11CCA">
        <w:rPr>
          <w:iCs/>
        </w:rPr>
        <w:t xml:space="preserve"> domes Finanšu komitejas 16.07.2025. atzinumu, </w:t>
      </w:r>
    </w:p>
    <w:p w14:paraId="2891EE0A" w14:textId="634814C5" w:rsidR="008B0BBF" w:rsidRPr="00B2645A" w:rsidRDefault="008B0BBF" w:rsidP="008B7BCD">
      <w:pPr>
        <w:spacing w:after="120"/>
        <w:jc w:val="both"/>
      </w:pPr>
      <w:r>
        <w:t>a</w:t>
      </w:r>
      <w:r w:rsidRPr="00B2645A">
        <w:t>tklāti balso</w:t>
      </w:r>
      <w:r>
        <w:t>jot, ar 15 balsīm "Par", "Pret" – nav, "Atturas" – nav,</w:t>
      </w:r>
      <w:r w:rsidRPr="00B2645A">
        <w:t xml:space="preserve"> </w:t>
      </w:r>
      <w:r w:rsidRPr="00A953AA">
        <w:rPr>
          <w:b/>
          <w:bCs/>
        </w:rPr>
        <w:t xml:space="preserve">PAŠVALDĪBAS </w:t>
      </w:r>
      <w:r w:rsidRPr="00B2645A">
        <w:rPr>
          <w:b/>
        </w:rPr>
        <w:t>DOME NOLEMJ</w:t>
      </w:r>
      <w:r w:rsidRPr="00B2645A">
        <w:t>:</w:t>
      </w:r>
    </w:p>
    <w:p w14:paraId="4AB940E1" w14:textId="456B46E8" w:rsidR="005F78F0" w:rsidRPr="008B7BCD" w:rsidRDefault="00D11CCA" w:rsidP="00D11CCA">
      <w:pPr>
        <w:pStyle w:val="Sarakstarindkopa"/>
        <w:numPr>
          <w:ilvl w:val="0"/>
          <w:numId w:val="2"/>
        </w:numPr>
        <w:spacing w:after="120" w:line="240" w:lineRule="auto"/>
        <w:ind w:left="709" w:right="-1" w:hanging="425"/>
        <w:contextualSpacing w:val="0"/>
        <w:jc w:val="both"/>
        <w:rPr>
          <w:rFonts w:ascii="Times New Roman" w:hAnsi="Times New Roman" w:cs="Times New Roman"/>
          <w:color w:val="2E74B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86940">
        <w:rPr>
          <w:rFonts w:ascii="Times New Roman" w:hAnsi="Times New Roman"/>
          <w:sz w:val="24"/>
          <w:szCs w:val="24"/>
        </w:rPr>
        <w:t xml:space="preserve">tbalstīt </w:t>
      </w:r>
      <w:r w:rsidR="00895660">
        <w:rPr>
          <w:rFonts w:ascii="Times New Roman" w:hAnsi="Times New Roman"/>
          <w:sz w:val="24"/>
          <w:szCs w:val="24"/>
        </w:rPr>
        <w:t xml:space="preserve">automatizētās sistēmas ieviešanu </w:t>
      </w:r>
      <w:r>
        <w:rPr>
          <w:rFonts w:ascii="Times New Roman" w:hAnsi="Times New Roman"/>
          <w:sz w:val="24"/>
          <w:szCs w:val="24"/>
        </w:rPr>
        <w:t xml:space="preserve">pašvaldībā </w:t>
      </w:r>
      <w:r w:rsidR="00895660">
        <w:rPr>
          <w:rFonts w:ascii="Times New Roman" w:hAnsi="Times New Roman"/>
          <w:sz w:val="24"/>
          <w:szCs w:val="24"/>
        </w:rPr>
        <w:t>ceļu satiksmes noteikumu pārkāpumu konstatēšanai ar tehniskiem līdzekļiem, neapturot transportlīdzekli,</w:t>
      </w:r>
      <w:r w:rsidR="00E86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paredzot pakalpojuma līguma </w:t>
      </w:r>
      <w:r w:rsidR="00E86940">
        <w:rPr>
          <w:rFonts w:ascii="Times New Roman" w:hAnsi="Times New Roman"/>
          <w:sz w:val="24"/>
          <w:szCs w:val="24"/>
        </w:rPr>
        <w:t>slēgšanu uz trīs gadiem</w:t>
      </w:r>
      <w:r w:rsidR="005F78F0" w:rsidRPr="00374A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F9AC88D" w14:textId="587B830B" w:rsidR="008B0BBF" w:rsidRPr="005F78F0" w:rsidRDefault="008B0BBF" w:rsidP="008B7BCD">
      <w:pPr>
        <w:pStyle w:val="Sarakstarindkopa"/>
        <w:numPr>
          <w:ilvl w:val="0"/>
          <w:numId w:val="2"/>
        </w:numPr>
        <w:spacing w:after="120" w:line="240" w:lineRule="auto"/>
        <w:ind w:left="709" w:right="-1" w:hanging="425"/>
        <w:contextualSpacing w:val="0"/>
        <w:jc w:val="both"/>
        <w:rPr>
          <w:rFonts w:ascii="Times New Roman" w:hAnsi="Times New Roman" w:cs="Times New Roman"/>
          <w:color w:val="2E74B5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Atbalstīt </w:t>
      </w:r>
      <w:r w:rsidRPr="008B0BBF">
        <w:rPr>
          <w:rFonts w:ascii="Times New Roman" w:hAnsi="Times New Roman"/>
          <w:color w:val="000000" w:themeColor="text1"/>
          <w:sz w:val="24"/>
          <w:szCs w:val="24"/>
        </w:rPr>
        <w:t>līgum</w:t>
      </w:r>
      <w:r>
        <w:rPr>
          <w:rFonts w:ascii="Times New Roman" w:hAnsi="Times New Roman"/>
          <w:color w:val="000000" w:themeColor="text1"/>
          <w:sz w:val="24"/>
          <w:szCs w:val="24"/>
        </w:rPr>
        <w:t>a slēgšanu</w:t>
      </w:r>
      <w:r w:rsidRPr="008B0B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ar </w:t>
      </w:r>
      <w:r w:rsidRPr="008B0BBF">
        <w:rPr>
          <w:rFonts w:ascii="Times New Roman" w:hAnsi="Times New Roman"/>
          <w:color w:val="000000" w:themeColor="text1"/>
          <w:sz w:val="24"/>
          <w:szCs w:val="24"/>
        </w:rPr>
        <w:t xml:space="preserve">CSDD </w:t>
      </w:r>
      <w:r>
        <w:rPr>
          <w:rFonts w:ascii="Times New Roman" w:hAnsi="Times New Roman"/>
          <w:sz w:val="24"/>
          <w:szCs w:val="24"/>
        </w:rPr>
        <w:t>1. punkta izpildei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0BBF">
        <w:rPr>
          <w:rFonts w:ascii="Times New Roman" w:hAnsi="Times New Roman"/>
          <w:color w:val="000000" w:themeColor="text1"/>
          <w:sz w:val="24"/>
          <w:szCs w:val="24"/>
        </w:rPr>
        <w:t>par pieņemto lēmumu administrēšanu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par </w:t>
      </w:r>
      <w:r>
        <w:rPr>
          <w:rFonts w:ascii="Times New Roman" w:hAnsi="Times New Roman"/>
          <w:sz w:val="24"/>
          <w:szCs w:val="24"/>
        </w:rPr>
        <w:t xml:space="preserve">ceļu satiksmes noteikumu pārkāpumiem. </w:t>
      </w:r>
    </w:p>
    <w:p w14:paraId="4E1E0EC3" w14:textId="080F2313" w:rsidR="008B7BCD" w:rsidRPr="00DC1E30" w:rsidRDefault="00876ACA" w:rsidP="008B7BCD">
      <w:pPr>
        <w:pStyle w:val="Sarakstarindkopa"/>
        <w:numPr>
          <w:ilvl w:val="0"/>
          <w:numId w:val="2"/>
        </w:numPr>
        <w:spacing w:after="120" w:line="240" w:lineRule="auto"/>
        <w:ind w:left="709" w:right="-1" w:hanging="425"/>
        <w:contextualSpacing w:val="0"/>
        <w:jc w:val="both"/>
        <w:rPr>
          <w:rFonts w:ascii="Times New Roman" w:hAnsi="Times New Roman" w:cs="Times New Roman"/>
          <w:color w:val="2E74B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C1E30">
        <w:rPr>
          <w:rFonts w:ascii="Times New Roman" w:hAnsi="Times New Roman"/>
          <w:sz w:val="24"/>
          <w:szCs w:val="24"/>
        </w:rPr>
        <w:t xml:space="preserve">iešķirt ĀNPP EUR </w:t>
      </w:r>
      <w:r w:rsidR="00F54CC0">
        <w:rPr>
          <w:rFonts w:ascii="Times New Roman" w:hAnsi="Times New Roman"/>
          <w:sz w:val="24"/>
          <w:szCs w:val="24"/>
        </w:rPr>
        <w:t>3580,00</w:t>
      </w:r>
      <w:r w:rsidRPr="00DC1E30">
        <w:rPr>
          <w:rFonts w:ascii="Times New Roman" w:hAnsi="Times New Roman"/>
          <w:sz w:val="24"/>
          <w:szCs w:val="24"/>
        </w:rPr>
        <w:t xml:space="preserve"> šī lēmuma 1. un 2. punkta izpildei 2025. gadā </w:t>
      </w:r>
      <w:r>
        <w:rPr>
          <w:rFonts w:ascii="Times New Roman" w:hAnsi="Times New Roman"/>
          <w:sz w:val="24"/>
          <w:szCs w:val="24"/>
        </w:rPr>
        <w:t>n</w:t>
      </w:r>
      <w:r w:rsidR="008B7BCD" w:rsidRPr="00DC1E30">
        <w:rPr>
          <w:rFonts w:ascii="Times New Roman" w:hAnsi="Times New Roman"/>
          <w:sz w:val="24"/>
          <w:szCs w:val="24"/>
        </w:rPr>
        <w:t xml:space="preserve">o pašvaldības </w:t>
      </w:r>
      <w:r>
        <w:rPr>
          <w:rFonts w:ascii="Times New Roman" w:hAnsi="Times New Roman"/>
          <w:sz w:val="24"/>
          <w:szCs w:val="24"/>
        </w:rPr>
        <w:t xml:space="preserve">2025. gada budžeta </w:t>
      </w:r>
      <w:r w:rsidR="008B7BCD" w:rsidRPr="00DC1E30">
        <w:rPr>
          <w:rFonts w:ascii="Times New Roman" w:hAnsi="Times New Roman"/>
          <w:sz w:val="24"/>
          <w:szCs w:val="24"/>
        </w:rPr>
        <w:t>nesadalītā konta atlikuma un uzdot Centrālās pārvaldes Finanšu nodaļai organizēt grozījumu veikšanu pašvaldības 2025. gada budžetā</w:t>
      </w:r>
      <w:r w:rsidR="008B7BCD" w:rsidRPr="00DC1E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FB0F1" w14:textId="7640C040" w:rsidR="00895660" w:rsidRPr="008B7BCD" w:rsidRDefault="00895660" w:rsidP="00D11CCA">
      <w:pPr>
        <w:pStyle w:val="Sarakstarindkopa"/>
        <w:numPr>
          <w:ilvl w:val="0"/>
          <w:numId w:val="2"/>
        </w:numPr>
        <w:spacing w:after="120" w:line="240" w:lineRule="auto"/>
        <w:ind w:left="709" w:right="-1" w:hanging="425"/>
        <w:contextualSpacing w:val="0"/>
        <w:jc w:val="both"/>
        <w:rPr>
          <w:rFonts w:ascii="Times New Roman" w:hAnsi="Times New Roman"/>
          <w:color w:val="2E74B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Ādažu novada pašvaldības policija</w:t>
      </w:r>
      <w:r w:rsidR="008B0BBF">
        <w:rPr>
          <w:rFonts w:ascii="Times New Roman" w:hAnsi="Times New Roman"/>
          <w:sz w:val="24"/>
          <w:szCs w:val="24"/>
        </w:rPr>
        <w:t>s priekšniekam organizēt nepieciešamās darbības šī lēmuma 1. un 2. punkta izpildei, kā arī paredzēt finanšu līdzekļus ĀNPP budžeta tāmes projektā turpmākajos gados.</w:t>
      </w:r>
    </w:p>
    <w:p w14:paraId="29937EBE" w14:textId="58A2A573" w:rsidR="008B0BBF" w:rsidRPr="008B7BCD" w:rsidRDefault="008B0BBF" w:rsidP="00D11CCA">
      <w:pPr>
        <w:pStyle w:val="Sarakstarindkopa"/>
        <w:numPr>
          <w:ilvl w:val="0"/>
          <w:numId w:val="2"/>
        </w:numPr>
        <w:spacing w:after="120" w:line="240" w:lineRule="auto"/>
        <w:ind w:left="709" w:right="-1" w:hanging="425"/>
        <w:contextualSpacing w:val="0"/>
        <w:jc w:val="both"/>
        <w:rPr>
          <w:rFonts w:ascii="Times New Roman" w:hAnsi="Times New Roman"/>
          <w:color w:val="2E74B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Pašvaldības izpilddirektoram veikt lēmuma izpildes kontroli.</w:t>
      </w:r>
    </w:p>
    <w:p w14:paraId="29726FA4" w14:textId="77777777" w:rsidR="008B0BBF" w:rsidRDefault="008B0BBF" w:rsidP="008B0BBF">
      <w:pPr>
        <w:spacing w:after="120"/>
        <w:ind w:right="-1"/>
        <w:jc w:val="both"/>
        <w:rPr>
          <w:color w:val="2E74B5"/>
        </w:rPr>
      </w:pPr>
    </w:p>
    <w:p w14:paraId="05FD32E7" w14:textId="51A80905" w:rsidR="008B0BBF" w:rsidRDefault="008B0BBF" w:rsidP="008B0BBF">
      <w:pPr>
        <w:spacing w:after="120"/>
        <w:ind w:right="-1"/>
        <w:jc w:val="both"/>
        <w:rPr>
          <w:color w:val="2E74B5"/>
        </w:rPr>
      </w:pPr>
      <w:r>
        <w:rPr>
          <w:color w:val="2E74B5"/>
        </w:rPr>
        <w:t>Sadale:</w:t>
      </w:r>
    </w:p>
    <w:p w14:paraId="0FB04DB0" w14:textId="63C52578" w:rsidR="008B0BBF" w:rsidRPr="008B7BCD" w:rsidRDefault="008B0BBF" w:rsidP="008B7BCD">
      <w:pPr>
        <w:spacing w:after="120"/>
        <w:ind w:right="-1"/>
        <w:jc w:val="both"/>
        <w:rPr>
          <w:color w:val="2E74B5"/>
        </w:rPr>
      </w:pPr>
      <w:r>
        <w:rPr>
          <w:color w:val="2E74B5"/>
        </w:rPr>
        <w:t>@ - ĀNPP, FIN, JIN, IDR</w:t>
      </w:r>
    </w:p>
    <w:p w14:paraId="6A7D3989" w14:textId="157C93E7" w:rsidR="00FC6E5E" w:rsidRDefault="00FC6E5E" w:rsidP="005A2230">
      <w:pPr>
        <w:suppressAutoHyphens w:val="0"/>
        <w:spacing w:before="120"/>
        <w:jc w:val="both"/>
      </w:pPr>
    </w:p>
    <w:sectPr w:rsidR="00FC6E5E" w:rsidSect="00FD111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281"/>
    <w:multiLevelType w:val="hybridMultilevel"/>
    <w:tmpl w:val="3D26691C"/>
    <w:lvl w:ilvl="0" w:tplc="6EC05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8F68DF4" w:tentative="1">
      <w:start w:val="1"/>
      <w:numFmt w:val="lowerLetter"/>
      <w:lvlText w:val="%2."/>
      <w:lvlJc w:val="left"/>
      <w:pPr>
        <w:ind w:left="1440" w:hanging="360"/>
      </w:pPr>
    </w:lvl>
    <w:lvl w:ilvl="2" w:tplc="70AC1328" w:tentative="1">
      <w:start w:val="1"/>
      <w:numFmt w:val="lowerRoman"/>
      <w:lvlText w:val="%3."/>
      <w:lvlJc w:val="right"/>
      <w:pPr>
        <w:ind w:left="2160" w:hanging="180"/>
      </w:pPr>
    </w:lvl>
    <w:lvl w:ilvl="3" w:tplc="4EE4E646" w:tentative="1">
      <w:start w:val="1"/>
      <w:numFmt w:val="decimal"/>
      <w:lvlText w:val="%4."/>
      <w:lvlJc w:val="left"/>
      <w:pPr>
        <w:ind w:left="2880" w:hanging="360"/>
      </w:pPr>
    </w:lvl>
    <w:lvl w:ilvl="4" w:tplc="C172EB36" w:tentative="1">
      <w:start w:val="1"/>
      <w:numFmt w:val="lowerLetter"/>
      <w:lvlText w:val="%5."/>
      <w:lvlJc w:val="left"/>
      <w:pPr>
        <w:ind w:left="3600" w:hanging="360"/>
      </w:pPr>
    </w:lvl>
    <w:lvl w:ilvl="5" w:tplc="FF563572" w:tentative="1">
      <w:start w:val="1"/>
      <w:numFmt w:val="lowerRoman"/>
      <w:lvlText w:val="%6."/>
      <w:lvlJc w:val="right"/>
      <w:pPr>
        <w:ind w:left="4320" w:hanging="180"/>
      </w:pPr>
    </w:lvl>
    <w:lvl w:ilvl="6" w:tplc="E1F2ACFE" w:tentative="1">
      <w:start w:val="1"/>
      <w:numFmt w:val="decimal"/>
      <w:lvlText w:val="%7."/>
      <w:lvlJc w:val="left"/>
      <w:pPr>
        <w:ind w:left="5040" w:hanging="360"/>
      </w:pPr>
    </w:lvl>
    <w:lvl w:ilvl="7" w:tplc="1E702AC4" w:tentative="1">
      <w:start w:val="1"/>
      <w:numFmt w:val="lowerLetter"/>
      <w:lvlText w:val="%8."/>
      <w:lvlJc w:val="left"/>
      <w:pPr>
        <w:ind w:left="5760" w:hanging="360"/>
      </w:pPr>
    </w:lvl>
    <w:lvl w:ilvl="8" w:tplc="F6BE7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609"/>
    <w:multiLevelType w:val="hybridMultilevel"/>
    <w:tmpl w:val="6FD6C8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5624"/>
    <w:multiLevelType w:val="multilevel"/>
    <w:tmpl w:val="76586F9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C23CA6"/>
    <w:multiLevelType w:val="hybridMultilevel"/>
    <w:tmpl w:val="B9FC8C3A"/>
    <w:lvl w:ilvl="0" w:tplc="190EB7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C6315"/>
    <w:multiLevelType w:val="multilevel"/>
    <w:tmpl w:val="F5288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8430D7"/>
    <w:multiLevelType w:val="hybridMultilevel"/>
    <w:tmpl w:val="B3B0F7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7780">
    <w:abstractNumId w:val="4"/>
  </w:num>
  <w:num w:numId="2" w16cid:durableId="98185993">
    <w:abstractNumId w:val="0"/>
  </w:num>
  <w:num w:numId="3" w16cid:durableId="1450246227">
    <w:abstractNumId w:val="3"/>
  </w:num>
  <w:num w:numId="4" w16cid:durableId="1735614987">
    <w:abstractNumId w:val="1"/>
  </w:num>
  <w:num w:numId="5" w16cid:durableId="1081296789">
    <w:abstractNumId w:val="5"/>
  </w:num>
  <w:num w:numId="6" w16cid:durableId="151448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67"/>
    <w:rsid w:val="0002430F"/>
    <w:rsid w:val="000263D1"/>
    <w:rsid w:val="00026CCD"/>
    <w:rsid w:val="00041727"/>
    <w:rsid w:val="000C4F33"/>
    <w:rsid w:val="000F45D4"/>
    <w:rsid w:val="00103257"/>
    <w:rsid w:val="00140367"/>
    <w:rsid w:val="00160D1A"/>
    <w:rsid w:val="00182117"/>
    <w:rsid w:val="00191811"/>
    <w:rsid w:val="001919E1"/>
    <w:rsid w:val="001C0B02"/>
    <w:rsid w:val="001C73BD"/>
    <w:rsid w:val="002041F6"/>
    <w:rsid w:val="00274335"/>
    <w:rsid w:val="00280364"/>
    <w:rsid w:val="00283566"/>
    <w:rsid w:val="002901D8"/>
    <w:rsid w:val="002C66E7"/>
    <w:rsid w:val="00321BAC"/>
    <w:rsid w:val="0032461C"/>
    <w:rsid w:val="00326813"/>
    <w:rsid w:val="00332CD3"/>
    <w:rsid w:val="00341A64"/>
    <w:rsid w:val="003612B5"/>
    <w:rsid w:val="00374A46"/>
    <w:rsid w:val="003B145F"/>
    <w:rsid w:val="00433483"/>
    <w:rsid w:val="00484EC7"/>
    <w:rsid w:val="004D23BE"/>
    <w:rsid w:val="004E41B5"/>
    <w:rsid w:val="00505676"/>
    <w:rsid w:val="00573D24"/>
    <w:rsid w:val="005900D0"/>
    <w:rsid w:val="005A2230"/>
    <w:rsid w:val="005E75DB"/>
    <w:rsid w:val="005F78F0"/>
    <w:rsid w:val="0061535F"/>
    <w:rsid w:val="00615CAC"/>
    <w:rsid w:val="00615E76"/>
    <w:rsid w:val="00633B7B"/>
    <w:rsid w:val="00644CFA"/>
    <w:rsid w:val="006645DC"/>
    <w:rsid w:val="006A2395"/>
    <w:rsid w:val="006C6BDA"/>
    <w:rsid w:val="006E7F25"/>
    <w:rsid w:val="007049BA"/>
    <w:rsid w:val="00713FFD"/>
    <w:rsid w:val="00733E80"/>
    <w:rsid w:val="007462CC"/>
    <w:rsid w:val="0079151E"/>
    <w:rsid w:val="00793839"/>
    <w:rsid w:val="007C4921"/>
    <w:rsid w:val="007D5A8C"/>
    <w:rsid w:val="00830AF7"/>
    <w:rsid w:val="008526D0"/>
    <w:rsid w:val="00861133"/>
    <w:rsid w:val="00876ACA"/>
    <w:rsid w:val="00895660"/>
    <w:rsid w:val="008B0BBF"/>
    <w:rsid w:val="008B7BCD"/>
    <w:rsid w:val="00964C2B"/>
    <w:rsid w:val="00983EAD"/>
    <w:rsid w:val="009B2075"/>
    <w:rsid w:val="009D393C"/>
    <w:rsid w:val="00AE55D5"/>
    <w:rsid w:val="00B20FBD"/>
    <w:rsid w:val="00BF0D52"/>
    <w:rsid w:val="00C204D8"/>
    <w:rsid w:val="00CB0219"/>
    <w:rsid w:val="00CB07FC"/>
    <w:rsid w:val="00CB1031"/>
    <w:rsid w:val="00CE657F"/>
    <w:rsid w:val="00D11CCA"/>
    <w:rsid w:val="00D25710"/>
    <w:rsid w:val="00DD27C3"/>
    <w:rsid w:val="00DF1862"/>
    <w:rsid w:val="00DF1FFC"/>
    <w:rsid w:val="00E26589"/>
    <w:rsid w:val="00E86940"/>
    <w:rsid w:val="00F0787E"/>
    <w:rsid w:val="00F54CC0"/>
    <w:rsid w:val="00F857CB"/>
    <w:rsid w:val="00FC6E5E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572D3"/>
  <w15:chartTrackingRefBased/>
  <w15:docId w15:val="{DB623B26-2225-42E6-AFAC-9FC7BED3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6589"/>
    <w:pPr>
      <w:suppressAutoHyphens/>
      <w:spacing w:after="0"/>
      <w:jc w:val="left"/>
    </w:pPr>
    <w:rPr>
      <w:rFonts w:eastAsia="Times New Roman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3612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skatjums">
    <w:name w:val="Revision"/>
    <w:hidden/>
    <w:uiPriority w:val="99"/>
    <w:semiHidden/>
    <w:rsid w:val="00182117"/>
    <w:pPr>
      <w:spacing w:after="0"/>
      <w:jc w:val="left"/>
    </w:pPr>
    <w:rPr>
      <w:rFonts w:eastAsia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Meija</dc:creator>
  <cp:keywords/>
  <dc:description/>
  <cp:lastModifiedBy>Guntis Porietis</cp:lastModifiedBy>
  <cp:revision>8</cp:revision>
  <cp:lastPrinted>2025-07-07T12:29:00Z</cp:lastPrinted>
  <dcterms:created xsi:type="dcterms:W3CDTF">2025-07-08T05:59:00Z</dcterms:created>
  <dcterms:modified xsi:type="dcterms:W3CDTF">2025-07-17T12:29:00Z</dcterms:modified>
</cp:coreProperties>
</file>