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4B3A" w14:textId="77777777" w:rsidR="004D516C" w:rsidRDefault="009507A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989B3" w14:textId="77777777" w:rsidR="00564CA6" w:rsidRPr="00564CA6" w:rsidRDefault="009507A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9E443DE" w14:textId="77777777" w:rsidR="00564CA6" w:rsidRPr="00564CA6" w:rsidRDefault="009507A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50C49BB" w14:textId="77777777" w:rsidR="00564CA6" w:rsidRPr="00564CA6" w:rsidRDefault="009507A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375599D" w14:textId="169A2FF9" w:rsidR="00564CA6" w:rsidRPr="00564CA6" w:rsidRDefault="009507AC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04330D">
        <w:rPr>
          <w:rFonts w:ascii="Times New Roman" w:hAnsi="Times New Roman" w:cs="Times New Roman"/>
        </w:rPr>
        <w:t>5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 w:rsidR="00A54CE3">
        <w:rPr>
          <w:rFonts w:ascii="Times New Roman" w:hAnsi="Times New Roman" w:cs="Times New Roman"/>
        </w:rPr>
        <w:t>29.</w:t>
      </w:r>
      <w:r w:rsidR="004F7929">
        <w:rPr>
          <w:rFonts w:ascii="Times New Roman" w:hAnsi="Times New Roman" w:cs="Times New Roman"/>
        </w:rPr>
        <w:t xml:space="preserve"> </w:t>
      </w:r>
      <w:r w:rsidR="00A54CE3">
        <w:rPr>
          <w:rFonts w:ascii="Times New Roman" w:hAnsi="Times New Roman" w:cs="Times New Roman"/>
        </w:rPr>
        <w:t>maijā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9507AC">
        <w:rPr>
          <w:rFonts w:ascii="Times New Roman" w:hAnsi="Times New Roman" w:cs="Times New Roman"/>
          <w:b/>
          <w:bCs/>
          <w:noProof/>
        </w:rPr>
        <w:t>181</w:t>
      </w:r>
    </w:p>
    <w:p w14:paraId="17FB84E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9FA3541" w14:textId="1030FA18" w:rsidR="0004330D" w:rsidRDefault="009507AC" w:rsidP="0004330D">
      <w:pPr>
        <w:pStyle w:val="Style6"/>
        <w:widowControl/>
      </w:pPr>
      <w:r w:rsidRPr="0065513B">
        <w:rPr>
          <w:rFonts w:ascii="Times New Roman" w:hAnsi="Times New Roman" w:cs="Times New Roman"/>
          <w:b/>
        </w:rPr>
        <w:t xml:space="preserve">Par kultūras projektu </w:t>
      </w:r>
      <w:r w:rsidRPr="0004330D">
        <w:rPr>
          <w:rStyle w:val="FontStyle19"/>
          <w:color w:val="000000" w:themeColor="text1"/>
          <w:sz w:val="24"/>
          <w:szCs w:val="24"/>
        </w:rPr>
        <w:t>“</w:t>
      </w:r>
      <w:r w:rsidR="00A54CE3" w:rsidRPr="00A54CE3">
        <w:rPr>
          <w:rFonts w:ascii="Times New Roman" w:hAnsi="Times New Roman" w:cs="Times New Roman"/>
          <w:b/>
          <w:bCs/>
          <w:color w:val="000000"/>
        </w:rPr>
        <w:t>Grāmatas “Dzimuši Sibīrijā” prezentācij</w:t>
      </w:r>
      <w:r w:rsidR="00914558">
        <w:rPr>
          <w:rFonts w:ascii="Times New Roman" w:hAnsi="Times New Roman" w:cs="Times New Roman"/>
          <w:b/>
          <w:bCs/>
          <w:color w:val="000000"/>
        </w:rPr>
        <w:t>u</w:t>
      </w:r>
      <w:r w:rsidR="00A54CE3" w:rsidRPr="00A54CE3">
        <w:rPr>
          <w:rFonts w:ascii="Times New Roman" w:hAnsi="Times New Roman" w:cs="Times New Roman"/>
          <w:b/>
          <w:bCs/>
          <w:color w:val="000000"/>
        </w:rPr>
        <w:t xml:space="preserve"> un izstād</w:t>
      </w:r>
      <w:r w:rsidR="00914558">
        <w:rPr>
          <w:rFonts w:ascii="Times New Roman" w:hAnsi="Times New Roman" w:cs="Times New Roman"/>
          <w:b/>
          <w:bCs/>
          <w:color w:val="000000"/>
        </w:rPr>
        <w:t>i</w:t>
      </w:r>
      <w:r w:rsidR="00A54CE3" w:rsidRPr="00A54CE3">
        <w:rPr>
          <w:rFonts w:ascii="Times New Roman" w:hAnsi="Times New Roman" w:cs="Times New Roman"/>
          <w:b/>
          <w:bCs/>
          <w:color w:val="000000"/>
        </w:rPr>
        <w:t xml:space="preserve"> par 1941. un 1949.</w:t>
      </w:r>
      <w:r w:rsidR="0091455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54CE3" w:rsidRPr="00A54CE3">
        <w:rPr>
          <w:rFonts w:ascii="Times New Roman" w:hAnsi="Times New Roman" w:cs="Times New Roman"/>
          <w:b/>
          <w:bCs/>
          <w:color w:val="000000"/>
        </w:rPr>
        <w:t>gada deportācijām</w:t>
      </w:r>
      <w:r w:rsidR="00914558">
        <w:rPr>
          <w:rStyle w:val="FontStyle19"/>
          <w:color w:val="000000" w:themeColor="text1"/>
        </w:rPr>
        <w:t>”</w:t>
      </w:r>
    </w:p>
    <w:p w14:paraId="381AB740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3F4E8A4" w14:textId="208FBEB6" w:rsidR="001524EA" w:rsidRPr="00A54CE3" w:rsidRDefault="009507AC" w:rsidP="004F7929">
      <w:pPr>
        <w:tabs>
          <w:tab w:val="left" w:leader="underscore" w:pos="8928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914558">
        <w:rPr>
          <w:rFonts w:ascii="Times New Roman" w:hAnsi="Times New Roman" w:cs="Times New Roman"/>
        </w:rPr>
        <w:t xml:space="preserve">izskatīja 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>n</w:t>
      </w:r>
      <w:r w:rsidR="00A54CE3" w:rsidRPr="00F17A0C">
        <w:rPr>
          <w:rFonts w:ascii="Times New Roman" w:eastAsia="Times New Roman" w:hAnsi="Times New Roman" w:cs="Times New Roman"/>
          <w:color w:val="000000"/>
          <w:lang w:eastAsia="lv-LV"/>
        </w:rPr>
        <w:t>odibinājum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>a</w:t>
      </w:r>
      <w:r w:rsidR="00A54CE3" w:rsidRPr="00F17A0C">
        <w:rPr>
          <w:rFonts w:ascii="Times New Roman" w:eastAsia="Times New Roman" w:hAnsi="Times New Roman" w:cs="Times New Roman"/>
          <w:color w:val="000000"/>
          <w:lang w:eastAsia="lv-LV"/>
        </w:rPr>
        <w:t xml:space="preserve"> “Komunistiskā terora upuru atbalsta un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F17A0C">
        <w:rPr>
          <w:rFonts w:ascii="Times New Roman" w:eastAsia="Times New Roman" w:hAnsi="Times New Roman" w:cs="Times New Roman"/>
          <w:color w:val="000000"/>
          <w:lang w:eastAsia="lv-LV"/>
        </w:rPr>
        <w:t>palīdzības fonds “Sibīrijas bērni””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65513B">
        <w:rPr>
          <w:rFonts w:ascii="Times New Roman" w:hAnsi="Times New Roman" w:cs="Times New Roman"/>
        </w:rPr>
        <w:t>(</w:t>
      </w:r>
      <w:proofErr w:type="spellStart"/>
      <w:r w:rsidR="00A54CE3">
        <w:rPr>
          <w:rFonts w:ascii="Times New Roman" w:hAnsi="Times New Roman" w:cs="Times New Roman"/>
        </w:rPr>
        <w:t>reģ</w:t>
      </w:r>
      <w:proofErr w:type="spellEnd"/>
      <w:r w:rsidR="00A54CE3">
        <w:rPr>
          <w:rFonts w:ascii="Times New Roman" w:hAnsi="Times New Roman" w:cs="Times New Roman"/>
        </w:rPr>
        <w:t>.</w:t>
      </w:r>
      <w:r w:rsidR="00914558">
        <w:rPr>
          <w:rFonts w:ascii="Times New Roman" w:hAnsi="Times New Roman" w:cs="Times New Roman"/>
        </w:rPr>
        <w:t xml:space="preserve"> </w:t>
      </w:r>
      <w:r w:rsidR="00A54CE3">
        <w:rPr>
          <w:rFonts w:ascii="Times New Roman" w:hAnsi="Times New Roman" w:cs="Times New Roman"/>
        </w:rPr>
        <w:t>Nr.</w:t>
      </w:r>
      <w:r w:rsidR="00914558">
        <w:rPr>
          <w:rFonts w:ascii="Times New Roman" w:hAnsi="Times New Roman" w:cs="Times New Roman"/>
        </w:rPr>
        <w:t xml:space="preserve"> </w:t>
      </w:r>
      <w:r w:rsidR="00A54CE3">
        <w:rPr>
          <w:rFonts w:ascii="Times New Roman" w:hAnsi="Times New Roman" w:cs="Times New Roman"/>
        </w:rPr>
        <w:t>40008057169</w:t>
      </w:r>
      <w:r w:rsidRPr="0004330D">
        <w:rPr>
          <w:rFonts w:ascii="Times New Roman" w:hAnsi="Times New Roman" w:cs="Times New Roman"/>
        </w:rPr>
        <w:t xml:space="preserve">, adrese: </w:t>
      </w:r>
      <w:r w:rsidR="00A54CE3" w:rsidRPr="007A24BF">
        <w:rPr>
          <w:rFonts w:ascii="Times New Roman" w:eastAsia="Times New Roman" w:hAnsi="Times New Roman" w:cs="Times New Roman"/>
          <w:color w:val="000000"/>
          <w:lang w:eastAsia="lv-LV"/>
        </w:rPr>
        <w:t>Graudu iela 41a, Rīga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04330D">
        <w:rPr>
          <w:rFonts w:ascii="Times New Roman" w:hAnsi="Times New Roman" w:cs="Times New Roman"/>
        </w:rPr>
        <w:t>(turpmāk - Iesniedzējs)) 202</w:t>
      </w:r>
      <w:r w:rsidR="00927D47">
        <w:rPr>
          <w:rFonts w:ascii="Times New Roman" w:hAnsi="Times New Roman" w:cs="Times New Roman"/>
        </w:rPr>
        <w:t>5</w:t>
      </w:r>
      <w:r w:rsidRPr="0004330D">
        <w:rPr>
          <w:rFonts w:ascii="Times New Roman" w:hAnsi="Times New Roman" w:cs="Times New Roman"/>
        </w:rPr>
        <w:t>.</w:t>
      </w:r>
      <w:r w:rsidR="00927D47">
        <w:rPr>
          <w:rFonts w:ascii="Times New Roman" w:hAnsi="Times New Roman" w:cs="Times New Roman"/>
        </w:rPr>
        <w:t xml:space="preserve"> </w:t>
      </w:r>
      <w:r w:rsidRPr="0004330D">
        <w:rPr>
          <w:rFonts w:ascii="Times New Roman" w:hAnsi="Times New Roman" w:cs="Times New Roman"/>
        </w:rPr>
        <w:t xml:space="preserve">gada </w:t>
      </w:r>
      <w:r w:rsidR="00A54CE3">
        <w:rPr>
          <w:rFonts w:ascii="Times New Roman" w:hAnsi="Times New Roman" w:cs="Times New Roman"/>
        </w:rPr>
        <w:t>3.</w:t>
      </w:r>
      <w:r w:rsidR="00914558">
        <w:rPr>
          <w:rFonts w:ascii="Times New Roman" w:hAnsi="Times New Roman" w:cs="Times New Roman"/>
        </w:rPr>
        <w:t xml:space="preserve"> </w:t>
      </w:r>
      <w:r w:rsidR="00A54CE3">
        <w:rPr>
          <w:rFonts w:ascii="Times New Roman" w:hAnsi="Times New Roman" w:cs="Times New Roman"/>
        </w:rPr>
        <w:t>aprīlī saņemto</w:t>
      </w:r>
      <w:r w:rsidR="00A54CE3" w:rsidRPr="0004330D">
        <w:rPr>
          <w:rFonts w:ascii="Times New Roman" w:hAnsi="Times New Roman" w:cs="Times New Roman"/>
        </w:rPr>
        <w:t xml:space="preserve"> </w:t>
      </w:r>
      <w:r w:rsidRPr="0004330D">
        <w:rPr>
          <w:rFonts w:ascii="Times New Roman" w:hAnsi="Times New Roman" w:cs="Times New Roman"/>
        </w:rPr>
        <w:t xml:space="preserve">projekta </w:t>
      </w:r>
      <w:r w:rsidR="00A54CE3" w:rsidRPr="009507AC">
        <w:rPr>
          <w:rStyle w:val="FontStyle19"/>
          <w:b w:val="0"/>
          <w:bCs w:val="0"/>
          <w:color w:val="000000" w:themeColor="text1"/>
          <w:sz w:val="24"/>
          <w:szCs w:val="24"/>
        </w:rPr>
        <w:t>“</w:t>
      </w:r>
      <w:r w:rsidR="00A54CE3" w:rsidRPr="009507AC">
        <w:rPr>
          <w:rFonts w:ascii="Times New Roman" w:eastAsia="Times New Roman" w:hAnsi="Times New Roman" w:cs="Times New Roman"/>
          <w:bCs/>
          <w:color w:val="000000"/>
          <w:lang w:eastAsia="lv-LV"/>
        </w:rPr>
        <w:t>Grāmatas “Dzimuši Sibīrijā” prezentācija un izstāde par 1941. un 1949.</w:t>
      </w:r>
      <w:r w:rsidR="00914558" w:rsidRPr="009507A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  <w:r w:rsidR="00A54CE3" w:rsidRPr="009507AC">
        <w:rPr>
          <w:rFonts w:ascii="Times New Roman" w:eastAsia="Times New Roman" w:hAnsi="Times New Roman" w:cs="Times New Roman"/>
          <w:bCs/>
          <w:color w:val="000000"/>
          <w:lang w:eastAsia="lv-LV"/>
        </w:rPr>
        <w:t>gada deportācijām</w:t>
      </w:r>
      <w:r w:rsidR="0004330D" w:rsidRPr="009507AC">
        <w:rPr>
          <w:rStyle w:val="FontStyle19"/>
          <w:b w:val="0"/>
          <w:bCs w:val="0"/>
          <w:color w:val="000000" w:themeColor="text1"/>
          <w:sz w:val="24"/>
          <w:szCs w:val="24"/>
        </w:rPr>
        <w:t>”</w:t>
      </w:r>
      <w:r w:rsidR="00927D47">
        <w:rPr>
          <w:rFonts w:ascii="Times New Roman" w:hAnsi="Times New Roman" w:cs="Times New Roman"/>
          <w:bCs/>
          <w:noProof/>
        </w:rPr>
        <w:t xml:space="preserve"> </w:t>
      </w:r>
      <w:r w:rsidRPr="0065513B">
        <w:rPr>
          <w:rFonts w:ascii="Times New Roman" w:hAnsi="Times New Roman" w:cs="Times New Roman"/>
          <w:bCs/>
          <w:noProof/>
        </w:rPr>
        <w:t>(turpmāk</w:t>
      </w:r>
      <w:r w:rsidRPr="0065513B">
        <w:rPr>
          <w:rFonts w:ascii="Times New Roman" w:hAnsi="Times New Roman" w:cs="Times New Roman"/>
          <w:noProof/>
        </w:rPr>
        <w:t xml:space="preserve">– Projekts) </w:t>
      </w:r>
      <w:r w:rsidRPr="0065513B">
        <w:rPr>
          <w:rFonts w:ascii="Times New Roman" w:hAnsi="Times New Roman" w:cs="Times New Roman"/>
        </w:rPr>
        <w:t>pieteikumu</w:t>
      </w:r>
      <w:r w:rsidRPr="0065513B">
        <w:rPr>
          <w:rFonts w:ascii="Times New Roman" w:hAnsi="Times New Roman" w:cs="Times New Roman"/>
          <w:noProof/>
        </w:rPr>
        <w:t xml:space="preserve"> </w:t>
      </w:r>
      <w:r w:rsidR="00914558" w:rsidRPr="0004330D">
        <w:rPr>
          <w:rFonts w:ascii="Times New Roman" w:hAnsi="Times New Roman" w:cs="Times New Roman"/>
        </w:rPr>
        <w:t>(</w:t>
      </w:r>
      <w:proofErr w:type="spellStart"/>
      <w:r w:rsidR="00914558" w:rsidRPr="0004330D">
        <w:rPr>
          <w:rFonts w:ascii="Times New Roman" w:hAnsi="Times New Roman" w:cs="Times New Roman"/>
        </w:rPr>
        <w:t>reģ</w:t>
      </w:r>
      <w:proofErr w:type="spellEnd"/>
      <w:r w:rsidR="00914558" w:rsidRPr="0004330D">
        <w:rPr>
          <w:rFonts w:ascii="Times New Roman" w:hAnsi="Times New Roman" w:cs="Times New Roman"/>
        </w:rPr>
        <w:t>. Nr</w:t>
      </w:r>
      <w:r w:rsidR="00914558" w:rsidRPr="00927D47">
        <w:rPr>
          <w:rFonts w:ascii="Times New Roman" w:hAnsi="Times New Roman" w:cs="Times New Roman"/>
        </w:rPr>
        <w:t xml:space="preserve">. </w:t>
      </w:r>
      <w:r w:rsidR="00914558" w:rsidRPr="00A54CE3">
        <w:rPr>
          <w:rFonts w:ascii="Times New Roman" w:hAnsi="Times New Roman" w:cs="Times New Roman"/>
          <w:color w:val="212529"/>
          <w:shd w:val="clear" w:color="auto" w:fill="FFFFFF"/>
        </w:rPr>
        <w:t>ĀNP/1-11-1/25/2065</w:t>
      </w:r>
      <w:r w:rsidR="00914558" w:rsidRPr="0004330D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="00914558" w:rsidRPr="0004330D">
        <w:rPr>
          <w:rFonts w:ascii="Times New Roman" w:hAnsi="Times New Roman" w:cs="Times New Roman"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</w:rPr>
        <w:t>finansējuma saņemšanai pašvaldības 2023.</w:t>
      </w:r>
      <w:r w:rsidR="00927D47">
        <w:rPr>
          <w:rFonts w:ascii="Times New Roman" w:hAnsi="Times New Roman" w:cs="Times New Roman"/>
          <w:noProof/>
        </w:rPr>
        <w:t xml:space="preserve"> </w:t>
      </w:r>
      <w:r w:rsidRPr="0065513B">
        <w:rPr>
          <w:rFonts w:ascii="Times New Roman" w:hAnsi="Times New Roman" w:cs="Times New Roman"/>
          <w:noProof/>
        </w:rPr>
        <w:t>gada 24.</w:t>
      </w:r>
      <w:r w:rsidR="00927D47">
        <w:rPr>
          <w:rFonts w:ascii="Times New Roman" w:hAnsi="Times New Roman" w:cs="Times New Roman"/>
          <w:noProof/>
        </w:rPr>
        <w:t xml:space="preserve"> </w:t>
      </w:r>
      <w:r w:rsidRPr="0065513B">
        <w:rPr>
          <w:rFonts w:ascii="Times New Roman" w:hAnsi="Times New Roman" w:cs="Times New Roman"/>
          <w:noProof/>
        </w:rPr>
        <w:t xml:space="preserve">maija nolikuma Nr. 11 “Iniciatīvas projektu finansēšanas kārtība Ādažu novada pašvaldībā” (turpmāk – Nolikums) noteiktajā kārtībā. </w:t>
      </w:r>
    </w:p>
    <w:p w14:paraId="158DC5FB" w14:textId="60FFB9E4" w:rsidR="00622F5B" w:rsidRPr="00A54CE3" w:rsidRDefault="009507AC" w:rsidP="00A54CE3">
      <w:pPr>
        <w:autoSpaceDE w:val="0"/>
        <w:autoSpaceDN w:val="0"/>
        <w:adjustRightInd w:val="0"/>
        <w:spacing w:before="91" w:line="283" w:lineRule="exact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</w:t>
      </w:r>
      <w:r w:rsidR="00A54CE3" w:rsidRPr="00B64DB2">
        <w:rPr>
          <w:rFonts w:ascii="Times New Roman" w:eastAsia="Times New Roman" w:hAnsi="Times New Roman" w:cs="Times New Roman"/>
          <w:color w:val="000000"/>
          <w:lang w:eastAsia="lv-LV"/>
        </w:rPr>
        <w:t>ir veicināt sabiedrības</w:t>
      </w:r>
      <w:r w:rsidR="0091455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B64DB2">
        <w:rPr>
          <w:rFonts w:ascii="Times New Roman" w:eastAsia="Times New Roman" w:hAnsi="Times New Roman" w:cs="Times New Roman"/>
          <w:color w:val="000000"/>
          <w:lang w:eastAsia="lv-LV"/>
        </w:rPr>
        <w:t>izpratni par 1941. un 1949. gada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B64DB2">
        <w:rPr>
          <w:rFonts w:ascii="Times New Roman" w:eastAsia="Times New Roman" w:hAnsi="Times New Roman" w:cs="Times New Roman"/>
          <w:color w:val="000000"/>
          <w:lang w:eastAsia="lv-LV"/>
        </w:rPr>
        <w:t>deportācijām, izmantojot vēstures liecības un personīgos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B64DB2">
        <w:rPr>
          <w:rFonts w:ascii="Times New Roman" w:eastAsia="Times New Roman" w:hAnsi="Times New Roman" w:cs="Times New Roman"/>
          <w:color w:val="000000"/>
          <w:lang w:eastAsia="lv-LV"/>
        </w:rPr>
        <w:t>stāstus, lai saglabātu vēsturisko atmiņu un godinātu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B64DB2">
        <w:rPr>
          <w:rFonts w:ascii="Times New Roman" w:eastAsia="Times New Roman" w:hAnsi="Times New Roman" w:cs="Times New Roman"/>
          <w:color w:val="000000"/>
          <w:lang w:eastAsia="lv-LV"/>
        </w:rPr>
        <w:t>deportēto likteņus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>. Grāmatas “Dzimuši Sibīrijā” prezentācijā piedalīsies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>kāds no Sibīrijā dzimušajiem cilvēkiem, kā arī grāmatas autore Dzintra Geka-Vaska.</w:t>
      </w:r>
      <w:r w:rsidR="00A54CE3" w:rsidRP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914558">
        <w:rPr>
          <w:rFonts w:ascii="Times New Roman" w:eastAsia="Times New Roman" w:hAnsi="Times New Roman" w:cs="Times New Roman"/>
          <w:color w:val="000000"/>
          <w:lang w:eastAsia="lv-LV"/>
        </w:rPr>
        <w:t>Prezentācijas ietvaros tiks p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>iedāvā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>t</w:t>
      </w:r>
      <w:r w:rsidR="00914558">
        <w:rPr>
          <w:rFonts w:ascii="Times New Roman" w:eastAsia="Times New Roman" w:hAnsi="Times New Roman" w:cs="Times New Roman"/>
          <w:color w:val="000000"/>
          <w:lang w:eastAsia="lv-LV"/>
        </w:rPr>
        <w:t>a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 xml:space="preserve"> iespēju labāk izprast Sibīrijā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 xml:space="preserve">dzimušo </w:t>
      </w:r>
      <w:r w:rsidR="00914558">
        <w:rPr>
          <w:rFonts w:ascii="Times New Roman" w:eastAsia="Times New Roman" w:hAnsi="Times New Roman" w:cs="Times New Roman"/>
          <w:color w:val="000000"/>
          <w:lang w:eastAsia="lv-LV"/>
        </w:rPr>
        <w:t xml:space="preserve">cilvēku 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>pieredzi un nozīmi Latvijas vēsturē, veicinot diskusiju par atmiņu saglabāšanu un vēstures izpratni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CE3" w:rsidRPr="005303FE">
        <w:rPr>
          <w:rFonts w:ascii="Times New Roman" w:eastAsia="Times New Roman" w:hAnsi="Times New Roman" w:cs="Times New Roman"/>
          <w:color w:val="000000"/>
          <w:lang w:eastAsia="lv-LV"/>
        </w:rPr>
        <w:t>sabiedrībā.</w:t>
      </w:r>
      <w:r w:rsidRPr="00622F5B">
        <w:rPr>
          <w:rStyle w:val="FontStyle19"/>
          <w:sz w:val="24"/>
          <w:szCs w:val="24"/>
        </w:rPr>
        <w:t xml:space="preserve"> </w:t>
      </w:r>
    </w:p>
    <w:p w14:paraId="7AF0DEF5" w14:textId="281A4FA3" w:rsidR="00622F5B" w:rsidRDefault="009507AC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īstenošanas laiks ir </w:t>
      </w:r>
      <w:r w:rsidR="00A54CE3">
        <w:rPr>
          <w:rFonts w:ascii="Times New Roman" w:eastAsia="Times New Roman" w:hAnsi="Times New Roman" w:cs="Times New Roman"/>
          <w:color w:val="000000" w:themeColor="text1"/>
        </w:rPr>
        <w:t>līdz 2025.</w:t>
      </w:r>
      <w:r w:rsidR="009145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54CE3">
        <w:rPr>
          <w:rFonts w:ascii="Times New Roman" w:eastAsia="Times New Roman" w:hAnsi="Times New Roman" w:cs="Times New Roman"/>
          <w:color w:val="000000" w:themeColor="text1"/>
        </w:rPr>
        <w:t>gada 27.</w:t>
      </w:r>
      <w:r w:rsidR="009145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54CE3">
        <w:rPr>
          <w:rFonts w:ascii="Times New Roman" w:eastAsia="Times New Roman" w:hAnsi="Times New Roman" w:cs="Times New Roman"/>
          <w:color w:val="000000" w:themeColor="text1"/>
        </w:rPr>
        <w:t xml:space="preserve">septembrim. 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Izstādes norises laiks </w:t>
      </w:r>
      <w:r w:rsidR="00945100">
        <w:rPr>
          <w:rFonts w:ascii="Times New Roman" w:eastAsia="Times New Roman" w:hAnsi="Times New Roman" w:cs="Times New Roman"/>
          <w:color w:val="000000"/>
          <w:lang w:eastAsia="lv-LV"/>
        </w:rPr>
        <w:t xml:space="preserve">Ādažu bibliotēkā ir no 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>22.</w:t>
      </w:r>
      <w:r w:rsidR="0091455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945100">
        <w:rPr>
          <w:rFonts w:ascii="Times New Roman" w:eastAsia="Times New Roman" w:hAnsi="Times New Roman" w:cs="Times New Roman"/>
          <w:color w:val="000000"/>
          <w:lang w:eastAsia="lv-LV"/>
        </w:rPr>
        <w:t xml:space="preserve">līdz 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>27. septembrim</w:t>
      </w:r>
      <w:r w:rsidR="00914558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="00A54CE3">
        <w:rPr>
          <w:rFonts w:ascii="Times New Roman" w:eastAsia="Times New Roman" w:hAnsi="Times New Roman" w:cs="Times New Roman"/>
          <w:color w:val="000000"/>
          <w:lang w:eastAsia="lv-LV"/>
        </w:rPr>
        <w:t xml:space="preserve"> un grāmatas prezentācija 25. septembrī</w:t>
      </w:r>
      <w:r w:rsidRPr="0065513B">
        <w:rPr>
          <w:rFonts w:ascii="Times New Roman" w:hAnsi="Times New Roman" w:cs="Times New Roman"/>
          <w:noProof/>
          <w:color w:val="000000" w:themeColor="text1"/>
        </w:rPr>
        <w:t>.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05A666BA" w14:textId="6373ADC5" w:rsidR="00A54CE3" w:rsidRDefault="00914558" w:rsidP="00A54CE3">
      <w:pPr>
        <w:spacing w:before="12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Style w:val="FontStyle19"/>
          <w:b w:val="0"/>
          <w:bCs w:val="0"/>
          <w:sz w:val="24"/>
          <w:szCs w:val="24"/>
        </w:rPr>
        <w:t>G</w:t>
      </w:r>
      <w:r w:rsidR="009507AC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rāmatas </w:t>
      </w:r>
      <w:r w:rsidR="009507AC">
        <w:rPr>
          <w:rFonts w:ascii="Times New Roman" w:eastAsia="Times New Roman" w:hAnsi="Times New Roman" w:cs="Times New Roman"/>
          <w:color w:val="000000"/>
          <w:lang w:eastAsia="lv-LV"/>
        </w:rPr>
        <w:t>“</w:t>
      </w:r>
      <w:r w:rsidR="009507AC" w:rsidRPr="0084182B">
        <w:rPr>
          <w:rFonts w:ascii="Times New Roman" w:eastAsia="Times New Roman" w:hAnsi="Times New Roman" w:cs="Times New Roman"/>
          <w:color w:val="000000"/>
          <w:lang w:eastAsia="lv-LV"/>
        </w:rPr>
        <w:t>Dzimuši Sibīrijā</w:t>
      </w:r>
      <w:r w:rsidR="009507AC">
        <w:rPr>
          <w:rFonts w:ascii="Times New Roman" w:eastAsia="Times New Roman" w:hAnsi="Times New Roman" w:cs="Times New Roman"/>
          <w:color w:val="000000"/>
          <w:lang w:eastAsia="lv-LV"/>
        </w:rPr>
        <w:t>”</w:t>
      </w:r>
      <w:r w:rsidR="009507AC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 prezentācij</w:t>
      </w:r>
      <w:r>
        <w:rPr>
          <w:rFonts w:ascii="Times New Roman" w:eastAsia="Times New Roman" w:hAnsi="Times New Roman" w:cs="Times New Roman"/>
          <w:color w:val="000000"/>
          <w:lang w:eastAsia="lv-LV"/>
        </w:rPr>
        <w:t>ā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tiks stāstīts par grāmatas tapšanu, lasīti fragmenti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un diskutēts par cilvēku atmiņu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stāstiem. </w:t>
      </w:r>
      <w:r w:rsidR="009507A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I</w:t>
      </w:r>
      <w:r w:rsidR="009507AC" w:rsidRPr="0084182B">
        <w:rPr>
          <w:rFonts w:ascii="Times New Roman" w:eastAsia="Times New Roman" w:hAnsi="Times New Roman" w:cs="Times New Roman"/>
          <w:color w:val="000000"/>
          <w:lang w:eastAsia="lv-LV"/>
        </w:rPr>
        <w:t>zstād</w:t>
      </w:r>
      <w:r>
        <w:rPr>
          <w:rFonts w:ascii="Times New Roman" w:eastAsia="Times New Roman" w:hAnsi="Times New Roman" w:cs="Times New Roman"/>
          <w:color w:val="000000"/>
          <w:lang w:eastAsia="lv-LV"/>
        </w:rPr>
        <w:t>ē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par</w:t>
      </w:r>
      <w:r w:rsidR="009507AC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deportācijām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9507AC">
        <w:rPr>
          <w:rFonts w:ascii="Times New Roman" w:eastAsia="Times New Roman" w:hAnsi="Times New Roman" w:cs="Times New Roman"/>
          <w:color w:val="000000"/>
          <w:lang w:eastAsia="lv-LV"/>
        </w:rPr>
        <w:t>Ādažu</w:t>
      </w:r>
      <w:r w:rsidR="009507AC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 bibliotēkā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tiks eksponēti stendi ar cilvēku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atmiņu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stāstiem, fotogrāfijām,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dokumentiem un citām liecībām par izsūtīto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>ģimeņu likteņiem. Tiks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izveidoti atsevišķi stendi ar 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>Ādažu novada</w:t>
      </w:r>
      <w:r w:rsidR="00B451E2" w:rsidRPr="0084182B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atmiņu stāstiem</w:t>
      </w:r>
      <w:r w:rsidR="00B451E2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0C32457" w14:textId="29EF1DD5" w:rsidR="001524EA" w:rsidRPr="0065513B" w:rsidRDefault="009507AC" w:rsidP="009507AC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Projekta k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 w:rsidR="00B451E2">
        <w:rPr>
          <w:rStyle w:val="FontStyle19"/>
          <w:b w:val="0"/>
          <w:bCs w:val="0"/>
          <w:color w:val="000000" w:themeColor="text1"/>
          <w:sz w:val="24"/>
          <w:szCs w:val="24"/>
        </w:rPr>
        <w:t>1050</w:t>
      </w:r>
      <w:r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0728D" w:rsidRPr="004F7929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30728D">
        <w:rPr>
          <w:rFonts w:ascii="Times New Roman" w:eastAsia="Calibri" w:hAnsi="Times New Roman" w:cs="Times New Roman"/>
        </w:rPr>
        <w:t>.</w:t>
      </w:r>
      <w:r w:rsidR="0030728D" w:rsidRPr="0030728D">
        <w:t xml:space="preserve"> </w:t>
      </w:r>
      <w:r w:rsidR="0030728D" w:rsidRPr="0030728D">
        <w:rPr>
          <w:rFonts w:ascii="Times New Roman" w:eastAsia="Calibri" w:hAnsi="Times New Roman" w:cs="Times New Roman"/>
        </w:rPr>
        <w:t xml:space="preserve">Ādažu novada </w:t>
      </w:r>
      <w:r>
        <w:rPr>
          <w:rFonts w:ascii="Times New Roman" w:eastAsia="Calibri" w:hAnsi="Times New Roman" w:cs="Times New Roman"/>
        </w:rPr>
        <w:t>pašvaldības</w:t>
      </w:r>
      <w:r w:rsidRPr="0030728D">
        <w:rPr>
          <w:rFonts w:ascii="Times New Roman" w:eastAsia="Calibri" w:hAnsi="Times New Roman" w:cs="Times New Roman"/>
        </w:rPr>
        <w:t xml:space="preserve"> </w:t>
      </w:r>
      <w:r w:rsidR="0030728D" w:rsidRPr="0030728D">
        <w:rPr>
          <w:rFonts w:ascii="Times New Roman" w:eastAsia="Calibri" w:hAnsi="Times New Roman" w:cs="Times New Roman"/>
        </w:rPr>
        <w:t>līdzfinansējums tiks izmantots, lai apmaksātu izstādes stendu izgatavošanu,</w:t>
      </w:r>
      <w:r>
        <w:rPr>
          <w:rFonts w:ascii="Times New Roman" w:eastAsia="Calibri" w:hAnsi="Times New Roman" w:cs="Times New Roman"/>
        </w:rPr>
        <w:t xml:space="preserve"> </w:t>
      </w:r>
      <w:r w:rsidR="0030728D" w:rsidRPr="0030728D">
        <w:rPr>
          <w:rFonts w:ascii="Times New Roman" w:eastAsia="Calibri" w:hAnsi="Times New Roman" w:cs="Times New Roman"/>
        </w:rPr>
        <w:t xml:space="preserve">daļēji apmaksātu autoratlīdzības </w:t>
      </w:r>
      <w:r>
        <w:rPr>
          <w:rFonts w:ascii="Times New Roman" w:eastAsia="Calibri" w:hAnsi="Times New Roman" w:cs="Times New Roman"/>
        </w:rPr>
        <w:t>P</w:t>
      </w:r>
      <w:r w:rsidR="0030728D" w:rsidRPr="0030728D">
        <w:rPr>
          <w:rFonts w:ascii="Times New Roman" w:eastAsia="Calibri" w:hAnsi="Times New Roman" w:cs="Times New Roman"/>
        </w:rPr>
        <w:t>rojekta vadītājam un operatoram</w:t>
      </w:r>
      <w:r w:rsidR="0030728D">
        <w:rPr>
          <w:rFonts w:ascii="Times New Roman" w:eastAsia="Calibri" w:hAnsi="Times New Roman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919"/>
        <w:gridCol w:w="1183"/>
        <w:gridCol w:w="1264"/>
        <w:gridCol w:w="1136"/>
      </w:tblGrid>
      <w:tr w:rsidR="00787558" w14:paraId="58F274ED" w14:textId="77777777" w:rsidTr="009507AC">
        <w:tc>
          <w:tcPr>
            <w:tcW w:w="560" w:type="dxa"/>
            <w:shd w:val="clear" w:color="auto" w:fill="auto"/>
            <w:vAlign w:val="center"/>
          </w:tcPr>
          <w:p w14:paraId="65E9EC0D" w14:textId="77777777" w:rsidR="00914558" w:rsidRDefault="009507AC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N</w:t>
            </w:r>
            <w:r>
              <w:rPr>
                <w:rStyle w:val="FontStyle19"/>
                <w:b w:val="0"/>
                <w:bCs w:val="0"/>
                <w:sz w:val="20"/>
                <w:szCs w:val="20"/>
              </w:rPr>
              <w:t>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.</w:t>
            </w:r>
          </w:p>
          <w:p w14:paraId="3956132B" w14:textId="0A257DDF" w:rsidR="001524EA" w:rsidRPr="001524EA" w:rsidRDefault="009507AC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p.k</w:t>
            </w:r>
            <w:r w:rsidR="00914558">
              <w:rPr>
                <w:rStyle w:val="FontStyle19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62A323C" w14:textId="77777777" w:rsidR="001524EA" w:rsidRPr="001524EA" w:rsidRDefault="009507AC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Izdevumu pozīcija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60AEE" w14:textId="55583929" w:rsidR="001524EA" w:rsidRPr="001524EA" w:rsidRDefault="009507AC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Pašvaldības finansējums (</w:t>
            </w:r>
            <w:r w:rsidR="00914558">
              <w:rPr>
                <w:rStyle w:val="FontStyle19"/>
                <w:b w:val="0"/>
                <w:bCs w:val="0"/>
                <w:sz w:val="20"/>
                <w:szCs w:val="20"/>
              </w:rPr>
              <w:t>E</w:t>
            </w:r>
            <w:r w:rsidR="00914558" w:rsidRPr="009507AC">
              <w:rPr>
                <w:rStyle w:val="FontStyle19"/>
                <w:b w:val="0"/>
                <w:bCs w:val="0"/>
                <w:sz w:val="20"/>
                <w:szCs w:val="20"/>
              </w:rPr>
              <w:t>UR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D6E0BDA" w14:textId="3495D05B" w:rsidR="001524EA" w:rsidRPr="001524EA" w:rsidRDefault="009507AC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 xml:space="preserve">Citu avotu finansējums </w:t>
            </w:r>
            <w:r w:rsidR="00914558" w:rsidRPr="001524EA">
              <w:rPr>
                <w:rStyle w:val="FontStyle19"/>
                <w:b w:val="0"/>
                <w:bCs w:val="0"/>
                <w:sz w:val="20"/>
                <w:szCs w:val="20"/>
              </w:rPr>
              <w:t>(</w:t>
            </w:r>
            <w:r w:rsidR="00914558">
              <w:rPr>
                <w:rStyle w:val="FontStyle19"/>
                <w:b w:val="0"/>
                <w:bCs w:val="0"/>
                <w:sz w:val="20"/>
                <w:szCs w:val="20"/>
              </w:rPr>
              <w:t>E</w:t>
            </w:r>
            <w:r w:rsidR="00914558" w:rsidRPr="0071423A">
              <w:rPr>
                <w:rStyle w:val="FontStyle19"/>
                <w:b w:val="0"/>
                <w:bCs w:val="0"/>
                <w:sz w:val="20"/>
                <w:szCs w:val="20"/>
              </w:rPr>
              <w:t>UR</w:t>
            </w:r>
            <w:r w:rsidR="00914558"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1C9774B" w14:textId="72671390" w:rsidR="001524EA" w:rsidRPr="001524EA" w:rsidRDefault="009507AC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 xml:space="preserve">Kopējās izmaksas </w:t>
            </w:r>
            <w:r w:rsidR="00914558" w:rsidRPr="001524EA">
              <w:rPr>
                <w:rStyle w:val="FontStyle19"/>
                <w:b w:val="0"/>
                <w:bCs w:val="0"/>
                <w:sz w:val="20"/>
                <w:szCs w:val="20"/>
              </w:rPr>
              <w:t>(</w:t>
            </w:r>
            <w:r w:rsidR="00914558">
              <w:rPr>
                <w:rStyle w:val="FontStyle19"/>
                <w:b w:val="0"/>
                <w:bCs w:val="0"/>
                <w:sz w:val="20"/>
                <w:szCs w:val="20"/>
              </w:rPr>
              <w:t>E</w:t>
            </w:r>
            <w:r w:rsidR="00914558" w:rsidRPr="0071423A">
              <w:rPr>
                <w:rStyle w:val="FontStyle19"/>
                <w:b w:val="0"/>
                <w:bCs w:val="0"/>
                <w:sz w:val="20"/>
                <w:szCs w:val="20"/>
              </w:rPr>
              <w:t>UR</w:t>
            </w:r>
            <w:r w:rsidR="00914558"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787558" w14:paraId="7C4DF437" w14:textId="77777777" w:rsidTr="009507AC">
        <w:tc>
          <w:tcPr>
            <w:tcW w:w="560" w:type="dxa"/>
            <w:shd w:val="clear" w:color="auto" w:fill="auto"/>
          </w:tcPr>
          <w:p w14:paraId="687C8B86" w14:textId="76E6917A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>
              <w:rPr>
                <w:rStyle w:val="FontStyle19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0D01954F" w14:textId="776679B7" w:rsidR="0019247B" w:rsidRPr="0019247B" w:rsidRDefault="009507AC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Izstādes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stendu (</w:t>
            </w: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RollUp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800</w:t>
            </w:r>
            <w:r w:rsidR="0091455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</w:t>
            </w:r>
            <w:r w:rsidR="0091455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2000</w:t>
            </w:r>
            <w:r w:rsidR="0091455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mm) </w:t>
            </w: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izgatavošana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0C9B452" w14:textId="7777777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9247B">
              <w:rPr>
                <w:rStyle w:val="FontStyle19"/>
                <w:b w:val="0"/>
                <w:bCs w:val="0"/>
                <w:sz w:val="20"/>
                <w:szCs w:val="20"/>
              </w:rPr>
              <w:t>350</w:t>
            </w:r>
          </w:p>
        </w:tc>
        <w:tc>
          <w:tcPr>
            <w:tcW w:w="1265" w:type="dxa"/>
            <w:shd w:val="clear" w:color="auto" w:fill="auto"/>
          </w:tcPr>
          <w:p w14:paraId="25175F3E" w14:textId="7777777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9247B">
              <w:rPr>
                <w:rStyle w:val="FontStyle19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14:paraId="0CADA2DF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787558" w14:paraId="7D48EB2A" w14:textId="77777777" w:rsidTr="009507AC">
        <w:tc>
          <w:tcPr>
            <w:tcW w:w="560" w:type="dxa"/>
            <w:shd w:val="clear" w:color="auto" w:fill="auto"/>
          </w:tcPr>
          <w:p w14:paraId="559ECC74" w14:textId="0F9B2DC3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>
              <w:rPr>
                <w:rStyle w:val="FontStyle19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48165C53" w14:textId="77777777" w:rsidR="0019247B" w:rsidRPr="0019247B" w:rsidRDefault="009507AC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Stendu nolietojuma izmaksas </w:t>
            </w:r>
          </w:p>
        </w:tc>
        <w:tc>
          <w:tcPr>
            <w:tcW w:w="1134" w:type="dxa"/>
            <w:shd w:val="clear" w:color="auto" w:fill="auto"/>
          </w:tcPr>
          <w:p w14:paraId="1CE0C25B" w14:textId="7777777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9247B">
              <w:rPr>
                <w:rStyle w:val="FontStyle19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265" w:type="dxa"/>
            <w:shd w:val="clear" w:color="auto" w:fill="auto"/>
          </w:tcPr>
          <w:p w14:paraId="758CED9B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14:paraId="3A843743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87558" w14:paraId="35B24B65" w14:textId="77777777" w:rsidTr="009507AC">
        <w:tc>
          <w:tcPr>
            <w:tcW w:w="560" w:type="dxa"/>
            <w:shd w:val="clear" w:color="auto" w:fill="auto"/>
          </w:tcPr>
          <w:p w14:paraId="7172A4B0" w14:textId="37B0F6B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>
              <w:rPr>
                <w:rStyle w:val="FontStyle19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624ECA5" w14:textId="31584BCE" w:rsidR="0019247B" w:rsidRPr="0019247B" w:rsidRDefault="009507AC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Autoratlīdzība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video operatoram </w:t>
            </w:r>
          </w:p>
        </w:tc>
        <w:tc>
          <w:tcPr>
            <w:tcW w:w="1134" w:type="dxa"/>
            <w:shd w:val="clear" w:color="auto" w:fill="auto"/>
          </w:tcPr>
          <w:p w14:paraId="619767C1" w14:textId="7777777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9247B">
              <w:rPr>
                <w:rStyle w:val="FontStyle19"/>
                <w:b w:val="0"/>
                <w:bCs w:val="0"/>
                <w:sz w:val="20"/>
                <w:szCs w:val="20"/>
              </w:rPr>
              <w:t>200</w:t>
            </w:r>
          </w:p>
        </w:tc>
        <w:tc>
          <w:tcPr>
            <w:tcW w:w="1265" w:type="dxa"/>
            <w:shd w:val="clear" w:color="auto" w:fill="auto"/>
          </w:tcPr>
          <w:p w14:paraId="087453F3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14:paraId="71C535EA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787558" w14:paraId="4AB6A177" w14:textId="77777777" w:rsidTr="009507AC">
        <w:tc>
          <w:tcPr>
            <w:tcW w:w="560" w:type="dxa"/>
            <w:shd w:val="clear" w:color="auto" w:fill="auto"/>
          </w:tcPr>
          <w:p w14:paraId="14031F10" w14:textId="204B576A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>
              <w:rPr>
                <w:rStyle w:val="FontStyle19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6CB5339" w14:textId="77777777" w:rsidR="0019247B" w:rsidRPr="0019247B" w:rsidRDefault="009507AC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Autoratlīdzība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prezentācijas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vadītājam</w:t>
            </w:r>
            <w:proofErr w:type="spellEnd"/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1448434" w14:textId="7777777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9247B">
              <w:rPr>
                <w:rStyle w:val="FontStyle19"/>
                <w:b w:val="0"/>
                <w:bCs w:val="0"/>
                <w:sz w:val="20"/>
                <w:szCs w:val="20"/>
              </w:rPr>
              <w:t>195</w:t>
            </w:r>
          </w:p>
        </w:tc>
        <w:tc>
          <w:tcPr>
            <w:tcW w:w="1265" w:type="dxa"/>
            <w:shd w:val="clear" w:color="auto" w:fill="auto"/>
          </w:tcPr>
          <w:p w14:paraId="4C909834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8" w:type="dxa"/>
            <w:shd w:val="clear" w:color="auto" w:fill="auto"/>
          </w:tcPr>
          <w:p w14:paraId="622BF082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787558" w14:paraId="29515172" w14:textId="77777777" w:rsidTr="00D1025A"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5B5D1DD5" w14:textId="7483B664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>
              <w:rPr>
                <w:rStyle w:val="FontStyle19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E58C9" w14:textId="2360EE16" w:rsidR="0019247B" w:rsidRPr="0019247B" w:rsidRDefault="009507AC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Transporta izdevumi (noma un</w:t>
            </w:r>
            <w:r w:rsidR="0091455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19247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degviela)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B0D9C8" w14:textId="77777777" w:rsidR="0019247B" w:rsidRPr="0019247B" w:rsidRDefault="009507AC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9247B">
              <w:rPr>
                <w:rStyle w:val="FontStyle19"/>
                <w:b w:val="0"/>
                <w:bCs w:val="0"/>
                <w:sz w:val="20"/>
                <w:szCs w:val="20"/>
              </w:rPr>
              <w:t>150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219FA16E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14:paraId="0400AF4A" w14:textId="77777777" w:rsidR="0019247B" w:rsidRPr="0019247B" w:rsidRDefault="009507AC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24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87558" w14:paraId="3743650E" w14:textId="77777777" w:rsidTr="00D1025A">
        <w:tc>
          <w:tcPr>
            <w:tcW w:w="552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AE58A8" w14:textId="77777777" w:rsidR="001524EA" w:rsidRPr="0019247B" w:rsidRDefault="009507AC" w:rsidP="00A62D75">
            <w:pPr>
              <w:pStyle w:val="Style6"/>
              <w:widowControl/>
              <w:spacing w:before="40" w:after="40"/>
              <w:jc w:val="right"/>
              <w:rPr>
                <w:rStyle w:val="FontStyle19"/>
                <w:sz w:val="20"/>
                <w:szCs w:val="20"/>
              </w:rPr>
            </w:pPr>
            <w:r w:rsidRPr="0019247B">
              <w:rPr>
                <w:rStyle w:val="FontStyle19"/>
                <w:sz w:val="20"/>
                <w:szCs w:val="20"/>
              </w:rPr>
              <w:t>KOPĀ (t.sk., nodokļi)</w:t>
            </w:r>
          </w:p>
        </w:tc>
        <w:tc>
          <w:tcPr>
            <w:tcW w:w="1134" w:type="dxa"/>
            <w:shd w:val="clear" w:color="auto" w:fill="auto"/>
          </w:tcPr>
          <w:p w14:paraId="4E8C017E" w14:textId="77777777" w:rsidR="001524EA" w:rsidRPr="0019247B" w:rsidRDefault="009507AC" w:rsidP="00A62D75">
            <w:pPr>
              <w:pStyle w:val="Style6"/>
              <w:widowControl/>
              <w:spacing w:before="40" w:after="4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945</w:t>
            </w:r>
          </w:p>
        </w:tc>
        <w:tc>
          <w:tcPr>
            <w:tcW w:w="1265" w:type="dxa"/>
            <w:tcBorders>
              <w:right w:val="single" w:sz="4" w:space="0" w:color="FFFFFF"/>
            </w:tcBorders>
            <w:shd w:val="clear" w:color="auto" w:fill="auto"/>
          </w:tcPr>
          <w:p w14:paraId="6C221E28" w14:textId="3650FDE0" w:rsidR="001524EA" w:rsidRPr="0019247B" w:rsidRDefault="009507AC" w:rsidP="00A62D75">
            <w:pPr>
              <w:pStyle w:val="Style6"/>
              <w:widowControl/>
              <w:spacing w:before="40" w:after="4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</w:t>
            </w:r>
            <w:r w:rsidR="00093BD2">
              <w:rPr>
                <w:rStyle w:val="FontStyle19"/>
                <w:sz w:val="20"/>
                <w:szCs w:val="20"/>
              </w:rPr>
              <w:t>05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14:paraId="73EBC722" w14:textId="77777777" w:rsidR="001524EA" w:rsidRPr="0019247B" w:rsidRDefault="009507AC" w:rsidP="00A62D75">
            <w:pPr>
              <w:pStyle w:val="Style6"/>
              <w:widowControl/>
              <w:spacing w:before="40" w:after="4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1050</w:t>
            </w:r>
          </w:p>
        </w:tc>
      </w:tr>
    </w:tbl>
    <w:p w14:paraId="2F888DBF" w14:textId="39D96EB5" w:rsidR="00CE6EF3" w:rsidRPr="008360C2" w:rsidRDefault="009507AC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lastRenderedPageBreak/>
        <w:t xml:space="preserve">Ādažu novada kultūras centrs veica Projekta atbilstības izvērtēšanu </w:t>
      </w:r>
      <w:r w:rsidR="006F7454">
        <w:rPr>
          <w:rFonts w:ascii="Times New Roman" w:eastAsia="Calibri" w:hAnsi="Times New Roman" w:cs="Times New Roman"/>
        </w:rPr>
        <w:t xml:space="preserve">Nolikumā </w:t>
      </w:r>
      <w:r w:rsidRPr="008360C2">
        <w:rPr>
          <w:rFonts w:ascii="Times New Roman" w:eastAsia="Calibri" w:hAnsi="Times New Roman" w:cs="Times New Roman"/>
        </w:rPr>
        <w:t xml:space="preserve">noteiktajā kārtībā, un secināja, ka </w:t>
      </w:r>
      <w:r w:rsidR="006F7454">
        <w:rPr>
          <w:rFonts w:ascii="Times New Roman" w:eastAsia="Calibri" w:hAnsi="Times New Roman" w:cs="Times New Roman"/>
        </w:rPr>
        <w:t>P</w:t>
      </w:r>
      <w:r w:rsidRPr="008360C2">
        <w:rPr>
          <w:rFonts w:ascii="Times New Roman" w:eastAsia="Calibri" w:hAnsi="Times New Roman" w:cs="Times New Roman"/>
        </w:rPr>
        <w:t>rojekts ir ieguvis 2</w:t>
      </w:r>
      <w:r w:rsidR="0019247B">
        <w:rPr>
          <w:rFonts w:ascii="Times New Roman" w:eastAsia="Calibri" w:hAnsi="Times New Roman" w:cs="Times New Roman"/>
        </w:rPr>
        <w:t>0</w:t>
      </w:r>
      <w:r w:rsidRPr="008360C2">
        <w:rPr>
          <w:rFonts w:ascii="Times New Roman" w:eastAsia="Calibri" w:hAnsi="Times New Roman" w:cs="Times New Roman"/>
        </w:rPr>
        <w:t xml:space="preserve"> punktus (no 27), kā arī, ka tā norises un izdevumi atbilst Projekta mērķim.</w:t>
      </w:r>
      <w:r w:rsidR="00D04A7D">
        <w:rPr>
          <w:rFonts w:ascii="Times New Roman" w:eastAsia="Calibri" w:hAnsi="Times New Roman" w:cs="Times New Roman"/>
        </w:rPr>
        <w:t xml:space="preserve"> Projekta pieteicējs sniedz</w:t>
      </w:r>
      <w:r w:rsidR="00017A1B">
        <w:rPr>
          <w:rFonts w:ascii="Times New Roman" w:eastAsia="Calibri" w:hAnsi="Times New Roman" w:cs="Times New Roman"/>
        </w:rPr>
        <w:t>a</w:t>
      </w:r>
      <w:r w:rsidR="00D04A7D">
        <w:rPr>
          <w:rFonts w:ascii="Times New Roman" w:eastAsia="Calibri" w:hAnsi="Times New Roman" w:cs="Times New Roman"/>
        </w:rPr>
        <w:t xml:space="preserve"> papildu informāciju, ka </w:t>
      </w:r>
      <w:r w:rsidR="006F7454">
        <w:rPr>
          <w:rFonts w:ascii="Times New Roman" w:eastAsia="Calibri" w:hAnsi="Times New Roman" w:cs="Times New Roman"/>
        </w:rPr>
        <w:t>P</w:t>
      </w:r>
      <w:r w:rsidR="00D04A7D">
        <w:rPr>
          <w:rFonts w:ascii="Times New Roman" w:eastAsia="Calibri" w:hAnsi="Times New Roman" w:cs="Times New Roman"/>
        </w:rPr>
        <w:t>rojekts pilnībā var tikt īstenots gadījumā, ja tiek atbalstīts finansējums pieprasīt</w:t>
      </w:r>
      <w:r w:rsidR="00017A1B">
        <w:rPr>
          <w:rFonts w:ascii="Times New Roman" w:eastAsia="Calibri" w:hAnsi="Times New Roman" w:cs="Times New Roman"/>
        </w:rPr>
        <w:t>aj</w:t>
      </w:r>
      <w:r w:rsidR="00D04A7D">
        <w:rPr>
          <w:rFonts w:ascii="Times New Roman" w:eastAsia="Calibri" w:hAnsi="Times New Roman" w:cs="Times New Roman"/>
        </w:rPr>
        <w:t xml:space="preserve">ā apjomā. </w:t>
      </w:r>
    </w:p>
    <w:p w14:paraId="24B2B30D" w14:textId="74E6FDBE" w:rsidR="00CE6EF3" w:rsidRPr="008360C2" w:rsidRDefault="009507AC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C70111">
        <w:rPr>
          <w:rFonts w:ascii="Times New Roman" w:eastAsia="Calibri" w:hAnsi="Times New Roman" w:cs="Times New Roman"/>
        </w:rPr>
        <w:t>27., 29. un 33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017A1B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017A1B">
        <w:rPr>
          <w:rFonts w:ascii="Times New Roman" w:hAnsi="Times New Roman" w:cs="Times New Roman"/>
          <w:noProof/>
        </w:rPr>
        <w:t>07</w:t>
      </w:r>
      <w:r w:rsidR="00017A1B" w:rsidRPr="008360C2">
        <w:rPr>
          <w:rFonts w:ascii="Times New Roman" w:hAnsi="Times New Roman" w:cs="Times New Roman"/>
          <w:noProof/>
        </w:rPr>
        <w:t>.0</w:t>
      </w:r>
      <w:r w:rsidR="00017A1B">
        <w:rPr>
          <w:rFonts w:ascii="Times New Roman" w:hAnsi="Times New Roman" w:cs="Times New Roman"/>
          <w:noProof/>
        </w:rPr>
        <w:t>5</w:t>
      </w:r>
      <w:r w:rsidR="00017A1B" w:rsidRPr="008360C2">
        <w:rPr>
          <w:rFonts w:ascii="Times New Roman" w:hAnsi="Times New Roman" w:cs="Times New Roman"/>
          <w:noProof/>
        </w:rPr>
        <w:t>.202</w:t>
      </w:r>
      <w:r w:rsidR="00017A1B">
        <w:rPr>
          <w:rFonts w:ascii="Times New Roman" w:hAnsi="Times New Roman" w:cs="Times New Roman"/>
          <w:noProof/>
        </w:rPr>
        <w:t>5</w:t>
      </w:r>
      <w:r w:rsidR="00017A1B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768BCB51" w14:textId="77777777" w:rsidR="00CE6EF3" w:rsidRPr="008360C2" w:rsidRDefault="009507AC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6C03DB35" w14:textId="3384BC60" w:rsidR="00AF2DE7" w:rsidRPr="00AF2DE7" w:rsidRDefault="009507AC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AF2DE7">
        <w:rPr>
          <w:rFonts w:ascii="Times New Roman" w:eastAsia="Calibri" w:hAnsi="Times New Roman" w:cs="Times New Roman"/>
          <w:color w:val="000000"/>
        </w:rPr>
        <w:t xml:space="preserve">Atbalstīt </w:t>
      </w:r>
      <w:r w:rsidR="006B639B">
        <w:rPr>
          <w:rFonts w:ascii="Times New Roman" w:eastAsia="Times New Roman" w:hAnsi="Times New Roman" w:cs="Times New Roman"/>
          <w:color w:val="000000"/>
          <w:lang w:eastAsia="lv-LV"/>
        </w:rPr>
        <w:t>n</w:t>
      </w:r>
      <w:r w:rsidR="006B639B" w:rsidRPr="00F17A0C">
        <w:rPr>
          <w:rFonts w:ascii="Times New Roman" w:eastAsia="Times New Roman" w:hAnsi="Times New Roman" w:cs="Times New Roman"/>
          <w:color w:val="000000"/>
          <w:lang w:eastAsia="lv-LV"/>
        </w:rPr>
        <w:t>odibinājum</w:t>
      </w:r>
      <w:r w:rsidR="006B639B">
        <w:rPr>
          <w:rFonts w:ascii="Times New Roman" w:eastAsia="Times New Roman" w:hAnsi="Times New Roman" w:cs="Times New Roman"/>
          <w:color w:val="000000"/>
          <w:lang w:eastAsia="lv-LV"/>
        </w:rPr>
        <w:t>a</w:t>
      </w:r>
      <w:r w:rsidR="006B639B" w:rsidRPr="00F17A0C">
        <w:rPr>
          <w:rFonts w:ascii="Times New Roman" w:eastAsia="Times New Roman" w:hAnsi="Times New Roman" w:cs="Times New Roman"/>
          <w:color w:val="000000"/>
          <w:lang w:eastAsia="lv-LV"/>
        </w:rPr>
        <w:t xml:space="preserve"> “Komunistiskā terora upuru atbalsta un</w:t>
      </w:r>
      <w:r w:rsidR="006B639B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6B639B" w:rsidRPr="00F17A0C">
        <w:rPr>
          <w:rFonts w:ascii="Times New Roman" w:eastAsia="Times New Roman" w:hAnsi="Times New Roman" w:cs="Times New Roman"/>
          <w:color w:val="000000"/>
          <w:lang w:eastAsia="lv-LV"/>
        </w:rPr>
        <w:t>palīdzības fonds “Sibīrijas bērni””</w:t>
      </w:r>
      <w:r w:rsidR="006B639B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AF2DE7">
        <w:rPr>
          <w:rFonts w:ascii="Times New Roman" w:hAnsi="Times New Roman" w:cs="Times New Roman"/>
        </w:rPr>
        <w:t xml:space="preserve">projektu </w:t>
      </w:r>
      <w:r w:rsidR="00D04A7D" w:rsidRPr="009507AC">
        <w:rPr>
          <w:rStyle w:val="FontStyle19"/>
          <w:b w:val="0"/>
          <w:bCs w:val="0"/>
          <w:color w:val="000000" w:themeColor="text1"/>
          <w:sz w:val="24"/>
          <w:szCs w:val="24"/>
        </w:rPr>
        <w:t>“</w:t>
      </w:r>
      <w:r w:rsidR="00D04A7D" w:rsidRPr="009507AC">
        <w:rPr>
          <w:rFonts w:ascii="Times New Roman" w:hAnsi="Times New Roman" w:cs="Times New Roman"/>
          <w:bCs/>
          <w:color w:val="000000"/>
        </w:rPr>
        <w:t>Grāmatas “Dzimuši Sibīrijā” prezentācija un izstāde par 1941. un 1949.</w:t>
      </w:r>
      <w:r w:rsidR="00017A1B">
        <w:rPr>
          <w:rFonts w:ascii="Times New Roman" w:hAnsi="Times New Roman" w:cs="Times New Roman"/>
          <w:bCs/>
          <w:color w:val="000000"/>
        </w:rPr>
        <w:t xml:space="preserve"> </w:t>
      </w:r>
      <w:r w:rsidR="00D04A7D" w:rsidRPr="009507AC">
        <w:rPr>
          <w:rFonts w:ascii="Times New Roman" w:hAnsi="Times New Roman" w:cs="Times New Roman"/>
          <w:bCs/>
          <w:color w:val="000000"/>
        </w:rPr>
        <w:t>gada deportācijām</w:t>
      </w:r>
      <w:r w:rsidR="00D04A7D" w:rsidRPr="009507AC">
        <w:rPr>
          <w:rStyle w:val="FontStyle19"/>
          <w:b w:val="0"/>
          <w:bCs w:val="0"/>
          <w:color w:val="000000" w:themeColor="text1"/>
          <w:sz w:val="24"/>
          <w:szCs w:val="24"/>
        </w:rPr>
        <w:t>”</w:t>
      </w:r>
      <w:r w:rsidR="00D04A7D" w:rsidRPr="00AF2DE7">
        <w:rPr>
          <w:rStyle w:val="FontStyle19"/>
          <w:color w:val="000000" w:themeColor="text1"/>
          <w:sz w:val="24"/>
          <w:szCs w:val="24"/>
        </w:rPr>
        <w:t xml:space="preserve"> </w:t>
      </w:r>
      <w:r w:rsidRPr="00AF2DE7">
        <w:rPr>
          <w:rFonts w:ascii="Times New Roman" w:eastAsia="Calibri" w:hAnsi="Times New Roman" w:cs="Times New Roman"/>
          <w:color w:val="000000"/>
        </w:rPr>
        <w:t>un piešķirt pašvaldības līdzfinansējumu 50</w:t>
      </w:r>
      <w:r w:rsidR="00D04A7D" w:rsidRPr="00AF2DE7">
        <w:rPr>
          <w:rFonts w:ascii="Times New Roman" w:eastAsia="Calibri" w:hAnsi="Times New Roman" w:cs="Times New Roman"/>
          <w:color w:val="000000"/>
        </w:rPr>
        <w:t>0</w:t>
      </w:r>
      <w:r w:rsidRPr="00AF2DE7">
        <w:rPr>
          <w:rFonts w:ascii="Times New Roman" w:eastAsia="Calibri" w:hAnsi="Times New Roman" w:cs="Times New Roman"/>
          <w:color w:val="000000"/>
        </w:rPr>
        <w:t xml:space="preserve"> </w:t>
      </w:r>
      <w:r w:rsidRPr="00AF2DE7">
        <w:rPr>
          <w:rFonts w:ascii="Times New Roman" w:eastAsia="Calibri" w:hAnsi="Times New Roman" w:cs="Times New Roman"/>
          <w:iCs/>
          <w:color w:val="000000"/>
        </w:rPr>
        <w:t xml:space="preserve">EUR (pieci simti </w:t>
      </w:r>
      <w:proofErr w:type="spellStart"/>
      <w:r w:rsidRPr="00AF2DE7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AF2DE7">
        <w:rPr>
          <w:rFonts w:ascii="Times New Roman" w:eastAsia="Calibri" w:hAnsi="Times New Roman" w:cs="Times New Roman"/>
          <w:iCs/>
          <w:color w:val="000000"/>
        </w:rPr>
        <w:t>)</w:t>
      </w:r>
      <w:r>
        <w:rPr>
          <w:rFonts w:ascii="Times New Roman" w:eastAsia="Calibri" w:hAnsi="Times New Roman" w:cs="Times New Roman"/>
          <w:iCs/>
          <w:color w:val="000000"/>
        </w:rPr>
        <w:t>.</w:t>
      </w:r>
      <w:r w:rsidRPr="00AF2DE7">
        <w:rPr>
          <w:rFonts w:ascii="Times New Roman" w:eastAsia="Calibri" w:hAnsi="Times New Roman" w:cs="Times New Roman"/>
          <w:iCs/>
          <w:color w:val="000000"/>
        </w:rPr>
        <w:t xml:space="preserve"> </w:t>
      </w:r>
    </w:p>
    <w:p w14:paraId="6AFD78F6" w14:textId="36316FC0" w:rsidR="00CE6EF3" w:rsidRPr="00AF2DE7" w:rsidRDefault="009507AC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AF2DE7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 w:rsidR="00C70111">
        <w:rPr>
          <w:rFonts w:ascii="Times New Roman" w:eastAsia="Calibri" w:hAnsi="Times New Roman" w:cs="Times New Roman"/>
          <w:color w:val="000000"/>
        </w:rPr>
        <w:t xml:space="preserve">10 darba dienu laikā pēc lēmuma pieņemšanas </w:t>
      </w:r>
      <w:r w:rsidRPr="00AF2DE7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="00D04A7D" w:rsidRPr="00AF2DE7">
        <w:rPr>
          <w:rFonts w:ascii="Times New Roman" w:eastAsia="Times New Roman" w:hAnsi="Times New Roman" w:cs="Times New Roman"/>
          <w:color w:val="000000"/>
          <w:lang w:eastAsia="lv-LV"/>
        </w:rPr>
        <w:t xml:space="preserve">nodibinājumam “Komunistiskā terora upuru atbalsta un palīdzības fonds “Sibīrijas bērni”” </w:t>
      </w:r>
      <w:r w:rsidRPr="00AF2DE7">
        <w:rPr>
          <w:rFonts w:ascii="Times New Roman" w:eastAsia="Calibri" w:hAnsi="Times New Roman" w:cs="Times New Roman"/>
          <w:color w:val="000000"/>
        </w:rPr>
        <w:t>ne vēlāk</w:t>
      </w:r>
      <w:r w:rsidRPr="00AF2DE7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19166730" w14:textId="77777777" w:rsidR="00CE6EF3" w:rsidRPr="008360C2" w:rsidRDefault="009507AC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0B814C9F" w14:textId="77777777" w:rsidR="00CE6EF3" w:rsidRPr="008360C2" w:rsidRDefault="009507AC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apmaksāt </w:t>
      </w:r>
      <w:r w:rsidR="00D04A7D">
        <w:rPr>
          <w:rFonts w:ascii="Times New Roman" w:eastAsia="Times New Roman" w:hAnsi="Times New Roman" w:cs="Times New Roman"/>
          <w:color w:val="000000"/>
          <w:lang w:eastAsia="lv-LV"/>
        </w:rPr>
        <w:t>n</w:t>
      </w:r>
      <w:r w:rsidR="00D04A7D" w:rsidRPr="00F17A0C">
        <w:rPr>
          <w:rFonts w:ascii="Times New Roman" w:eastAsia="Times New Roman" w:hAnsi="Times New Roman" w:cs="Times New Roman"/>
          <w:color w:val="000000"/>
          <w:lang w:eastAsia="lv-LV"/>
        </w:rPr>
        <w:t>odibinājum</w:t>
      </w:r>
      <w:r w:rsidR="00D04A7D">
        <w:rPr>
          <w:rFonts w:ascii="Times New Roman" w:eastAsia="Times New Roman" w:hAnsi="Times New Roman" w:cs="Times New Roman"/>
          <w:color w:val="000000"/>
          <w:lang w:eastAsia="lv-LV"/>
        </w:rPr>
        <w:t>am</w:t>
      </w:r>
      <w:r w:rsidR="00D04A7D" w:rsidRPr="00F17A0C">
        <w:rPr>
          <w:rFonts w:ascii="Times New Roman" w:eastAsia="Times New Roman" w:hAnsi="Times New Roman" w:cs="Times New Roman"/>
          <w:color w:val="000000"/>
          <w:lang w:eastAsia="lv-LV"/>
        </w:rPr>
        <w:t xml:space="preserve"> “Komunistiskā terora upuru atbalsta un</w:t>
      </w:r>
      <w:r w:rsidR="00D04A7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D04A7D" w:rsidRPr="00F17A0C">
        <w:rPr>
          <w:rFonts w:ascii="Times New Roman" w:eastAsia="Times New Roman" w:hAnsi="Times New Roman" w:cs="Times New Roman"/>
          <w:color w:val="000000"/>
          <w:lang w:eastAsia="lv-LV"/>
        </w:rPr>
        <w:t>palīdzības fonds “Sibīrijas bērni””</w:t>
      </w:r>
      <w:r w:rsidR="00D04A7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 no Ādažu novada kultūras centra 202</w:t>
      </w:r>
      <w:r w:rsidR="00890709"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. gada budžeta tāmes līdzekļiem 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7A651B5E" w14:textId="77777777" w:rsidR="00927D47" w:rsidRDefault="009507AC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13D7DA6A" w14:textId="77777777" w:rsidR="00927D47" w:rsidRPr="008360C2" w:rsidRDefault="009507AC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5AE2D253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AAB8E5F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02B68702" w14:textId="77777777" w:rsidR="004F7929" w:rsidRPr="00564CA6" w:rsidRDefault="004F7929" w:rsidP="00BB16A4">
      <w:pPr>
        <w:jc w:val="both"/>
        <w:rPr>
          <w:rFonts w:ascii="Times New Roman" w:hAnsi="Times New Roman" w:cs="Times New Roman"/>
        </w:rPr>
      </w:pPr>
    </w:p>
    <w:p w14:paraId="3281B2A5" w14:textId="77777777" w:rsidR="00564CA6" w:rsidRDefault="009507A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4AF3F8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224105B" w14:textId="77777777" w:rsidR="00147221" w:rsidRPr="00147221" w:rsidRDefault="009507A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5E2DBEC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0203" w14:textId="77777777" w:rsidR="009507AC" w:rsidRDefault="009507AC">
      <w:r>
        <w:separator/>
      </w:r>
    </w:p>
  </w:endnote>
  <w:endnote w:type="continuationSeparator" w:id="0">
    <w:p w14:paraId="28EA75CA" w14:textId="77777777" w:rsidR="009507AC" w:rsidRDefault="0095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135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52E43CC" w14:textId="77777777" w:rsidR="005C7FA1" w:rsidRPr="005C7FA1" w:rsidRDefault="009507A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EBA04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83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000E24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89C6" w14:textId="77777777" w:rsidR="009507AC" w:rsidRDefault="009507AC">
      <w:r>
        <w:separator/>
      </w:r>
    </w:p>
  </w:footnote>
  <w:footnote w:type="continuationSeparator" w:id="0">
    <w:p w14:paraId="50233D1E" w14:textId="77777777" w:rsidR="009507AC" w:rsidRDefault="0095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D34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814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57E6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EB4" w:tentative="1">
      <w:start w:val="1"/>
      <w:numFmt w:val="lowerLetter"/>
      <w:lvlText w:val="%2."/>
      <w:lvlJc w:val="left"/>
      <w:pPr>
        <w:ind w:left="1440" w:hanging="360"/>
      </w:pPr>
    </w:lvl>
    <w:lvl w:ilvl="2" w:tplc="8A9C1D46" w:tentative="1">
      <w:start w:val="1"/>
      <w:numFmt w:val="lowerRoman"/>
      <w:lvlText w:val="%3."/>
      <w:lvlJc w:val="right"/>
      <w:pPr>
        <w:ind w:left="2160" w:hanging="180"/>
      </w:pPr>
    </w:lvl>
    <w:lvl w:ilvl="3" w:tplc="60B22066" w:tentative="1">
      <w:start w:val="1"/>
      <w:numFmt w:val="decimal"/>
      <w:lvlText w:val="%4."/>
      <w:lvlJc w:val="left"/>
      <w:pPr>
        <w:ind w:left="2880" w:hanging="360"/>
      </w:pPr>
    </w:lvl>
    <w:lvl w:ilvl="4" w:tplc="4F0AAA76" w:tentative="1">
      <w:start w:val="1"/>
      <w:numFmt w:val="lowerLetter"/>
      <w:lvlText w:val="%5."/>
      <w:lvlJc w:val="left"/>
      <w:pPr>
        <w:ind w:left="3600" w:hanging="360"/>
      </w:pPr>
    </w:lvl>
    <w:lvl w:ilvl="5" w:tplc="F45E4C2A" w:tentative="1">
      <w:start w:val="1"/>
      <w:numFmt w:val="lowerRoman"/>
      <w:lvlText w:val="%6."/>
      <w:lvlJc w:val="right"/>
      <w:pPr>
        <w:ind w:left="4320" w:hanging="180"/>
      </w:pPr>
    </w:lvl>
    <w:lvl w:ilvl="6" w:tplc="38F2FADA" w:tentative="1">
      <w:start w:val="1"/>
      <w:numFmt w:val="decimal"/>
      <w:lvlText w:val="%7."/>
      <w:lvlJc w:val="left"/>
      <w:pPr>
        <w:ind w:left="5040" w:hanging="360"/>
      </w:pPr>
    </w:lvl>
    <w:lvl w:ilvl="7" w:tplc="0FB85930" w:tentative="1">
      <w:start w:val="1"/>
      <w:numFmt w:val="lowerLetter"/>
      <w:lvlText w:val="%8."/>
      <w:lvlJc w:val="left"/>
      <w:pPr>
        <w:ind w:left="5760" w:hanging="360"/>
      </w:pPr>
    </w:lvl>
    <w:lvl w:ilvl="8" w:tplc="171E3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A1B"/>
    <w:rsid w:val="00030457"/>
    <w:rsid w:val="0004330D"/>
    <w:rsid w:val="00070E3F"/>
    <w:rsid w:val="00093BD2"/>
    <w:rsid w:val="000D5B11"/>
    <w:rsid w:val="000F3E89"/>
    <w:rsid w:val="00142C97"/>
    <w:rsid w:val="00147221"/>
    <w:rsid w:val="001524EA"/>
    <w:rsid w:val="0019247B"/>
    <w:rsid w:val="00195A73"/>
    <w:rsid w:val="001A1549"/>
    <w:rsid w:val="001A297B"/>
    <w:rsid w:val="0025391B"/>
    <w:rsid w:val="00297558"/>
    <w:rsid w:val="002C224A"/>
    <w:rsid w:val="002D53F6"/>
    <w:rsid w:val="0030728D"/>
    <w:rsid w:val="00351D48"/>
    <w:rsid w:val="003C401E"/>
    <w:rsid w:val="003F0CFE"/>
    <w:rsid w:val="004D516C"/>
    <w:rsid w:val="004F7929"/>
    <w:rsid w:val="00521C00"/>
    <w:rsid w:val="005303FE"/>
    <w:rsid w:val="0053073B"/>
    <w:rsid w:val="00543508"/>
    <w:rsid w:val="00556C82"/>
    <w:rsid w:val="00564CA6"/>
    <w:rsid w:val="00594C20"/>
    <w:rsid w:val="005C7FA1"/>
    <w:rsid w:val="00617AAC"/>
    <w:rsid w:val="00622F5B"/>
    <w:rsid w:val="0062713C"/>
    <w:rsid w:val="0065513B"/>
    <w:rsid w:val="00693F05"/>
    <w:rsid w:val="006B639B"/>
    <w:rsid w:val="006D3451"/>
    <w:rsid w:val="006D513B"/>
    <w:rsid w:val="006F3B0E"/>
    <w:rsid w:val="006F7454"/>
    <w:rsid w:val="0071423A"/>
    <w:rsid w:val="0074092B"/>
    <w:rsid w:val="00780FD7"/>
    <w:rsid w:val="00787558"/>
    <w:rsid w:val="0079484F"/>
    <w:rsid w:val="007A24BF"/>
    <w:rsid w:val="007B4DDB"/>
    <w:rsid w:val="007D7B20"/>
    <w:rsid w:val="008257F8"/>
    <w:rsid w:val="00827051"/>
    <w:rsid w:val="008360C2"/>
    <w:rsid w:val="0084182B"/>
    <w:rsid w:val="00856CDD"/>
    <w:rsid w:val="00890709"/>
    <w:rsid w:val="00892D6F"/>
    <w:rsid w:val="008E3846"/>
    <w:rsid w:val="009139A1"/>
    <w:rsid w:val="00914558"/>
    <w:rsid w:val="00927D47"/>
    <w:rsid w:val="00931891"/>
    <w:rsid w:val="00945100"/>
    <w:rsid w:val="009507AC"/>
    <w:rsid w:val="00996740"/>
    <w:rsid w:val="009A3989"/>
    <w:rsid w:val="009B7F8F"/>
    <w:rsid w:val="00A254B5"/>
    <w:rsid w:val="00A44F06"/>
    <w:rsid w:val="00A506D9"/>
    <w:rsid w:val="00A52B04"/>
    <w:rsid w:val="00A54CE3"/>
    <w:rsid w:val="00A60297"/>
    <w:rsid w:val="00A62D75"/>
    <w:rsid w:val="00AF2DE7"/>
    <w:rsid w:val="00B36CD4"/>
    <w:rsid w:val="00B4014F"/>
    <w:rsid w:val="00B451E2"/>
    <w:rsid w:val="00B47C10"/>
    <w:rsid w:val="00B64DB2"/>
    <w:rsid w:val="00BB16A4"/>
    <w:rsid w:val="00BE75D1"/>
    <w:rsid w:val="00C17647"/>
    <w:rsid w:val="00C65192"/>
    <w:rsid w:val="00C70111"/>
    <w:rsid w:val="00C82360"/>
    <w:rsid w:val="00C9477C"/>
    <w:rsid w:val="00CC1B2F"/>
    <w:rsid w:val="00CD124D"/>
    <w:rsid w:val="00CE6EF3"/>
    <w:rsid w:val="00CF16C2"/>
    <w:rsid w:val="00D04A7D"/>
    <w:rsid w:val="00D1025A"/>
    <w:rsid w:val="00D125B2"/>
    <w:rsid w:val="00D86969"/>
    <w:rsid w:val="00DA712B"/>
    <w:rsid w:val="00E127BE"/>
    <w:rsid w:val="00E52DA2"/>
    <w:rsid w:val="00E75D8D"/>
    <w:rsid w:val="00EA3B65"/>
    <w:rsid w:val="00EF06E1"/>
    <w:rsid w:val="00F12EC1"/>
    <w:rsid w:val="00F17A0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6B0D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Revision">
    <w:name w:val="Revision"/>
    <w:hidden/>
    <w:uiPriority w:val="99"/>
    <w:semiHidden/>
    <w:rsid w:val="00C6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14</cp:revision>
  <dcterms:created xsi:type="dcterms:W3CDTF">2025-04-12T12:18:00Z</dcterms:created>
  <dcterms:modified xsi:type="dcterms:W3CDTF">2025-05-30T06:47:00Z</dcterms:modified>
</cp:coreProperties>
</file>