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5625A" w14:textId="77777777" w:rsidR="00EF5039" w:rsidRDefault="000621E7">
      <w:r>
        <w:rPr>
          <w:noProof/>
        </w:rPr>
        <w:drawing>
          <wp:inline distT="0" distB="0" distL="0" distR="0" wp14:anchorId="50E5628B" wp14:editId="50E5628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E5625B" w14:textId="77777777" w:rsidR="00EF5039" w:rsidRDefault="00EF5039">
      <w:pPr>
        <w:pStyle w:val="NoSpacing"/>
        <w:jc w:val="right"/>
        <w:rPr>
          <w:rFonts w:ascii="Times New Roman" w:hAnsi="Times New Roman" w:cs="Times New Roman"/>
          <w:sz w:val="24"/>
          <w:szCs w:val="24"/>
        </w:rPr>
      </w:pPr>
    </w:p>
    <w:p w14:paraId="50E5625C" w14:textId="77777777" w:rsidR="00EF5039" w:rsidRDefault="000621E7">
      <w:pPr>
        <w:pStyle w:val="NoSpacing"/>
        <w:jc w:val="right"/>
        <w:rPr>
          <w:rFonts w:ascii="Times New Roman" w:hAnsi="Times New Roman" w:cs="Times New Roman"/>
          <w:sz w:val="24"/>
          <w:szCs w:val="24"/>
        </w:rPr>
      </w:pPr>
      <w:r>
        <w:rPr>
          <w:rFonts w:ascii="Times New Roman" w:hAnsi="Times New Roman" w:cs="Times New Roman"/>
          <w:sz w:val="24"/>
          <w:szCs w:val="24"/>
        </w:rPr>
        <w:t>PROJEKTS uz 10.04.2025.</w:t>
      </w:r>
    </w:p>
    <w:p w14:paraId="50E5625D" w14:textId="77777777" w:rsidR="00EF5039" w:rsidRDefault="000621E7">
      <w:pPr>
        <w:pStyle w:val="NoSpacing"/>
        <w:jc w:val="right"/>
        <w:rPr>
          <w:rFonts w:ascii="Times New Roman" w:hAnsi="Times New Roman" w:cs="Times New Roman"/>
          <w:sz w:val="24"/>
          <w:szCs w:val="24"/>
        </w:rPr>
      </w:pPr>
      <w:r>
        <w:rPr>
          <w:rFonts w:ascii="Times New Roman" w:hAnsi="Times New Roman" w:cs="Times New Roman"/>
          <w:sz w:val="24"/>
          <w:szCs w:val="24"/>
        </w:rPr>
        <w:t>Izskatīšanas laiks FK: 21.05.2025.</w:t>
      </w:r>
    </w:p>
    <w:p w14:paraId="50E5625E" w14:textId="77777777" w:rsidR="00EF5039" w:rsidRDefault="000621E7">
      <w:pPr>
        <w:pStyle w:val="NoSpacing"/>
        <w:jc w:val="right"/>
        <w:rPr>
          <w:rFonts w:ascii="Times New Roman" w:hAnsi="Times New Roman" w:cs="Times New Roman"/>
          <w:sz w:val="24"/>
          <w:szCs w:val="24"/>
        </w:rPr>
      </w:pPr>
      <w:r>
        <w:rPr>
          <w:rFonts w:ascii="Times New Roman" w:hAnsi="Times New Roman" w:cs="Times New Roman"/>
          <w:sz w:val="24"/>
          <w:szCs w:val="24"/>
        </w:rPr>
        <w:t>Domes sēdē: 29.05.2025.</w:t>
      </w:r>
    </w:p>
    <w:p w14:paraId="50E5625F" w14:textId="77777777" w:rsidR="00EF5039" w:rsidRDefault="000621E7">
      <w:pPr>
        <w:pStyle w:val="NoSpacing"/>
        <w:jc w:val="right"/>
        <w:rPr>
          <w:rFonts w:ascii="Times New Roman" w:hAnsi="Times New Roman" w:cs="Times New Roman"/>
          <w:sz w:val="24"/>
          <w:szCs w:val="24"/>
        </w:rPr>
      </w:pPr>
      <w:r>
        <w:rPr>
          <w:rFonts w:ascii="Times New Roman" w:hAnsi="Times New Roman" w:cs="Times New Roman"/>
          <w:sz w:val="24"/>
          <w:szCs w:val="24"/>
        </w:rPr>
        <w:t>sagatavotājs A.Riba</w:t>
      </w:r>
    </w:p>
    <w:p w14:paraId="50E56260" w14:textId="77777777" w:rsidR="00EF5039" w:rsidRDefault="000621E7">
      <w:pPr>
        <w:pStyle w:val="NoSpacing"/>
        <w:jc w:val="right"/>
        <w:rPr>
          <w:rFonts w:ascii="Times New Roman" w:hAnsi="Times New Roman" w:cs="Times New Roman"/>
          <w:sz w:val="24"/>
          <w:szCs w:val="24"/>
        </w:rPr>
      </w:pPr>
      <w:r>
        <w:rPr>
          <w:rFonts w:ascii="Times New Roman" w:hAnsi="Times New Roman" w:cs="Times New Roman"/>
          <w:sz w:val="24"/>
          <w:szCs w:val="24"/>
        </w:rPr>
        <w:t>ziņotājs A.Riba</w:t>
      </w:r>
    </w:p>
    <w:p w14:paraId="50E56261" w14:textId="77777777" w:rsidR="00EF5039" w:rsidRDefault="00EF5039">
      <w:pPr>
        <w:rPr>
          <w:rFonts w:ascii="Times New Roman" w:hAnsi="Times New Roman" w:cs="Times New Roman"/>
          <w:lang w:eastAsia="lv-LV"/>
        </w:rPr>
      </w:pPr>
    </w:p>
    <w:p w14:paraId="50E56262" w14:textId="77777777" w:rsidR="00EF5039" w:rsidRDefault="000621E7">
      <w:pPr>
        <w:tabs>
          <w:tab w:val="center" w:pos="4535"/>
          <w:tab w:val="left" w:pos="7116"/>
        </w:tabs>
        <w:jc w:val="center"/>
        <w:rPr>
          <w:rFonts w:ascii="Times New Roman" w:hAnsi="Times New Roman" w:cs="Times New Roman"/>
          <w:sz w:val="28"/>
          <w:szCs w:val="28"/>
        </w:rPr>
      </w:pPr>
      <w:r>
        <w:rPr>
          <w:rFonts w:ascii="Times New Roman" w:hAnsi="Times New Roman" w:cs="Times New Roman"/>
          <w:sz w:val="28"/>
          <w:szCs w:val="28"/>
        </w:rPr>
        <w:t>LĒMUMS</w:t>
      </w:r>
    </w:p>
    <w:p w14:paraId="50E56263" w14:textId="77777777" w:rsidR="00EF5039" w:rsidRDefault="000621E7">
      <w:pPr>
        <w:jc w:val="center"/>
        <w:rPr>
          <w:rFonts w:ascii="Times New Roman" w:hAnsi="Times New Roman" w:cs="Times New Roman"/>
        </w:rPr>
      </w:pPr>
      <w:r>
        <w:rPr>
          <w:rFonts w:ascii="Times New Roman" w:hAnsi="Times New Roman" w:cs="Times New Roman"/>
        </w:rPr>
        <w:t>Ādažos, Ādažu novadā</w:t>
      </w:r>
    </w:p>
    <w:p w14:paraId="50E56264" w14:textId="472E232C" w:rsidR="00EF5039" w:rsidRDefault="000621E7">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202</w:t>
      </w:r>
      <w:r w:rsidRPr="000621E7">
        <w:rPr>
          <w:rFonts w:ascii="Times New Roman" w:eastAsia="Times New Roman" w:hAnsi="Times New Roman" w:cs="Times New Roman"/>
          <w:lang w:eastAsia="lv-LV"/>
        </w:rPr>
        <w:t>5</w:t>
      </w:r>
      <w:r>
        <w:rPr>
          <w:rFonts w:ascii="Times New Roman" w:eastAsia="Times New Roman" w:hAnsi="Times New Roman" w:cs="Times New Roman"/>
          <w:lang w:eastAsia="lv-LV"/>
        </w:rPr>
        <w:t xml:space="preserve">. gada </w:t>
      </w:r>
      <w:r w:rsidRPr="000621E7">
        <w:rPr>
          <w:rFonts w:ascii="Times New Roman" w:eastAsia="Times New Roman" w:hAnsi="Times New Roman" w:cs="Times New Roman"/>
          <w:lang w:eastAsia="lv-LV"/>
        </w:rPr>
        <w:t>29.</w:t>
      </w:r>
      <w:r>
        <w:rPr>
          <w:rFonts w:ascii="Times New Roman" w:eastAsia="Times New Roman" w:hAnsi="Times New Roman" w:cs="Times New Roman"/>
          <w:lang w:eastAsia="lv-LV"/>
        </w:rPr>
        <w:t xml:space="preserve"> </w:t>
      </w:r>
      <w:r w:rsidRPr="000621E7">
        <w:rPr>
          <w:rFonts w:ascii="Times New Roman" w:eastAsia="Times New Roman" w:hAnsi="Times New Roman" w:cs="Times New Roman"/>
          <w:lang w:eastAsia="lv-LV"/>
        </w:rPr>
        <w:t>maijā</w:t>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t>Nr.</w:t>
      </w:r>
      <w:r w:rsidR="00605317" w:rsidRPr="00605317">
        <w:t xml:space="preserve"> </w:t>
      </w:r>
      <w:r w:rsidR="00605317" w:rsidRPr="00605317">
        <w:rPr>
          <w:rFonts w:ascii="Times New Roman" w:eastAsia="Times New Roman" w:hAnsi="Times New Roman" w:cs="Times New Roman"/>
          <w:lang w:eastAsia="lv-LV"/>
        </w:rPr>
        <w:t>«DOKREGNUMURS»</w:t>
      </w:r>
    </w:p>
    <w:p w14:paraId="50E56265" w14:textId="77777777" w:rsidR="00EF5039" w:rsidRDefault="00EF5039">
      <w:pPr>
        <w:jc w:val="right"/>
        <w:rPr>
          <w:rFonts w:ascii="Times New Roman" w:eastAsia="Calibri" w:hAnsi="Times New Roman" w:cs="Times New Roman"/>
          <w:b/>
        </w:rPr>
      </w:pPr>
    </w:p>
    <w:p w14:paraId="50E56266" w14:textId="77777777" w:rsidR="00EF5039" w:rsidRDefault="000621E7">
      <w:pPr>
        <w:spacing w:after="120"/>
        <w:jc w:val="center"/>
        <w:rPr>
          <w:rFonts w:ascii="Times New Roman" w:eastAsia="Times New Roman" w:hAnsi="Times New Roman" w:cs="Times New Roman"/>
          <w:b/>
        </w:rPr>
      </w:pPr>
      <w:r>
        <w:rPr>
          <w:rFonts w:ascii="Times New Roman" w:eastAsia="Calibri" w:hAnsi="Times New Roman" w:cs="Times New Roman"/>
          <w:b/>
        </w:rPr>
        <w:t>Par</w:t>
      </w:r>
      <w:r>
        <w:rPr>
          <w:rFonts w:ascii="Times New Roman" w:eastAsia="Times New Roman" w:hAnsi="Times New Roman" w:cs="Times New Roman"/>
          <w:b/>
        </w:rPr>
        <w:t xml:space="preserve"> neapbūvētu zemesgabalu nomas maksu pasākumā “Nēģu svētki Carnikavā” </w:t>
      </w:r>
      <w:bookmarkStart w:id="0" w:name="_Hlk2780603"/>
    </w:p>
    <w:p w14:paraId="50E56267" w14:textId="77777777" w:rsidR="00EF5039" w:rsidRDefault="000621E7">
      <w:pPr>
        <w:spacing w:after="120"/>
        <w:jc w:val="both"/>
        <w:rPr>
          <w:rFonts w:ascii="Times New Roman" w:hAnsi="Times New Roman" w:cs="Times New Roman"/>
        </w:rPr>
      </w:pPr>
      <w:r>
        <w:rPr>
          <w:rFonts w:ascii="Times New Roman" w:hAnsi="Times New Roman" w:cs="Times New Roman"/>
        </w:rPr>
        <w:t>Publiskas personas finanšu līdzekļu un mantas izšķērdēšanas novēršanas likuma 3. pants nosaka, ka publiska persona rīkojas ar finanšu līdzekļiem un mantu lietderīgi, t.i., rīcībai jābūt tādai, lai mērķi sasniegtu ar mazāko finanšu līdzekļu izlietojumu, kā arī ka manta nododama lietošanā citai personai par iespējami augstāku cenu.</w:t>
      </w:r>
    </w:p>
    <w:p w14:paraId="50E56268" w14:textId="0511E821" w:rsidR="00EF5039" w:rsidRDefault="000621E7">
      <w:pPr>
        <w:spacing w:after="120"/>
        <w:jc w:val="both"/>
        <w:rPr>
          <w:rFonts w:ascii="Times New Roman" w:hAnsi="Times New Roman" w:cs="Times New Roman"/>
        </w:rPr>
      </w:pPr>
      <w:r>
        <w:rPr>
          <w:rFonts w:ascii="Times New Roman" w:hAnsi="Times New Roman" w:cs="Times New Roman"/>
        </w:rPr>
        <w:t>Pašvaldības ieskatā ir lietderīgi un samērīgi iznomāt pašvaldības zemesgabalus 2 tirdzniecības teritoriju sabiedriskās ēdināšanas pakalpojumu organizēšanai, nodrošinot kopumā 8 vietas A zonā un 8 vietas B zonā tirdzniecībai ar ēdienu, alkoholu, uzkodām un bezalkoholiskiem dzērieniem pašvaldības publiskajā pasākumā “Nēģu svētki Carnikavā”, nodrošinot godīgu konkurenci un gūstot ieņēmumus pasākuma izdevumu apmaksai.</w:t>
      </w:r>
    </w:p>
    <w:p w14:paraId="50E56269" w14:textId="0FF5AFE2" w:rsidR="00EF5039" w:rsidRDefault="000621E7">
      <w:pPr>
        <w:spacing w:after="120"/>
        <w:jc w:val="both"/>
        <w:rPr>
          <w:rFonts w:ascii="Times New Roman" w:hAnsi="Times New Roman" w:cs="Times New Roman"/>
        </w:rPr>
      </w:pPr>
      <w:r>
        <w:rPr>
          <w:rFonts w:ascii="Times New Roman" w:hAnsi="Times New Roman" w:cs="Times New Roman"/>
        </w:rPr>
        <w:t>Atbilstoši Ministru kabineta 2018. gada 19. jūnija noteikumu Nr. 350 “Publiskas personas zemes nomas un apbūves tiesību noteikumi” 30.4. apakšpunktam, pašvaldība pasūtīja 2 zemes gabalu tirgus nomas maksas noteikšanu, ko veica neatkarīgs vērtētājs SIA ”Interbaltija” (turpmāk - vērtētājs), nosakot vienas dienas tirgus nomas maksu par 1 m</w:t>
      </w:r>
      <w:r>
        <w:rPr>
          <w:rFonts w:ascii="Times New Roman" w:hAnsi="Times New Roman" w:cs="Times New Roman"/>
          <w:vertAlign w:val="superscript"/>
        </w:rPr>
        <w:t>2</w:t>
      </w:r>
      <w:r>
        <w:rPr>
          <w:rFonts w:ascii="Times New Roman" w:hAnsi="Times New Roman" w:cs="Times New Roman"/>
        </w:rPr>
        <w:t xml:space="preserve"> zemes platībai publiskiem pasākumiem “Gaujas ielas svētki Ādažos” un “Nēģu svētki”.        </w:t>
      </w:r>
    </w:p>
    <w:p w14:paraId="50E5626A" w14:textId="1D09730D" w:rsidR="00EF5039" w:rsidRDefault="000621E7">
      <w:pPr>
        <w:spacing w:after="120"/>
        <w:jc w:val="both"/>
        <w:rPr>
          <w:rFonts w:ascii="Times New Roman" w:hAnsi="Times New Roman" w:cs="Times New Roman"/>
        </w:rPr>
      </w:pPr>
      <w:r>
        <w:rPr>
          <w:rFonts w:ascii="Times New Roman" w:hAnsi="Times New Roman" w:cs="Times New Roman"/>
        </w:rPr>
        <w:t>Pamatojoties uz Pašvaldību likuma 10. panta otrās daļas 1. punktu un 2. punkta “a” apakšpunktu, Publisku izklaides un svētku pasākumu drošības likuma 5. panta otro daļu, Ministru kabineta 2018. gada 19. jūnija noteikumu Nr. 350 “Publiskas personas zemes nomas un apbūves tiesības noteikumi” 28. un 32. punktu, kā arī 04.03.2024. saņemto vērtētāja atzinumu “Atzinumu par īstermiņa (vienas dienas) tirgus nomas maksu 1 m2</w:t>
      </w:r>
      <w:r>
        <w:rPr>
          <w:rFonts w:ascii="Times New Roman" w:hAnsi="Times New Roman" w:cs="Times New Roman"/>
          <w:position w:val="6"/>
        </w:rPr>
        <w:t xml:space="preserve"> </w:t>
      </w:r>
      <w:r>
        <w:rPr>
          <w:rFonts w:ascii="Times New Roman" w:hAnsi="Times New Roman" w:cs="Times New Roman"/>
        </w:rPr>
        <w:t>zemes platības tirdzniecības vietām publiskajos pasākumos - “Gaujas svētki Ādažos” un “Nēģu svētki” (pašvaldības reģ. Nr.</w:t>
      </w:r>
      <w:r>
        <w:rPr>
          <w:rFonts w:ascii="Times New Roman" w:hAnsi="Times New Roman" w:cs="Times New Roman"/>
          <w:color w:val="212529"/>
          <w:shd w:val="clear" w:color="auto" w:fill="FFFFFF"/>
        </w:rPr>
        <w:t xml:space="preserve"> ĀNP/1-11-1/24/1182)</w:t>
      </w:r>
      <w:r>
        <w:rPr>
          <w:rFonts w:ascii="Times New Roman" w:hAnsi="Times New Roman" w:cs="Times New Roman"/>
        </w:rPr>
        <w:t xml:space="preserve">, </w:t>
      </w:r>
      <w:r>
        <w:rPr>
          <w:rFonts w:ascii="Times New Roman" w:hAnsi="Times New Roman"/>
        </w:rPr>
        <w:t xml:space="preserve">kā arī ņemot vērā domes Finanšu komitejas 21.05.2025. atzinumu, </w:t>
      </w:r>
      <w:r>
        <w:rPr>
          <w:rFonts w:ascii="Times New Roman" w:hAnsi="Times New Roman" w:cs="Times New Roman"/>
        </w:rPr>
        <w:t>Ādažu novada pašvaldības dome</w:t>
      </w:r>
    </w:p>
    <w:p w14:paraId="50E5626B" w14:textId="77777777" w:rsidR="00EF5039" w:rsidRDefault="000621E7">
      <w:pPr>
        <w:pStyle w:val="Default"/>
        <w:spacing w:after="120"/>
        <w:ind w:left="426" w:hanging="426"/>
        <w:jc w:val="center"/>
        <w:rPr>
          <w:b/>
          <w:color w:val="auto"/>
        </w:rPr>
      </w:pPr>
      <w:r>
        <w:rPr>
          <w:b/>
          <w:color w:val="auto"/>
        </w:rPr>
        <w:t>NOLEMJ:</w:t>
      </w:r>
    </w:p>
    <w:bookmarkEnd w:id="0"/>
    <w:p w14:paraId="50E5626C" w14:textId="77777777" w:rsidR="00EF5039" w:rsidRDefault="000621E7">
      <w:pPr>
        <w:pStyle w:val="ListParagraph"/>
        <w:numPr>
          <w:ilvl w:val="0"/>
          <w:numId w:val="1"/>
        </w:numPr>
        <w:spacing w:before="120" w:after="0"/>
        <w:ind w:left="426" w:hanging="426"/>
        <w:contextualSpacing w:val="0"/>
        <w:jc w:val="both"/>
        <w:rPr>
          <w:szCs w:val="24"/>
        </w:rPr>
      </w:pPr>
      <w:r>
        <w:rPr>
          <w:szCs w:val="24"/>
        </w:rPr>
        <w:t xml:space="preserve">Apstiprināt tirdzniecības vietu zonu izvietojumu pašvaldības publiskā pasākuma “Nēģu svētki Carnikavā” norises teritorijā (pielikums Nr.1) un noteikt nomas maksas sākumcenu par </w:t>
      </w:r>
      <w:r>
        <w:rPr>
          <w:color w:val="000000"/>
          <w:szCs w:val="24"/>
        </w:rPr>
        <w:t xml:space="preserve">1. punktā noteiktajām </w:t>
      </w:r>
      <w:r>
        <w:rPr>
          <w:szCs w:val="24"/>
        </w:rPr>
        <w:t>tirdzniecības vietām saskaņā ar pielikumu Nr.2.</w:t>
      </w:r>
    </w:p>
    <w:p w14:paraId="50E5626D" w14:textId="77777777" w:rsidR="00EF5039" w:rsidRDefault="000621E7">
      <w:pPr>
        <w:pStyle w:val="ListParagraph"/>
        <w:widowControl w:val="0"/>
        <w:numPr>
          <w:ilvl w:val="0"/>
          <w:numId w:val="2"/>
        </w:numPr>
        <w:autoSpaceDE w:val="0"/>
        <w:autoSpaceDN w:val="0"/>
        <w:adjustRightInd w:val="0"/>
        <w:spacing w:before="120" w:after="0"/>
        <w:ind w:left="426" w:hanging="426"/>
        <w:contextualSpacing w:val="0"/>
        <w:jc w:val="both"/>
        <w:rPr>
          <w:szCs w:val="24"/>
        </w:rPr>
      </w:pPr>
      <w:bookmarkStart w:id="1" w:name="_Hlk162426842"/>
      <w:r>
        <w:rPr>
          <w:szCs w:val="24"/>
        </w:rPr>
        <w:t xml:space="preserve">Pašvaldības mantas iznomāšanas un atsavināšanas komisijai (turpmāk – Komisija) </w:t>
      </w:r>
      <w:r>
        <w:rPr>
          <w:color w:val="000000"/>
          <w:szCs w:val="24"/>
        </w:rPr>
        <w:t xml:space="preserve">organizēt 1. punktā </w:t>
      </w:r>
      <w:r>
        <w:rPr>
          <w:szCs w:val="24"/>
        </w:rPr>
        <w:t>noteikto tirdzniecības vietu zemesgabalu nomas tiesību elektronisko izsoli ar augšupejošu solījumu, nomas tiesību izsoles noteikumos iekļaujot šādus nosacījumus A un B zonas tirdzniecības vietu izsolei:</w:t>
      </w:r>
    </w:p>
    <w:p w14:paraId="50E5626E" w14:textId="77777777"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lastRenderedPageBreak/>
        <w:t>nomas maksu maksā 30 % apmērā pēc līguma noslēgšanas un 70 % apmērā pēc pasākuma norises;</w:t>
      </w:r>
    </w:p>
    <w:p w14:paraId="50E5626F" w14:textId="09F235A1"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 xml:space="preserve">nomas tiesību pretendents piesakoties izsolei iemaksā drošības naudu 500 </w:t>
      </w:r>
      <w:r>
        <w:rPr>
          <w:i/>
          <w:iCs/>
          <w:szCs w:val="24"/>
        </w:rPr>
        <w:t>euro</w:t>
      </w:r>
      <w:r>
        <w:rPr>
          <w:szCs w:val="24"/>
        </w:rPr>
        <w:t>;</w:t>
      </w:r>
    </w:p>
    <w:p w14:paraId="50E56270" w14:textId="77777777"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 xml:space="preserve">tiek piemērots līgumsods 100 </w:t>
      </w:r>
      <w:r>
        <w:rPr>
          <w:i/>
          <w:iCs/>
          <w:szCs w:val="24"/>
        </w:rPr>
        <w:t>euro</w:t>
      </w:r>
      <w:r>
        <w:rPr>
          <w:szCs w:val="24"/>
        </w:rPr>
        <w:t xml:space="preserve"> par katru tirdzniecības vietu, ja tā dabā neatbilst tehniskajām prasībām, kas nomniekam bija jānodrošina atbilstoši līguma nosacījumiem, un to ietur no drošības naudas;</w:t>
      </w:r>
    </w:p>
    <w:p w14:paraId="50E56271" w14:textId="77777777" w:rsidR="00EF5039" w:rsidRDefault="000621E7">
      <w:pPr>
        <w:pStyle w:val="ListParagraph"/>
        <w:widowControl w:val="0"/>
        <w:numPr>
          <w:ilvl w:val="1"/>
          <w:numId w:val="2"/>
        </w:numPr>
        <w:autoSpaceDE w:val="0"/>
        <w:autoSpaceDN w:val="0"/>
        <w:adjustRightInd w:val="0"/>
        <w:spacing w:before="120" w:after="0"/>
        <w:ind w:left="993" w:hanging="567"/>
        <w:contextualSpacing w:val="0"/>
        <w:jc w:val="both"/>
        <w:rPr>
          <w:szCs w:val="24"/>
        </w:rPr>
      </w:pPr>
      <w:r>
        <w:rPr>
          <w:szCs w:val="24"/>
        </w:rPr>
        <w:t>drošības nauda (izņemot līgumsodu) tiek iekļauta 2.1. apakšpunktā noteiktajā nomas maksas daļā pēc pasākuma norises.</w:t>
      </w:r>
    </w:p>
    <w:bookmarkEnd w:id="1"/>
    <w:p w14:paraId="50E56272" w14:textId="77777777" w:rsidR="00EF5039" w:rsidRDefault="000621E7">
      <w:pPr>
        <w:pStyle w:val="ListParagraph"/>
        <w:widowControl w:val="0"/>
        <w:numPr>
          <w:ilvl w:val="0"/>
          <w:numId w:val="2"/>
        </w:numPr>
        <w:autoSpaceDE w:val="0"/>
        <w:autoSpaceDN w:val="0"/>
        <w:adjustRightInd w:val="0"/>
        <w:spacing w:before="120" w:after="0"/>
        <w:ind w:left="426" w:hanging="426"/>
        <w:contextualSpacing w:val="0"/>
        <w:jc w:val="both"/>
        <w:rPr>
          <w:szCs w:val="24"/>
        </w:rPr>
      </w:pPr>
      <w:r>
        <w:rPr>
          <w:szCs w:val="24"/>
        </w:rPr>
        <w:t xml:space="preserve">Apstiprināt nosacījumus (3. un 4. pielikums) pretendentiem tirdzniecības vietu arhitektoniskajam risinājumam, dizainam, inženiertehniskajam aprīkojumam, kā arī ēdienu un dzērienu piedāvājumam.    </w:t>
      </w:r>
    </w:p>
    <w:p w14:paraId="50E56273" w14:textId="77777777" w:rsidR="00EF5039" w:rsidRDefault="000621E7">
      <w:pPr>
        <w:pStyle w:val="ListParagraph"/>
        <w:numPr>
          <w:ilvl w:val="0"/>
          <w:numId w:val="2"/>
        </w:numPr>
        <w:spacing w:before="120"/>
        <w:ind w:left="425" w:hanging="425"/>
        <w:contextualSpacing w:val="0"/>
        <w:jc w:val="both"/>
        <w:rPr>
          <w:szCs w:val="24"/>
        </w:rPr>
      </w:pPr>
      <w:r>
        <w:rPr>
          <w:szCs w:val="24"/>
        </w:rPr>
        <w:t>Nomas rezultātā ieņemtos līdzekļus novirzīt pasākuma “Nēģu svētki Carnikavā” izdevumu segšanai.</w:t>
      </w:r>
    </w:p>
    <w:p w14:paraId="50E56274" w14:textId="2C0004C8" w:rsidR="00EF5039" w:rsidRDefault="000621E7" w:rsidP="000621E7">
      <w:pPr>
        <w:pStyle w:val="ListParagraph"/>
        <w:widowControl w:val="0"/>
        <w:numPr>
          <w:ilvl w:val="0"/>
          <w:numId w:val="2"/>
        </w:numPr>
        <w:autoSpaceDE w:val="0"/>
        <w:autoSpaceDN w:val="0"/>
        <w:adjustRightInd w:val="0"/>
        <w:ind w:left="426" w:hanging="426"/>
        <w:contextualSpacing w:val="0"/>
        <w:jc w:val="both"/>
      </w:pPr>
      <w:r>
        <w:t>Carnikavas Tautas namam “ Ozolaine” katru gadu:</w:t>
      </w:r>
    </w:p>
    <w:p w14:paraId="3B9451B4" w14:textId="77777777" w:rsidR="000621E7" w:rsidRDefault="000621E7" w:rsidP="000621E7">
      <w:pPr>
        <w:pStyle w:val="ListParagraph"/>
        <w:widowControl w:val="0"/>
        <w:numPr>
          <w:ilvl w:val="1"/>
          <w:numId w:val="2"/>
        </w:numPr>
        <w:autoSpaceDE w:val="0"/>
        <w:autoSpaceDN w:val="0"/>
        <w:adjustRightInd w:val="0"/>
        <w:ind w:left="993" w:hanging="567"/>
        <w:contextualSpacing w:val="0"/>
        <w:jc w:val="both"/>
      </w:pPr>
      <w:r>
        <w:t xml:space="preserve"> noteikt termiņu nomas tiesību izsoles procesa uzsākšanai;</w:t>
      </w:r>
    </w:p>
    <w:p w14:paraId="1F6C2F91" w14:textId="77777777" w:rsidR="000621E7" w:rsidRDefault="000621E7" w:rsidP="000621E7">
      <w:pPr>
        <w:pStyle w:val="ListParagraph"/>
        <w:widowControl w:val="0"/>
        <w:numPr>
          <w:ilvl w:val="1"/>
          <w:numId w:val="2"/>
        </w:numPr>
        <w:autoSpaceDE w:val="0"/>
        <w:autoSpaceDN w:val="0"/>
        <w:adjustRightInd w:val="0"/>
        <w:ind w:left="993" w:hanging="567"/>
        <w:contextualSpacing w:val="0"/>
        <w:jc w:val="both"/>
      </w:pPr>
      <w:r>
        <w:t>noteikt nosacījumus pretendentiem tirdzniecības vietu arhitektoniskajam risinājumam, dizainam, inženiertehniskajam aprīkojumam, kā arī ēdienu un dzērienu piedāvājumam, tirdzniecības vietu skaitu;</w:t>
      </w:r>
    </w:p>
    <w:p w14:paraId="50E56277" w14:textId="2727AE5A" w:rsidR="00EF5039" w:rsidRDefault="000621E7" w:rsidP="000621E7">
      <w:pPr>
        <w:pStyle w:val="ListParagraph"/>
        <w:widowControl w:val="0"/>
        <w:numPr>
          <w:ilvl w:val="1"/>
          <w:numId w:val="2"/>
        </w:numPr>
        <w:autoSpaceDE w:val="0"/>
        <w:autoSpaceDN w:val="0"/>
        <w:adjustRightInd w:val="0"/>
        <w:ind w:left="993" w:hanging="567"/>
        <w:contextualSpacing w:val="0"/>
        <w:jc w:val="both"/>
      </w:pPr>
      <w:r>
        <w:t>līdz jūnijm sagatavot un iesniegt Komisijai pieteikumu un tehnisko specifikāciju izsoles organizēšanai, ietverot 5.2. punktā noteiktās prasības.</w:t>
      </w:r>
    </w:p>
    <w:p w14:paraId="50E56278" w14:textId="75590BE3" w:rsidR="00EF5039" w:rsidRDefault="000621E7">
      <w:pPr>
        <w:pStyle w:val="ListParagraph"/>
        <w:numPr>
          <w:ilvl w:val="0"/>
          <w:numId w:val="2"/>
        </w:numPr>
        <w:ind w:left="425" w:hanging="425"/>
        <w:contextualSpacing w:val="0"/>
        <w:jc w:val="both"/>
        <w:rPr>
          <w:szCs w:val="24"/>
        </w:rPr>
      </w:pPr>
      <w:r>
        <w:rPr>
          <w:szCs w:val="24"/>
        </w:rPr>
        <w:t>Ar šī lēmuma spēkā stāšanos spēku zaudē Ādažu novada pašvaldības domes 30.05.2024. lēmums Nr. 209 “Par neapbūvētu zemesgabalu nomas maksu pasākumā “Nēģu svētki Carnikavā””.</w:t>
      </w:r>
    </w:p>
    <w:p w14:paraId="50E56279" w14:textId="77777777" w:rsidR="00EF5039" w:rsidRDefault="000621E7">
      <w:pPr>
        <w:pStyle w:val="ListParagraph"/>
        <w:numPr>
          <w:ilvl w:val="0"/>
          <w:numId w:val="2"/>
        </w:numPr>
        <w:ind w:left="426" w:hanging="426"/>
        <w:contextualSpacing w:val="0"/>
        <w:jc w:val="both"/>
        <w:rPr>
          <w:szCs w:val="24"/>
        </w:rPr>
      </w:pPr>
      <w:r>
        <w:rPr>
          <w:szCs w:val="24"/>
        </w:rPr>
        <w:t xml:space="preserve">Pašvaldības izpilddirektoram organizēt lēmuma izpildes kontroli. </w:t>
      </w:r>
    </w:p>
    <w:p w14:paraId="50E5627A" w14:textId="77777777" w:rsidR="00EF5039" w:rsidRDefault="00EF5039">
      <w:pPr>
        <w:pStyle w:val="ListParagraph"/>
        <w:spacing w:before="120"/>
        <w:ind w:left="0"/>
        <w:contextualSpacing w:val="0"/>
        <w:jc w:val="both"/>
        <w:rPr>
          <w:szCs w:val="24"/>
        </w:rPr>
      </w:pPr>
    </w:p>
    <w:p w14:paraId="50E5627C" w14:textId="77777777" w:rsidR="00EF5039" w:rsidRDefault="00EF5039">
      <w:pPr>
        <w:widowControl w:val="0"/>
        <w:autoSpaceDE w:val="0"/>
        <w:autoSpaceDN w:val="0"/>
        <w:adjustRightInd w:val="0"/>
        <w:jc w:val="both"/>
      </w:pPr>
    </w:p>
    <w:p w14:paraId="50E5627D" w14:textId="77777777" w:rsidR="00EF5039" w:rsidRDefault="000621E7">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Pašvaldības domes priekšsēdētāja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 Miķelsone</w:t>
      </w:r>
    </w:p>
    <w:p w14:paraId="50E5627E" w14:textId="77777777" w:rsidR="00EF5039" w:rsidRDefault="00EF5039">
      <w:pPr>
        <w:widowControl w:val="0"/>
        <w:autoSpaceDE w:val="0"/>
        <w:autoSpaceDN w:val="0"/>
        <w:adjustRightInd w:val="0"/>
        <w:jc w:val="both"/>
        <w:rPr>
          <w:rFonts w:ascii="Times New Roman" w:hAnsi="Times New Roman" w:cs="Times New Roman"/>
        </w:rPr>
      </w:pPr>
    </w:p>
    <w:p w14:paraId="50E5627F" w14:textId="77777777" w:rsidR="00EF5039" w:rsidRDefault="000621E7">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50E56280" w14:textId="77777777" w:rsidR="00EF5039" w:rsidRDefault="000621E7">
      <w:pPr>
        <w:jc w:val="both"/>
        <w:rPr>
          <w:rFonts w:ascii="Times New Roman" w:hAnsi="Times New Roman" w:cs="Times New Roman"/>
        </w:rPr>
      </w:pPr>
      <w:r>
        <w:rPr>
          <w:rFonts w:ascii="Times New Roman" w:hAnsi="Times New Roman" w:cs="Times New Roman"/>
        </w:rPr>
        <w:t>__________________________</w:t>
      </w:r>
    </w:p>
    <w:p w14:paraId="50E56281" w14:textId="3C06F85B" w:rsidR="00EF5039" w:rsidRDefault="000621E7">
      <w:pPr>
        <w:jc w:val="both"/>
        <w:rPr>
          <w:rFonts w:ascii="Times New Roman" w:hAnsi="Times New Roman" w:cs="Times New Roman"/>
        </w:rPr>
      </w:pPr>
      <w:r>
        <w:rPr>
          <w:rFonts w:ascii="Times New Roman" w:hAnsi="Times New Roman" w:cs="Times New Roman"/>
          <w:u w:val="single"/>
        </w:rPr>
        <w:t>Izsniegt norakstus</w:t>
      </w:r>
      <w:r>
        <w:rPr>
          <w:rFonts w:ascii="Times New Roman" w:hAnsi="Times New Roman" w:cs="Times New Roman"/>
        </w:rPr>
        <w:t xml:space="preserve"> @:</w:t>
      </w:r>
    </w:p>
    <w:p w14:paraId="50E56288" w14:textId="5DE40508" w:rsidR="00EF5039" w:rsidRDefault="000621E7">
      <w:pPr>
        <w:jc w:val="both"/>
        <w:rPr>
          <w:rFonts w:ascii="Times New Roman" w:hAnsi="Times New Roman" w:cs="Times New Roman"/>
        </w:rPr>
      </w:pPr>
      <w:r>
        <w:rPr>
          <w:rFonts w:ascii="Times New Roman" w:hAnsi="Times New Roman" w:cs="Times New Roman"/>
        </w:rPr>
        <w:t xml:space="preserve">ĀNKC, CTN, FIN, JIN, NĪN, IDR </w:t>
      </w:r>
    </w:p>
    <w:p w14:paraId="50E56289" w14:textId="77777777" w:rsidR="00EF5039" w:rsidRDefault="00EF5039">
      <w:pPr>
        <w:jc w:val="center"/>
        <w:rPr>
          <w:rFonts w:ascii="Times New Roman" w:hAnsi="Times New Roman" w:cs="Times New Roman"/>
        </w:rPr>
      </w:pPr>
    </w:p>
    <w:p w14:paraId="50E5628A" w14:textId="77777777" w:rsidR="00EF5039" w:rsidRDefault="00EF5039"/>
    <w:sectPr w:rsidR="00EF5039">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56297" w14:textId="77777777" w:rsidR="000621E7" w:rsidRDefault="000621E7">
      <w:r>
        <w:separator/>
      </w:r>
    </w:p>
  </w:endnote>
  <w:endnote w:type="continuationSeparator" w:id="0">
    <w:p w14:paraId="50E56299" w14:textId="77777777" w:rsidR="000621E7" w:rsidRDefault="00062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944814"/>
    </w:sdtPr>
    <w:sdtEndPr>
      <w:rPr>
        <w:rFonts w:ascii="Times New Roman" w:hAnsi="Times New Roman" w:cs="Times New Roman"/>
      </w:rPr>
    </w:sdtEndPr>
    <w:sdtContent>
      <w:p w14:paraId="50E5628E" w14:textId="77777777" w:rsidR="00EF5039" w:rsidRDefault="000621E7">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p w14:paraId="50E5628F" w14:textId="77777777" w:rsidR="00EF5039" w:rsidRDefault="00EF5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6291" w14:textId="77777777" w:rsidR="00EF5039" w:rsidRDefault="00EF5039">
    <w:pPr>
      <w:pStyle w:val="Footer"/>
      <w:jc w:val="right"/>
      <w:rPr>
        <w:rFonts w:ascii="Times New Roman" w:hAnsi="Times New Roman" w:cs="Times New Roman"/>
      </w:rPr>
    </w:pPr>
  </w:p>
  <w:p w14:paraId="50E56292" w14:textId="77777777" w:rsidR="00EF5039" w:rsidRDefault="00EF5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6293" w14:textId="77777777" w:rsidR="000621E7" w:rsidRDefault="000621E7">
      <w:r>
        <w:separator/>
      </w:r>
    </w:p>
  </w:footnote>
  <w:footnote w:type="continuationSeparator" w:id="0">
    <w:p w14:paraId="50E56295" w14:textId="77777777" w:rsidR="000621E7" w:rsidRDefault="00062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628D" w14:textId="77777777" w:rsidR="00EF5039" w:rsidRDefault="00EF5039">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6290" w14:textId="77777777" w:rsidR="00EF5039" w:rsidRDefault="00EF5039">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D15EB"/>
    <w:multiLevelType w:val="multilevel"/>
    <w:tmpl w:val="332D15EB"/>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num w:numId="1" w16cid:durableId="1827700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401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0457"/>
    <w:rsid w:val="000621E7"/>
    <w:rsid w:val="00070E3F"/>
    <w:rsid w:val="00147221"/>
    <w:rsid w:val="00195A73"/>
    <w:rsid w:val="001A297B"/>
    <w:rsid w:val="0025391B"/>
    <w:rsid w:val="00297558"/>
    <w:rsid w:val="002D53F6"/>
    <w:rsid w:val="00351D48"/>
    <w:rsid w:val="003C401E"/>
    <w:rsid w:val="00456E62"/>
    <w:rsid w:val="004D516C"/>
    <w:rsid w:val="00521C00"/>
    <w:rsid w:val="0053073B"/>
    <w:rsid w:val="00543508"/>
    <w:rsid w:val="00564CA6"/>
    <w:rsid w:val="005C7FA1"/>
    <w:rsid w:val="00605317"/>
    <w:rsid w:val="00617AAC"/>
    <w:rsid w:val="00693F05"/>
    <w:rsid w:val="006D3451"/>
    <w:rsid w:val="006D513B"/>
    <w:rsid w:val="0074092B"/>
    <w:rsid w:val="0079484F"/>
    <w:rsid w:val="007B4DDB"/>
    <w:rsid w:val="008257F8"/>
    <w:rsid w:val="008E3846"/>
    <w:rsid w:val="009139A1"/>
    <w:rsid w:val="00931891"/>
    <w:rsid w:val="00947758"/>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EF5039"/>
    <w:rsid w:val="00FA29A3"/>
    <w:rsid w:val="17F86CBE"/>
    <w:rsid w:val="27004A09"/>
    <w:rsid w:val="36286165"/>
    <w:rsid w:val="38711969"/>
    <w:rsid w:val="54155B0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625A"/>
  <w15:docId w15:val="{97A21A24-288E-40A2-8816-8B9297F1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Calibri" w:hAnsi="Calibri" w:cs="Calibri"/>
      <w:kern w:val="2"/>
      <w:sz w:val="22"/>
      <w:szCs w:val="22"/>
      <w:lang w:eastAsia="en-US"/>
      <w14:ligatures w14:val="standardContextual"/>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eastAsia="en-US"/>
    </w:rPr>
  </w:style>
  <w:style w:type="paragraph" w:styleId="ListParagraph">
    <w:name w:val="List Paragraph"/>
    <w:basedOn w:val="Normal"/>
    <w:uiPriority w:val="99"/>
    <w:qFormat/>
    <w:pPr>
      <w:spacing w:after="120"/>
      <w:ind w:left="720"/>
      <w:contextualSpacing/>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2789</Words>
  <Characters>1590</Characters>
  <Application>Microsoft Office Word</Application>
  <DocSecurity>0</DocSecurity>
  <Lines>13</Lines>
  <Paragraphs>8</Paragraphs>
  <ScaleCrop>false</ScaleCrop>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2024-06-01T14:06:00Z</dcterms:created>
  <dcterms:modified xsi:type="dcterms:W3CDTF">2025-05-22T16:43:00Z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02781A033D1B44D58D26C7D873192AAF_13</vt:lpwstr>
  </property>
</Properties>
</file>