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B239F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EE4C93" w:rsidRDefault="00B239F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EE4C9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EE4C9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5941AE1A" w14:textId="77777777" w:rsidR="00564CA6" w:rsidRPr="00EE4C93" w:rsidRDefault="00B239F5" w:rsidP="00564CA6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EE4C93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47C0F9DB" w14:textId="77777777" w:rsidR="00564CA6" w:rsidRPr="00EE4C93" w:rsidRDefault="00B239F5" w:rsidP="00564CA6">
      <w:pPr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noProof/>
          <w:color w:val="000000" w:themeColor="text1"/>
        </w:rPr>
        <w:tab/>
      </w:r>
      <w:r w:rsidRPr="00EE4C93">
        <w:rPr>
          <w:rFonts w:ascii="Times New Roman" w:hAnsi="Times New Roman" w:cs="Times New Roman"/>
          <w:noProof/>
          <w:color w:val="000000" w:themeColor="text1"/>
        </w:rPr>
        <w:tab/>
      </w:r>
      <w:r w:rsidRPr="00EE4C93">
        <w:rPr>
          <w:rFonts w:ascii="Times New Roman" w:hAnsi="Times New Roman" w:cs="Times New Roman"/>
          <w:noProof/>
          <w:color w:val="000000" w:themeColor="text1"/>
        </w:rPr>
        <w:tab/>
      </w:r>
      <w:r w:rsidRPr="00EE4C93">
        <w:rPr>
          <w:rFonts w:ascii="Times New Roman" w:hAnsi="Times New Roman" w:cs="Times New Roman"/>
          <w:noProof/>
          <w:color w:val="000000" w:themeColor="text1"/>
        </w:rPr>
        <w:tab/>
      </w:r>
    </w:p>
    <w:p w14:paraId="513E1B4D" w14:textId="01D7258F" w:rsidR="00564CA6" w:rsidRPr="00EE4C93" w:rsidRDefault="00B239F5" w:rsidP="00564CA6">
      <w:pPr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2025. gada 7. maijā</w:t>
      </w:r>
      <w:r w:rsidRPr="00EE4C93">
        <w:rPr>
          <w:rFonts w:ascii="Times New Roman" w:hAnsi="Times New Roman" w:cs="Times New Roman"/>
          <w:color w:val="000000" w:themeColor="text1"/>
        </w:rPr>
        <w:tab/>
      </w:r>
      <w:r w:rsidRPr="00EE4C93">
        <w:rPr>
          <w:rFonts w:ascii="Times New Roman" w:hAnsi="Times New Roman" w:cs="Times New Roman"/>
          <w:color w:val="000000" w:themeColor="text1"/>
        </w:rPr>
        <w:tab/>
      </w:r>
      <w:r w:rsidRPr="00EE4C93">
        <w:rPr>
          <w:rFonts w:ascii="Times New Roman" w:hAnsi="Times New Roman" w:cs="Times New Roman"/>
          <w:color w:val="000000" w:themeColor="text1"/>
        </w:rPr>
        <w:tab/>
      </w:r>
      <w:r w:rsidR="003F5667">
        <w:rPr>
          <w:rFonts w:ascii="Times New Roman" w:hAnsi="Times New Roman" w:cs="Times New Roman"/>
          <w:color w:val="000000" w:themeColor="text1"/>
        </w:rPr>
        <w:tab/>
      </w:r>
      <w:r w:rsidR="003F5667">
        <w:rPr>
          <w:rFonts w:ascii="Times New Roman" w:hAnsi="Times New Roman" w:cs="Times New Roman"/>
          <w:color w:val="000000" w:themeColor="text1"/>
        </w:rPr>
        <w:tab/>
      </w:r>
      <w:r w:rsidR="003F5667">
        <w:rPr>
          <w:rFonts w:ascii="Times New Roman" w:hAnsi="Times New Roman" w:cs="Times New Roman"/>
          <w:color w:val="000000" w:themeColor="text1"/>
        </w:rPr>
        <w:tab/>
      </w:r>
      <w:r w:rsidR="003F5667">
        <w:rPr>
          <w:rFonts w:ascii="Times New Roman" w:hAnsi="Times New Roman" w:cs="Times New Roman"/>
          <w:color w:val="000000" w:themeColor="text1"/>
        </w:rPr>
        <w:tab/>
      </w:r>
      <w:r w:rsidRPr="00EE4C93">
        <w:rPr>
          <w:rFonts w:ascii="Times New Roman" w:hAnsi="Times New Roman" w:cs="Times New Roman"/>
          <w:color w:val="000000" w:themeColor="text1"/>
        </w:rPr>
        <w:tab/>
      </w:r>
      <w:r w:rsidRPr="00EE4C93">
        <w:rPr>
          <w:rFonts w:ascii="Times New Roman" w:hAnsi="Times New Roman" w:cs="Times New Roman"/>
          <w:color w:val="000000" w:themeColor="text1"/>
        </w:rPr>
        <w:tab/>
      </w:r>
      <w:r w:rsidRPr="00EE4C93">
        <w:rPr>
          <w:rFonts w:ascii="Times New Roman" w:hAnsi="Times New Roman" w:cs="Times New Roman"/>
          <w:b/>
          <w:color w:val="000000" w:themeColor="text1"/>
        </w:rPr>
        <w:t>Nr.</w:t>
      </w:r>
      <w:r w:rsidR="003F5667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3F5667">
        <w:rPr>
          <w:rFonts w:ascii="Times New Roman" w:hAnsi="Times New Roman" w:cs="Times New Roman"/>
          <w:b/>
          <w:bCs/>
          <w:noProof/>
          <w:color w:val="000000" w:themeColor="text1"/>
        </w:rPr>
        <w:t>178</w:t>
      </w:r>
    </w:p>
    <w:p w14:paraId="56AA4385" w14:textId="77777777" w:rsidR="00564CA6" w:rsidRPr="00EE4C93" w:rsidRDefault="00564CA6" w:rsidP="00564CA6">
      <w:pPr>
        <w:rPr>
          <w:rFonts w:ascii="Times New Roman" w:hAnsi="Times New Roman" w:cs="Times New Roman"/>
          <w:b/>
          <w:color w:val="000000" w:themeColor="text1"/>
        </w:rPr>
      </w:pPr>
    </w:p>
    <w:p w14:paraId="1DEFDA4E" w14:textId="2BFC1DFF" w:rsidR="00697863" w:rsidRPr="00EE4C93" w:rsidRDefault="00B239F5" w:rsidP="0069786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E4C93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Pr="00EE4C93">
        <w:rPr>
          <w:rFonts w:ascii="Times New Roman" w:hAnsi="Times New Roman" w:cs="Times New Roman"/>
          <w:b/>
          <w:bCs/>
          <w:color w:val="000000" w:themeColor="text1"/>
        </w:rPr>
        <w:t>grozījumiem</w:t>
      </w:r>
      <w:r w:rsidR="00F9129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91297" w:rsidRPr="00F91297">
        <w:rPr>
          <w:rFonts w:ascii="Times New Roman" w:hAnsi="Times New Roman" w:cs="Times New Roman"/>
          <w:b/>
          <w:bCs/>
          <w:color w:val="000000" w:themeColor="text1"/>
        </w:rPr>
        <w:t>Ādažu novada pašvaldības domes</w:t>
      </w:r>
      <w:r w:rsidRPr="00EE4C93">
        <w:rPr>
          <w:rFonts w:ascii="Times New Roman" w:hAnsi="Times New Roman" w:cs="Times New Roman"/>
          <w:b/>
          <w:bCs/>
          <w:color w:val="000000" w:themeColor="text1"/>
        </w:rPr>
        <w:t xml:space="preserve"> 2022. gada 10. janvāra lēmumā Nr.8 “Par projektu “Maģistrālās veloceļu infrastruktūras būvniecība prioritārajā koridorā Rīga-Carnikava””</w:t>
      </w:r>
    </w:p>
    <w:p w14:paraId="4C93C305" w14:textId="77777777" w:rsidR="00697863" w:rsidRPr="00EE4C93" w:rsidRDefault="00697863" w:rsidP="00697863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515A00C7" w14:textId="3578B321" w:rsidR="00697863" w:rsidRPr="00697863" w:rsidRDefault="00B239F5" w:rsidP="00697863">
      <w:pPr>
        <w:spacing w:after="12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>Ādažu novada pašvaldības dome 2022. gada 10. janvārī pieņēma lēmumu Nr. 8 “Par projektu “Maģistrālās veloceļu infrastruktūras būvniecība prioritārajā koridorā Rīga-Carnikava”” (turpmāk – Lēmums) un konceptuāli atbalstīja Eiropas Savienības Atveseļošanas un noturības mehānisma (turpmāk – ANM) plāna projektu “Maģistrālās veloceļu infrastruktūras būvniecība prioritārajā koridorā Rīga-Carnikava” (turpmāk – Projekts) ar kopējo ANM finansējumu 3 904</w:t>
      </w:r>
      <w:r w:rsidR="00957347">
        <w:rPr>
          <w:rFonts w:ascii="Times New Roman" w:hAnsi="Times New Roman" w:cs="Times New Roman"/>
        </w:rPr>
        <w:t> </w:t>
      </w:r>
      <w:r w:rsidRPr="00697863">
        <w:rPr>
          <w:rFonts w:ascii="Times New Roman" w:hAnsi="Times New Roman" w:cs="Times New Roman"/>
        </w:rPr>
        <w:t>620</w:t>
      </w:r>
      <w:r w:rsidR="00957347">
        <w:rPr>
          <w:rFonts w:ascii="Times New Roman" w:hAnsi="Times New Roman" w:cs="Times New Roman"/>
        </w:rPr>
        <w:t xml:space="preserve"> </w:t>
      </w:r>
      <w:r w:rsidR="00957347">
        <w:rPr>
          <w:rFonts w:ascii="Times New Roman" w:hAnsi="Times New Roman" w:cs="Times New Roman"/>
          <w:i/>
          <w:iCs/>
        </w:rPr>
        <w:t>euro</w:t>
      </w:r>
      <w:r w:rsidRPr="00697863">
        <w:rPr>
          <w:rFonts w:ascii="Times New Roman" w:hAnsi="Times New Roman" w:cs="Times New Roman"/>
        </w:rPr>
        <w:t xml:space="preserve"> un pašvaldības finansējumu pievienotās vērtības </w:t>
      </w:r>
      <w:r w:rsidR="009B6ED7">
        <w:rPr>
          <w:rFonts w:ascii="Times New Roman" w:hAnsi="Times New Roman" w:cs="Times New Roman"/>
        </w:rPr>
        <w:t xml:space="preserve">nodokļa </w:t>
      </w:r>
      <w:r w:rsidRPr="00697863">
        <w:rPr>
          <w:rFonts w:ascii="Times New Roman" w:hAnsi="Times New Roman" w:cs="Times New Roman"/>
        </w:rPr>
        <w:t>apmērā 819 970,20</w:t>
      </w:r>
      <w:r w:rsidR="00957347">
        <w:rPr>
          <w:rFonts w:ascii="Times New Roman" w:hAnsi="Times New Roman" w:cs="Times New Roman"/>
        </w:rPr>
        <w:t xml:space="preserve"> </w:t>
      </w:r>
      <w:r w:rsidR="00957347">
        <w:rPr>
          <w:rFonts w:ascii="Times New Roman" w:hAnsi="Times New Roman" w:cs="Times New Roman"/>
          <w:i/>
          <w:iCs/>
        </w:rPr>
        <w:t>euro</w:t>
      </w:r>
      <w:r w:rsidRPr="00697863">
        <w:rPr>
          <w:rFonts w:ascii="Times New Roman" w:hAnsi="Times New Roman" w:cs="Times New Roman"/>
        </w:rPr>
        <w:t>.</w:t>
      </w:r>
    </w:p>
    <w:p w14:paraId="23148B62" w14:textId="560ABDAB" w:rsidR="00697863" w:rsidRPr="00697863" w:rsidRDefault="00B239F5" w:rsidP="00697863">
      <w:pPr>
        <w:spacing w:after="12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 xml:space="preserve">2023. gada 26. aprīlī pašvaldības dome pieņēma lēmumu Nr. 153 ““Par grozījumiem 2022. gada 10. janvāra lēmumā Nr. 8 “”Par projektu “Maģistrālās veloceļu infrastruktūras būvniecība prioritārajā koridorā Rīga-Carnikava””, apstiprinot Projekta kopējo budžetu 5 007 633 </w:t>
      </w:r>
      <w:r w:rsidR="00957347">
        <w:rPr>
          <w:rFonts w:ascii="Times New Roman" w:hAnsi="Times New Roman" w:cs="Times New Roman"/>
          <w:i/>
          <w:iCs/>
        </w:rPr>
        <w:t xml:space="preserve">euro </w:t>
      </w:r>
      <w:r w:rsidRPr="00697863">
        <w:rPr>
          <w:rFonts w:ascii="Times New Roman" w:hAnsi="Times New Roman" w:cs="Times New Roman"/>
        </w:rPr>
        <w:t xml:space="preserve">apmērā un pašvaldības līdzfinansējuma nodrošinājumu līdz 1 731 073 </w:t>
      </w:r>
      <w:r w:rsidR="00957347">
        <w:rPr>
          <w:rFonts w:ascii="Times New Roman" w:hAnsi="Times New Roman" w:cs="Times New Roman"/>
          <w:i/>
          <w:iCs/>
        </w:rPr>
        <w:t xml:space="preserve">euro </w:t>
      </w:r>
      <w:r w:rsidR="009B6ED7">
        <w:rPr>
          <w:rFonts w:ascii="Times New Roman" w:hAnsi="Times New Roman" w:cs="Times New Roman"/>
        </w:rPr>
        <w:t>(</w:t>
      </w:r>
      <w:r w:rsidRPr="00697863">
        <w:rPr>
          <w:rFonts w:ascii="Times New Roman" w:hAnsi="Times New Roman" w:cs="Times New Roman"/>
        </w:rPr>
        <w:t xml:space="preserve">ar </w:t>
      </w:r>
      <w:r w:rsidR="009B6ED7" w:rsidRPr="00697863">
        <w:rPr>
          <w:rFonts w:ascii="Times New Roman" w:hAnsi="Times New Roman" w:cs="Times New Roman"/>
        </w:rPr>
        <w:t xml:space="preserve">aizņēmumu </w:t>
      </w:r>
      <w:r w:rsidRPr="00697863">
        <w:rPr>
          <w:rFonts w:ascii="Times New Roman" w:hAnsi="Times New Roman" w:cs="Times New Roman"/>
        </w:rPr>
        <w:t>Valsts kas</w:t>
      </w:r>
      <w:r w:rsidR="009B6ED7">
        <w:rPr>
          <w:rFonts w:ascii="Times New Roman" w:hAnsi="Times New Roman" w:cs="Times New Roman"/>
        </w:rPr>
        <w:t>ē)</w:t>
      </w:r>
      <w:r w:rsidRPr="00697863">
        <w:rPr>
          <w:rFonts w:ascii="Times New Roman" w:hAnsi="Times New Roman" w:cs="Times New Roman"/>
        </w:rPr>
        <w:t>.</w:t>
      </w:r>
    </w:p>
    <w:p w14:paraId="7B0B5E0A" w14:textId="77A52EF0" w:rsidR="002B06B0" w:rsidRDefault="00B239F5" w:rsidP="00697863">
      <w:pPr>
        <w:spacing w:after="12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>2023.</w:t>
      </w:r>
      <w:r w:rsidR="009B6ED7">
        <w:rPr>
          <w:rFonts w:ascii="Times New Roman" w:hAnsi="Times New Roman" w:cs="Times New Roman"/>
        </w:rPr>
        <w:t xml:space="preserve"> </w:t>
      </w:r>
      <w:r w:rsidRPr="00697863">
        <w:rPr>
          <w:rFonts w:ascii="Times New Roman" w:hAnsi="Times New Roman" w:cs="Times New Roman"/>
        </w:rPr>
        <w:t>gada 9.</w:t>
      </w:r>
      <w:r w:rsidR="009B6ED7">
        <w:rPr>
          <w:rFonts w:ascii="Times New Roman" w:hAnsi="Times New Roman" w:cs="Times New Roman"/>
        </w:rPr>
        <w:t xml:space="preserve"> </w:t>
      </w:r>
      <w:r w:rsidRPr="00697863">
        <w:rPr>
          <w:rFonts w:ascii="Times New Roman" w:hAnsi="Times New Roman" w:cs="Times New Roman"/>
        </w:rPr>
        <w:t>oktobrī pašvaldība noslēdza līgumu Nr.JUR2023-10/1170 ar SIA “PROJEKTS 3” par būvprojekta “Maģistrālās veloceļu infrastruktūras būvniecība prioritārajā koridorā Rīga - Carnikava” izstrādi un autoruzraudzību</w:t>
      </w:r>
      <w:r w:rsidR="009B6ED7">
        <w:rPr>
          <w:rFonts w:ascii="Times New Roman" w:hAnsi="Times New Roman" w:cs="Times New Roman"/>
        </w:rPr>
        <w:t xml:space="preserve"> un </w:t>
      </w:r>
      <w:r w:rsidRPr="00697863">
        <w:rPr>
          <w:rFonts w:ascii="Times New Roman" w:hAnsi="Times New Roman" w:cs="Times New Roman"/>
        </w:rPr>
        <w:t>2024.</w:t>
      </w:r>
      <w:r w:rsidR="009B6ED7">
        <w:rPr>
          <w:rFonts w:ascii="Times New Roman" w:hAnsi="Times New Roman" w:cs="Times New Roman"/>
        </w:rPr>
        <w:t xml:space="preserve"> </w:t>
      </w:r>
      <w:r w:rsidRPr="00697863">
        <w:rPr>
          <w:rFonts w:ascii="Times New Roman" w:hAnsi="Times New Roman" w:cs="Times New Roman"/>
        </w:rPr>
        <w:t xml:space="preserve">gada oktobrī projektētājs iesniedza pašvaldībai būvprojektu ar būvapjomu provizoriskām izmaksām, kas pārsniedza Projekta budžetā plānotās būvdarbu izmaksas. </w:t>
      </w:r>
    </w:p>
    <w:p w14:paraId="7C6BD277" w14:textId="097F8DAB" w:rsidR="00697863" w:rsidRPr="00697863" w:rsidRDefault="00B239F5" w:rsidP="00697863">
      <w:pPr>
        <w:spacing w:after="12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>Lai varētu izsludināt būvdarbu iepirkumu, pašvaldība uzdeva projektētājam sagatavot prioritāri izslēdzamo būvdarbu apjomu izmaiņas</w:t>
      </w:r>
      <w:r w:rsidR="009B6ED7">
        <w:rPr>
          <w:rFonts w:ascii="Times New Roman" w:hAnsi="Times New Roman" w:cs="Times New Roman"/>
        </w:rPr>
        <w:t xml:space="preserve"> un </w:t>
      </w:r>
      <w:r w:rsidRPr="00697863">
        <w:rPr>
          <w:rFonts w:ascii="Times New Roman" w:hAnsi="Times New Roman" w:cs="Times New Roman"/>
        </w:rPr>
        <w:t>2024. gada 28. novembrī pašvaldības dome konceptuāli atbalstī</w:t>
      </w:r>
      <w:r w:rsidR="009B6ED7">
        <w:rPr>
          <w:rFonts w:ascii="Times New Roman" w:hAnsi="Times New Roman" w:cs="Times New Roman"/>
        </w:rPr>
        <w:t>ja</w:t>
      </w:r>
      <w:r w:rsidRPr="00697863">
        <w:rPr>
          <w:rFonts w:ascii="Times New Roman" w:hAnsi="Times New Roman" w:cs="Times New Roman"/>
        </w:rPr>
        <w:t xml:space="preserve"> potenciāli izslēdzamās būvapjomu sadaļas un to prioritār</w:t>
      </w:r>
      <w:r w:rsidR="004B659C">
        <w:rPr>
          <w:rFonts w:ascii="Times New Roman" w:hAnsi="Times New Roman" w:cs="Times New Roman"/>
        </w:rPr>
        <w:t>o</w:t>
      </w:r>
      <w:r w:rsidRPr="00697863">
        <w:rPr>
          <w:rFonts w:ascii="Times New Roman" w:hAnsi="Times New Roman" w:cs="Times New Roman"/>
        </w:rPr>
        <w:t xml:space="preserve"> secīb</w:t>
      </w:r>
      <w:r w:rsidR="004B659C">
        <w:rPr>
          <w:rFonts w:ascii="Times New Roman" w:hAnsi="Times New Roman" w:cs="Times New Roman"/>
        </w:rPr>
        <w:t>u</w:t>
      </w:r>
      <w:r w:rsidRPr="00697863">
        <w:rPr>
          <w:rFonts w:ascii="Times New Roman" w:hAnsi="Times New Roman" w:cs="Times New Roman"/>
        </w:rPr>
        <w:t xml:space="preserve">. </w:t>
      </w:r>
    </w:p>
    <w:p w14:paraId="711D00D8" w14:textId="47618A1E" w:rsidR="00697863" w:rsidRPr="00697863" w:rsidRDefault="00B239F5" w:rsidP="00697863">
      <w:pPr>
        <w:spacing w:after="12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>2025. gada 27. februārī pašvaldība izsludināja iepirkumu “Atkārtots iepirkums – Maģistrālās veloceļu infrastruktūras būvdarbi prioritārajā koridorā – Carnikava” (ID 2025/40) un 30.</w:t>
      </w:r>
      <w:r w:rsidR="002B06B0">
        <w:rPr>
          <w:rFonts w:ascii="Times New Roman" w:hAnsi="Times New Roman" w:cs="Times New Roman"/>
        </w:rPr>
        <w:t xml:space="preserve"> </w:t>
      </w:r>
      <w:r w:rsidRPr="00697863">
        <w:rPr>
          <w:rFonts w:ascii="Times New Roman" w:hAnsi="Times New Roman" w:cs="Times New Roman"/>
        </w:rPr>
        <w:t xml:space="preserve">aprīlī iepirkumu komisija pieņēma starplēmumu par līguma slēgšanas tiesību piešķiršanu veloceļu infrastruktūras būvniecībai prioritārajā koridorā Rīga-Carnikava par </w:t>
      </w:r>
      <w:r w:rsidR="00B007F8">
        <w:rPr>
          <w:rFonts w:ascii="Times New Roman" w:hAnsi="Times New Roman" w:cs="Times New Roman"/>
        </w:rPr>
        <w:t xml:space="preserve">kopējo </w:t>
      </w:r>
      <w:r w:rsidRPr="00697863">
        <w:rPr>
          <w:rFonts w:ascii="Times New Roman" w:hAnsi="Times New Roman" w:cs="Times New Roman"/>
        </w:rPr>
        <w:t xml:space="preserve">līgumcenu </w:t>
      </w:r>
      <w:r w:rsidR="00B007F8" w:rsidRPr="00EE4C93">
        <w:rPr>
          <w:rFonts w:ascii="Times New Roman" w:hAnsi="Times New Roman" w:cs="Times New Roman"/>
        </w:rPr>
        <w:t>5 427 784,42</w:t>
      </w:r>
      <w:r w:rsidR="00B007F8">
        <w:t xml:space="preserve"> </w:t>
      </w:r>
      <w:r w:rsidR="00957347">
        <w:rPr>
          <w:rFonts w:ascii="Times New Roman" w:hAnsi="Times New Roman" w:cs="Times New Roman"/>
          <w:i/>
          <w:iCs/>
        </w:rPr>
        <w:t>euro</w:t>
      </w:r>
      <w:r w:rsidR="00B007F8">
        <w:rPr>
          <w:rFonts w:ascii="Times New Roman" w:hAnsi="Times New Roman" w:cs="Times New Roman"/>
          <w:i/>
          <w:iCs/>
        </w:rPr>
        <w:t xml:space="preserve"> </w:t>
      </w:r>
      <w:r w:rsidR="00B007F8" w:rsidRPr="00EE4C93">
        <w:rPr>
          <w:rFonts w:ascii="Times New Roman" w:hAnsi="Times New Roman" w:cs="Times New Roman"/>
        </w:rPr>
        <w:t>bez PVN</w:t>
      </w:r>
      <w:r w:rsidR="00B007F8">
        <w:rPr>
          <w:rFonts w:ascii="Times New Roman" w:hAnsi="Times New Roman" w:cs="Times New Roman"/>
        </w:rPr>
        <w:t>, kas būtiski pārsniedz pašvaldības budžetā plānoto</w:t>
      </w:r>
      <w:r w:rsidRPr="00697863">
        <w:rPr>
          <w:rFonts w:ascii="Times New Roman" w:hAnsi="Times New Roman" w:cs="Times New Roman"/>
        </w:rPr>
        <w:t xml:space="preserve">. Atbilstoši prioritāri izslēdzamajiem būvapjomiem, veidojas </w:t>
      </w:r>
      <w:r w:rsidR="009B6ED7">
        <w:rPr>
          <w:rFonts w:ascii="Times New Roman" w:hAnsi="Times New Roman" w:cs="Times New Roman"/>
        </w:rPr>
        <w:t>šādas</w:t>
      </w:r>
      <w:r w:rsidR="009B6ED7" w:rsidRPr="00697863">
        <w:rPr>
          <w:rFonts w:ascii="Times New Roman" w:hAnsi="Times New Roman" w:cs="Times New Roman"/>
        </w:rPr>
        <w:t xml:space="preserve"> </w:t>
      </w:r>
      <w:r w:rsidRPr="00697863">
        <w:rPr>
          <w:rFonts w:ascii="Times New Roman" w:hAnsi="Times New Roman" w:cs="Times New Roman"/>
        </w:rPr>
        <w:t>Projekta kopējās izmaksas:</w:t>
      </w:r>
    </w:p>
    <w:p w14:paraId="293570A8" w14:textId="77777777" w:rsidR="00AA5A13" w:rsidRDefault="00AA5A13" w:rsidP="00697863">
      <w:pPr>
        <w:spacing w:after="120"/>
        <w:jc w:val="both"/>
        <w:rPr>
          <w:rFonts w:ascii="Times New Roman" w:hAnsi="Times New Roman" w:cs="Times New Roman"/>
        </w:rPr>
        <w:sectPr w:rsidR="00AA5A13" w:rsidSect="00BB16A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701" w:header="567" w:footer="567" w:gutter="0"/>
          <w:cols w:space="708"/>
          <w:titlePg/>
          <w:docGrid w:linePitch="360"/>
        </w:sect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134"/>
        <w:gridCol w:w="1276"/>
        <w:gridCol w:w="1134"/>
        <w:gridCol w:w="1134"/>
      </w:tblGrid>
      <w:tr w:rsidR="003B1B4E" w14:paraId="07157D86" w14:textId="77777777" w:rsidTr="00EE4C93">
        <w:trPr>
          <w:trHeight w:val="925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BB3AD5" w14:textId="0739FF21" w:rsidR="009B6ED7" w:rsidRPr="00EE4C93" w:rsidRDefault="00B239F5" w:rsidP="00EE4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Darbu</w:t>
            </w:r>
          </w:p>
          <w:p w14:paraId="5AE68D78" w14:textId="56FD53B4" w:rsidR="00AA5A13" w:rsidRPr="00EE4C93" w:rsidRDefault="00B239F5" w:rsidP="00EE4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apjoms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CE29B5" w14:textId="4F80FB81" w:rsidR="00AA5A13" w:rsidRPr="00EE4C93" w:rsidRDefault="00B239F5" w:rsidP="00EE4C93">
            <w:pPr>
              <w:ind w:right="-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r w:rsidR="002B06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 sastāvs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22DAEC" w14:textId="26889C57" w:rsidR="00AA5A13" w:rsidRPr="00EE4C93" w:rsidRDefault="00B239F5" w:rsidP="00EE4C93">
            <w:pPr>
              <w:ind w:right="-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2B0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pgaismo</w:t>
            </w:r>
            <w:r w:rsidR="002B06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jum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5653B" w14:textId="77777777" w:rsidR="00AA5A13" w:rsidRPr="00EE4C93" w:rsidRDefault="00B239F5" w:rsidP="00EE4C93">
            <w:pPr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Ar Mego posmu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BAF4A5" w14:textId="77777777" w:rsidR="002B06B0" w:rsidRDefault="00B239F5" w:rsidP="002B06B0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Ar </w:t>
            </w:r>
            <w:r w:rsidRPr="0031001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osmu</w:t>
            </w:r>
          </w:p>
          <w:p w14:paraId="5C794593" w14:textId="6BC32AA1" w:rsidR="00AA5A13" w:rsidRPr="00EE4C93" w:rsidRDefault="00B239F5" w:rsidP="00EE4C93">
            <w:pPr>
              <w:ind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Carnikava – Dārznieku iela 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EFAA2" w14:textId="02F82E2C" w:rsidR="00AA5A13" w:rsidRPr="00EE4C93" w:rsidRDefault="00B239F5" w:rsidP="00EE4C93">
            <w:pPr>
              <w:ind w:righ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Ar LDz posm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91F7B6" w14:textId="060FFF71" w:rsidR="00AA5A13" w:rsidRPr="00EE4C93" w:rsidRDefault="00B239F5" w:rsidP="00EE4C93">
            <w:pPr>
              <w:ind w:right="-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Ar Garciema posmu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D8D94F" w14:textId="2D16BC78" w:rsidR="00AA5A13" w:rsidRPr="00EE4C93" w:rsidRDefault="00B239F5" w:rsidP="00EE4C93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PILNS sastāvs ar </w:t>
            </w:r>
            <w:r w:rsidR="002B06B0">
              <w:rPr>
                <w:rFonts w:ascii="Times New Roman" w:hAnsi="Times New Roman" w:cs="Times New Roman"/>
                <w:sz w:val="18"/>
                <w:szCs w:val="18"/>
              </w:rPr>
              <w:t>labiekārto.</w:t>
            </w:r>
          </w:p>
        </w:tc>
      </w:tr>
      <w:tr w:rsidR="003B1B4E" w14:paraId="0C7A0231" w14:textId="77777777" w:rsidTr="00EE4C93">
        <w:trPr>
          <w:trHeight w:val="677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29490" w14:textId="77777777" w:rsidR="002B06B0" w:rsidRDefault="00B239F5" w:rsidP="002B0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Būvdarbu summa </w:t>
            </w:r>
          </w:p>
          <w:p w14:paraId="5E7D3EA4" w14:textId="67790004" w:rsidR="00AA5A13" w:rsidRPr="00EE4C93" w:rsidRDefault="00B239F5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(bez PVN)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D905EE" w14:textId="7B6DCE40" w:rsidR="00AA5A13" w:rsidRPr="00EE4C93" w:rsidRDefault="00B239F5" w:rsidP="00EE4C93">
            <w:pPr>
              <w:ind w:right="-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 4836493,50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C52199" w14:textId="76270E32" w:rsidR="00AA5A13" w:rsidRPr="00EE4C93" w:rsidRDefault="00B239F5" w:rsidP="00EE4C93">
            <w:pPr>
              <w:ind w:righ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 4930114,19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A6D5E1" w14:textId="08044EB1" w:rsidR="00AA5A13" w:rsidRPr="00EE4C93" w:rsidRDefault="00B239F5" w:rsidP="00EE4C93">
            <w:pPr>
              <w:ind w:right="-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  4976482,07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67F6C6" w14:textId="7395D0F5" w:rsidR="00AA5A13" w:rsidRPr="00EE4C93" w:rsidRDefault="00B239F5" w:rsidP="00EE4C93">
            <w:pPr>
              <w:ind w:right="-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  5106874,03 </w:t>
            </w:r>
          </w:p>
        </w:tc>
        <w:tc>
          <w:tcPr>
            <w:tcW w:w="1276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72E232" w14:textId="661489BB" w:rsidR="00AA5A13" w:rsidRPr="00EE4C93" w:rsidRDefault="00B239F5" w:rsidP="00EE4C93">
            <w:pPr>
              <w:ind w:right="-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  5143075,91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5C70F5" w14:textId="231DE3A3" w:rsidR="00AA5A13" w:rsidRPr="00EE4C93" w:rsidRDefault="00B239F5" w:rsidP="00EE4C93">
            <w:pPr>
              <w:ind w:right="-11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5359677,30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6623D8" w14:textId="7B1EAB36" w:rsidR="00AA5A13" w:rsidRPr="00EE4C93" w:rsidRDefault="00B239F5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    5427784,42 </w:t>
            </w:r>
          </w:p>
        </w:tc>
      </w:tr>
      <w:tr w:rsidR="003B1B4E" w14:paraId="47AB17A2" w14:textId="77777777" w:rsidTr="00EE4C93">
        <w:trPr>
          <w:trHeight w:val="717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2DB02" w14:textId="77777777" w:rsidR="002B06B0" w:rsidRDefault="00B239F5" w:rsidP="002B06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 xml:space="preserve">Būvdarbu summa </w:t>
            </w:r>
          </w:p>
          <w:p w14:paraId="3FB2DADB" w14:textId="6BBCC588" w:rsidR="00AA5A13" w:rsidRPr="00EE4C93" w:rsidRDefault="00B239F5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(ar PVN)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82E138" w14:textId="74F2464C" w:rsidR="00AA5A13" w:rsidRPr="00EE4C93" w:rsidRDefault="00B239F5" w:rsidP="00EE4C93">
            <w:pPr>
              <w:ind w:right="-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5852157,14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6FD21" w14:textId="77A47824" w:rsidR="00AA5A13" w:rsidRPr="00EE4C93" w:rsidRDefault="00B239F5" w:rsidP="00EE4C93">
            <w:pPr>
              <w:ind w:righ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5965438,17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9C862" w14:textId="11339CD5" w:rsidR="00AA5A13" w:rsidRPr="00EE4C93" w:rsidRDefault="00B239F5" w:rsidP="00EE4C93">
            <w:pPr>
              <w:ind w:right="-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6021543,30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F938EE" w14:textId="1CE6DE6F" w:rsidR="00AA5A13" w:rsidRPr="00EE4C93" w:rsidRDefault="00B239F5" w:rsidP="00EE4C93">
            <w:pPr>
              <w:ind w:right="-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6179317,58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0A00CB" w14:textId="18FCC6B6" w:rsidR="00AA5A13" w:rsidRPr="00EE4C93" w:rsidRDefault="00B239F5" w:rsidP="00EE4C93">
            <w:pPr>
              <w:ind w:right="-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6223121,85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CD28D0" w14:textId="5ECE7DAE" w:rsidR="00AA5A13" w:rsidRPr="00EE4C93" w:rsidRDefault="00B239F5" w:rsidP="00EE4C93">
            <w:pPr>
              <w:ind w:right="-1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6485209,53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A38ED4" w14:textId="69928B4D" w:rsidR="00AA5A13" w:rsidRPr="00EE4C93" w:rsidRDefault="00B239F5" w:rsidP="00EE4C93">
            <w:pPr>
              <w:ind w:right="-1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6567619,15</w:t>
            </w:r>
          </w:p>
        </w:tc>
      </w:tr>
      <w:tr w:rsidR="003B1B4E" w14:paraId="5FE8AA33" w14:textId="77777777" w:rsidTr="00EE4C93">
        <w:trPr>
          <w:trHeight w:val="842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679AC" w14:textId="77777777" w:rsidR="00AA5A13" w:rsidRPr="00EE4C93" w:rsidRDefault="00B239F5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Projekta kopsumma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66A77" w14:textId="5CB5883B" w:rsidR="00AA5A13" w:rsidRPr="00EE4C93" w:rsidRDefault="00B239F5" w:rsidP="00EE4C93">
            <w:pPr>
              <w:ind w:right="-12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6308759,90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F2CCC" w14:textId="7536812E" w:rsidR="00AA5A13" w:rsidRPr="00EE4C93" w:rsidRDefault="00B239F5" w:rsidP="00EE4C93">
            <w:pPr>
              <w:ind w:right="-18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6422040,93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67894" w14:textId="693300C9" w:rsidR="00AA5A13" w:rsidRPr="00EE4C93" w:rsidRDefault="00B239F5" w:rsidP="00EE4C93">
            <w:pPr>
              <w:ind w:right="-10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6478146,06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CCA3E" w14:textId="208FBD71" w:rsidR="00AA5A13" w:rsidRPr="00EE4C93" w:rsidRDefault="00B239F5" w:rsidP="00EE4C93">
            <w:pPr>
              <w:ind w:right="-19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6635920,34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76565" w14:textId="0F8012C2" w:rsidR="00AA5A13" w:rsidRPr="00EE4C93" w:rsidRDefault="00B239F5" w:rsidP="00EE4C93">
            <w:pPr>
              <w:ind w:right="-15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6679724,61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9A85C" w14:textId="54ECA45F" w:rsidR="00AA5A13" w:rsidRPr="00EE4C93" w:rsidRDefault="00B239F5" w:rsidP="00EE4C93">
            <w:pPr>
              <w:ind w:right="-11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6941812,29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CB501" w14:textId="379A75EE" w:rsidR="00AA5A13" w:rsidRPr="00EE4C93" w:rsidRDefault="00B239F5" w:rsidP="00EE4C93">
            <w:pPr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7024221,91</w:t>
            </w:r>
          </w:p>
        </w:tc>
      </w:tr>
      <w:tr w:rsidR="003B1B4E" w14:paraId="734AD56D" w14:textId="77777777" w:rsidTr="00EE4C93">
        <w:trPr>
          <w:trHeight w:val="715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64143" w14:textId="77777777" w:rsidR="00AA5A13" w:rsidRPr="00EE4C93" w:rsidRDefault="00B239F5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Pašvaldības finansējums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2A644" w14:textId="28B566A4" w:rsidR="00AA5A13" w:rsidRPr="00EE4C93" w:rsidRDefault="00B239F5" w:rsidP="00EE4C93">
            <w:pPr>
              <w:ind w:right="-12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2404139,90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17384" w14:textId="0034855A" w:rsidR="00AA5A13" w:rsidRPr="00EE4C93" w:rsidRDefault="00B239F5" w:rsidP="00EE4C93">
            <w:pPr>
              <w:ind w:right="-18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2517420,93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96F9C" w14:textId="019FE11A" w:rsidR="00AA5A13" w:rsidRPr="00EE4C93" w:rsidRDefault="00B239F5" w:rsidP="00EE4C93">
            <w:pPr>
              <w:ind w:right="-10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2573526,06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B99A7" w14:textId="13F66139" w:rsidR="00AA5A13" w:rsidRPr="00EE4C93" w:rsidRDefault="00B239F5" w:rsidP="00EE4C93">
            <w:pPr>
              <w:ind w:right="-19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2731300,34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2574F" w14:textId="0B843AF0" w:rsidR="00AA5A13" w:rsidRPr="00EE4C93" w:rsidRDefault="00B239F5" w:rsidP="00EE4C93">
            <w:pPr>
              <w:ind w:right="-15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2775104,61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C6205" w14:textId="24D615E1" w:rsidR="00AA5A13" w:rsidRPr="00EE4C93" w:rsidRDefault="00B239F5" w:rsidP="00EE4C93">
            <w:pPr>
              <w:ind w:right="-11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3037192,29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91801" w14:textId="07763D19" w:rsidR="00AA5A13" w:rsidRPr="00EE4C93" w:rsidRDefault="00B239F5" w:rsidP="00EE4C93">
            <w:pPr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3119601,91</w:t>
            </w:r>
          </w:p>
        </w:tc>
      </w:tr>
      <w:tr w:rsidR="003B1B4E" w14:paraId="2247B009" w14:textId="77777777" w:rsidTr="00EE4C93">
        <w:trPr>
          <w:trHeight w:val="715"/>
        </w:trPr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7B3B2D" w14:textId="0CB839AC" w:rsidR="00AA5A13" w:rsidRPr="00EE4C93" w:rsidRDefault="00B239F5" w:rsidP="00EE4C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inansējuma pieaugums pret minimālo sastāvu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9FCC6" w14:textId="77777777" w:rsidR="00AA5A13" w:rsidRPr="00EE4C93" w:rsidRDefault="00AA5A13" w:rsidP="00EE4C93">
            <w:pPr>
              <w:ind w:right="-12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30015" w14:textId="12894571" w:rsidR="00AA5A13" w:rsidRPr="00EE4C93" w:rsidRDefault="00B239F5" w:rsidP="00EE4C93">
            <w:pPr>
              <w:ind w:right="-18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+ 113281,03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722C3" w14:textId="3739BE3E" w:rsidR="00AA5A13" w:rsidRPr="00EE4C93" w:rsidRDefault="00B239F5" w:rsidP="00EE4C93">
            <w:pPr>
              <w:ind w:right="-10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+ 169</w:t>
            </w:r>
            <w:r w:rsidR="002B0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386,16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D535B" w14:textId="3D442139" w:rsidR="00AA5A13" w:rsidRPr="00EE4C93" w:rsidRDefault="00B239F5" w:rsidP="00EE4C93">
            <w:pPr>
              <w:ind w:right="-19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+ 327160,44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38C99" w14:textId="79BB533B" w:rsidR="00AA5A13" w:rsidRPr="00EE4C93" w:rsidRDefault="00B239F5" w:rsidP="00EE4C93">
            <w:pPr>
              <w:ind w:right="-15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+ 370964,71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58873" w14:textId="2275023C" w:rsidR="00AA5A13" w:rsidRPr="00EE4C93" w:rsidRDefault="00B239F5" w:rsidP="00EE4C93">
            <w:pPr>
              <w:ind w:right="-11"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+ 633052,39</w:t>
            </w:r>
          </w:p>
        </w:tc>
        <w:tc>
          <w:tcPr>
            <w:tcW w:w="1134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06677" w14:textId="7DE37EC0" w:rsidR="00AA5A13" w:rsidRPr="00EE4C93" w:rsidRDefault="00B239F5" w:rsidP="00EE4C93">
            <w:pPr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C93">
              <w:rPr>
                <w:rFonts w:ascii="Times New Roman" w:hAnsi="Times New Roman" w:cs="Times New Roman"/>
                <w:sz w:val="18"/>
                <w:szCs w:val="18"/>
              </w:rPr>
              <w:t>+ 715462,01</w:t>
            </w:r>
          </w:p>
        </w:tc>
      </w:tr>
    </w:tbl>
    <w:p w14:paraId="34E8E471" w14:textId="1ACF9CB8" w:rsidR="00697863" w:rsidRPr="00697863" w:rsidRDefault="00B239F5" w:rsidP="00EE4C93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97863">
        <w:rPr>
          <w:rFonts w:ascii="Times New Roman" w:hAnsi="Times New Roman" w:cs="Times New Roman"/>
        </w:rPr>
        <w:t xml:space="preserve">amatojoties uz Pašvaldību likuma 4. panta pirmās daļas 2. punktu un 10. panta pirmās daļas 1.punktu, kā arī </w:t>
      </w:r>
      <w:r>
        <w:rPr>
          <w:rFonts w:ascii="Times New Roman" w:hAnsi="Times New Roman" w:cs="Times New Roman"/>
        </w:rPr>
        <w:t xml:space="preserve">pašvaldības </w:t>
      </w:r>
      <w:r w:rsidRPr="00697863">
        <w:rPr>
          <w:rFonts w:ascii="Times New Roman" w:hAnsi="Times New Roman" w:cs="Times New Roman"/>
        </w:rPr>
        <w:t>Projektu uzraudzības komisij</w:t>
      </w:r>
      <w:r>
        <w:rPr>
          <w:rFonts w:ascii="Times New Roman" w:hAnsi="Times New Roman" w:cs="Times New Roman"/>
        </w:rPr>
        <w:t>as</w:t>
      </w:r>
      <w:r w:rsidRPr="00697863">
        <w:rPr>
          <w:rFonts w:ascii="Times New Roman" w:hAnsi="Times New Roman" w:cs="Times New Roman"/>
        </w:rPr>
        <w:t xml:space="preserve"> 06.05.2025. </w:t>
      </w:r>
      <w:r>
        <w:rPr>
          <w:rFonts w:ascii="Times New Roman" w:hAnsi="Times New Roman" w:cs="Times New Roman"/>
        </w:rPr>
        <w:t>atzinumu</w:t>
      </w:r>
      <w:r w:rsidRPr="00697863">
        <w:rPr>
          <w:rFonts w:ascii="Times New Roman" w:hAnsi="Times New Roman" w:cs="Times New Roman"/>
        </w:rPr>
        <w:t>, Ādažu novada pašvaldības dome</w:t>
      </w:r>
    </w:p>
    <w:p w14:paraId="659082AA" w14:textId="77777777" w:rsidR="00697863" w:rsidRPr="00697863" w:rsidRDefault="00B239F5" w:rsidP="00697863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697863">
        <w:rPr>
          <w:rFonts w:ascii="Times New Roman" w:hAnsi="Times New Roman" w:cs="Times New Roman"/>
          <w:b/>
          <w:bCs/>
        </w:rPr>
        <w:t>NOLEMJ:</w:t>
      </w:r>
    </w:p>
    <w:p w14:paraId="3E721E50" w14:textId="08035A61" w:rsidR="000B09C4" w:rsidRPr="00697863" w:rsidRDefault="00B239F5" w:rsidP="00EE4C93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697863">
        <w:rPr>
          <w:rFonts w:ascii="Times New Roman" w:hAnsi="Times New Roman" w:cs="Times New Roman"/>
        </w:rPr>
        <w:t xml:space="preserve">Veikt šādus grozījumus Ādažu novada pašvaldības </w:t>
      </w:r>
      <w:r w:rsidR="002B06B0">
        <w:rPr>
          <w:rFonts w:ascii="Times New Roman" w:hAnsi="Times New Roman" w:cs="Times New Roman"/>
        </w:rPr>
        <w:t xml:space="preserve">domes </w:t>
      </w:r>
      <w:r w:rsidRPr="00697863">
        <w:rPr>
          <w:rFonts w:ascii="Times New Roman" w:hAnsi="Times New Roman" w:cs="Times New Roman"/>
        </w:rPr>
        <w:t xml:space="preserve">2022. </w:t>
      </w:r>
      <w:r w:rsidR="002B06B0">
        <w:rPr>
          <w:rFonts w:ascii="Times New Roman" w:hAnsi="Times New Roman" w:cs="Times New Roman"/>
        </w:rPr>
        <w:t xml:space="preserve">gada </w:t>
      </w:r>
      <w:r w:rsidR="002B06B0" w:rsidRPr="00697863">
        <w:rPr>
          <w:rFonts w:ascii="Times New Roman" w:hAnsi="Times New Roman" w:cs="Times New Roman"/>
        </w:rPr>
        <w:t>10.</w:t>
      </w:r>
      <w:r w:rsidR="002B06B0">
        <w:rPr>
          <w:rFonts w:ascii="Times New Roman" w:hAnsi="Times New Roman" w:cs="Times New Roman"/>
        </w:rPr>
        <w:t xml:space="preserve"> janvāra </w:t>
      </w:r>
      <w:r w:rsidRPr="00697863">
        <w:rPr>
          <w:rFonts w:ascii="Times New Roman" w:hAnsi="Times New Roman" w:cs="Times New Roman"/>
        </w:rPr>
        <w:t>lēmumā Nr. 8 “Par projektu “Maģistrālās veloceļu infrastruktūras būvniecība prioritārajā koridorā Rīga-Carnikava””:</w:t>
      </w:r>
    </w:p>
    <w:p w14:paraId="160B4A29" w14:textId="10576E0D" w:rsidR="00697863" w:rsidRPr="00EE4C93" w:rsidRDefault="00B239F5" w:rsidP="00EE4C93">
      <w:pPr>
        <w:pStyle w:val="ListParagraph"/>
        <w:numPr>
          <w:ilvl w:val="1"/>
          <w:numId w:val="3"/>
        </w:numPr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i</w:t>
      </w:r>
      <w:r w:rsidRPr="00EE4C93">
        <w:rPr>
          <w:rFonts w:ascii="Times New Roman" w:hAnsi="Times New Roman" w:cs="Times New Roman"/>
        </w:rPr>
        <w:t xml:space="preserve">zteikt </w:t>
      </w:r>
      <w:r w:rsidRPr="00EE4C93">
        <w:rPr>
          <w:rFonts w:ascii="Times New Roman" w:hAnsi="Times New Roman" w:cs="Times New Roman"/>
          <w:color w:val="000000" w:themeColor="text1"/>
        </w:rPr>
        <w:t>lemjošās daļas 3. punktu šādā redakcijā:</w:t>
      </w:r>
    </w:p>
    <w:p w14:paraId="17665C0D" w14:textId="24668AF6" w:rsidR="000B09C4" w:rsidRPr="00EE4C93" w:rsidRDefault="00B239F5" w:rsidP="00EE4C93">
      <w:pPr>
        <w:pStyle w:val="ListParagraph"/>
        <w:spacing w:before="120" w:after="120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“3. Nodrošināt Projekta īstenošanai nepieciešamo pašvaldības līdzfinansējumu neattiecināmo izmaksu un pievienotās vērtības nodokļa apmaksai līdz</w:t>
      </w:r>
      <w:r w:rsidR="0022191E">
        <w:rPr>
          <w:rFonts w:ascii="Times New Roman" w:hAnsi="Times New Roman" w:cs="Times New Roman"/>
          <w:color w:val="000000" w:themeColor="text1"/>
        </w:rPr>
        <w:t xml:space="preserve"> </w:t>
      </w:r>
      <w:r w:rsidRPr="00EE4C93">
        <w:rPr>
          <w:rFonts w:ascii="Times New Roman" w:hAnsi="Times New Roman" w:cs="Times New Roman"/>
          <w:color w:val="000000" w:themeColor="text1"/>
        </w:rPr>
        <w:t xml:space="preserve"> </w:t>
      </w:r>
      <w:r w:rsidR="008419FB">
        <w:rPr>
          <w:rFonts w:ascii="Times New Roman" w:hAnsi="Times New Roman" w:cs="Times New Roman"/>
          <w:color w:val="000000" w:themeColor="text1"/>
        </w:rPr>
        <w:t>3 177 000</w:t>
      </w:r>
      <w:r w:rsidR="00957347" w:rsidRPr="00EE4C93">
        <w:rPr>
          <w:rFonts w:ascii="Times New Roman" w:hAnsi="Times New Roman" w:cs="Times New Roman"/>
          <w:color w:val="000000" w:themeColor="text1"/>
        </w:rPr>
        <w:t xml:space="preserve"> </w:t>
      </w:r>
      <w:r w:rsidR="00957347" w:rsidRPr="00EE4C93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Pr="00EE4C93">
        <w:rPr>
          <w:rFonts w:ascii="Times New Roman" w:hAnsi="Times New Roman" w:cs="Times New Roman"/>
          <w:color w:val="000000" w:themeColor="text1"/>
        </w:rPr>
        <w:t xml:space="preserve"> (</w:t>
      </w:r>
      <w:r w:rsidR="008419FB">
        <w:rPr>
          <w:rFonts w:ascii="Times New Roman" w:hAnsi="Times New Roman" w:cs="Times New Roman"/>
          <w:color w:val="000000" w:themeColor="text1"/>
        </w:rPr>
        <w:t>trīs miljoni viens simts septiņdesmit septiņi tūkstoši</w:t>
      </w:r>
      <w:r w:rsidRPr="00EE4C93">
        <w:rPr>
          <w:rFonts w:ascii="Times New Roman" w:hAnsi="Times New Roman" w:cs="Times New Roman"/>
          <w:color w:val="000000" w:themeColor="text1"/>
        </w:rPr>
        <w:t xml:space="preserve"> </w:t>
      </w:r>
      <w:r w:rsidRPr="00EE4C93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Pr="00EE4C93">
        <w:rPr>
          <w:rFonts w:ascii="Times New Roman" w:hAnsi="Times New Roman" w:cs="Times New Roman"/>
          <w:color w:val="000000" w:themeColor="text1"/>
        </w:rPr>
        <w:t>), ko paredzēt no aizņēmuma līdzekļiem Valsts kasē.</w:t>
      </w:r>
    </w:p>
    <w:p w14:paraId="4CE61ABD" w14:textId="77777777" w:rsidR="000B09C4" w:rsidRPr="00EE4C93" w:rsidRDefault="00B239F5" w:rsidP="00EE4C93">
      <w:pPr>
        <w:pStyle w:val="ListParagraph"/>
        <w:spacing w:before="120" w:after="120"/>
        <w:ind w:left="1560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3.1. Aizņēmumam Valsts kasē paredzēt šādus aizņēmuma saistību izpildes nosacījumus:</w:t>
      </w:r>
    </w:p>
    <w:p w14:paraId="329CB175" w14:textId="77777777" w:rsidR="000B09C4" w:rsidRPr="00EE4C93" w:rsidRDefault="00B239F5" w:rsidP="00EE4C93">
      <w:pPr>
        <w:pStyle w:val="ListParagraph"/>
        <w:spacing w:before="120" w:after="120"/>
        <w:ind w:left="1440" w:firstLine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3.1.1. aizņēmuma izņemšana 2025., 2026. un 2027. gadā;</w:t>
      </w:r>
    </w:p>
    <w:p w14:paraId="4050A574" w14:textId="76CD8314" w:rsidR="000B09C4" w:rsidRPr="00EE4C93" w:rsidRDefault="00B239F5" w:rsidP="00EE4C93">
      <w:pPr>
        <w:pStyle w:val="ListParagraph"/>
        <w:spacing w:before="120" w:after="120"/>
        <w:ind w:left="1440" w:firstLine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3.1.2. aizņēmuma atmaksas termiņš ir 1</w:t>
      </w:r>
      <w:r w:rsidR="00242AAE">
        <w:rPr>
          <w:rFonts w:ascii="Times New Roman" w:hAnsi="Times New Roman" w:cs="Times New Roman"/>
          <w:color w:val="000000" w:themeColor="text1"/>
        </w:rPr>
        <w:t>5</w:t>
      </w:r>
      <w:r w:rsidRPr="00EE4C93">
        <w:rPr>
          <w:rFonts w:ascii="Times New Roman" w:hAnsi="Times New Roman" w:cs="Times New Roman"/>
          <w:color w:val="000000" w:themeColor="text1"/>
        </w:rPr>
        <w:t xml:space="preserve"> gadi;</w:t>
      </w:r>
    </w:p>
    <w:p w14:paraId="70E825B5" w14:textId="77777777" w:rsidR="000B09C4" w:rsidRPr="00EE4C93" w:rsidRDefault="00B239F5" w:rsidP="00EE4C93">
      <w:pPr>
        <w:pStyle w:val="ListParagraph"/>
        <w:spacing w:before="120" w:after="120"/>
        <w:ind w:left="1440" w:firstLine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3.1.3. aizņēmuma pamatsummas atmaksu sākt ar 2028. gada janvāri.</w:t>
      </w:r>
    </w:p>
    <w:p w14:paraId="14FB9767" w14:textId="020FA18B" w:rsidR="000B09C4" w:rsidRPr="00EE4C93" w:rsidRDefault="00B239F5" w:rsidP="00EE4C93">
      <w:pPr>
        <w:spacing w:before="120" w:after="120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EE4C93">
        <w:rPr>
          <w:rFonts w:ascii="Times New Roman" w:hAnsi="Times New Roman" w:cs="Times New Roman"/>
          <w:color w:val="000000" w:themeColor="text1"/>
        </w:rPr>
        <w:t>Garantēt aizņēmuma atmaksu, paredzot nepieciešamos finanšu līdzekļus pašvaldības budžetā turpmākajos gados.”</w:t>
      </w:r>
    </w:p>
    <w:p w14:paraId="201C0D34" w14:textId="20075210" w:rsidR="00697863" w:rsidRPr="00EE4C93" w:rsidRDefault="00B239F5" w:rsidP="00EE4C9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 w:rsidRPr="00EE4C93">
        <w:rPr>
          <w:rFonts w:ascii="Times New Roman" w:hAnsi="Times New Roman" w:cs="Times New Roman"/>
          <w:color w:val="000000" w:themeColor="text1"/>
        </w:rPr>
        <w:t xml:space="preserve"> Slēgt būvdarbu līgumu ar iepirkumu komisijas apstiprināto būvkomersantu par līgumcenu </w:t>
      </w:r>
      <w:r w:rsidR="008419FB">
        <w:rPr>
          <w:rFonts w:ascii="Times New Roman" w:hAnsi="Times New Roman" w:cs="Times New Roman"/>
          <w:color w:val="000000" w:themeColor="text1"/>
        </w:rPr>
        <w:t xml:space="preserve"> </w:t>
      </w:r>
      <w:r w:rsidRPr="00B239F5">
        <w:rPr>
          <w:rFonts w:ascii="Times New Roman" w:hAnsi="Times New Roman" w:cs="Times New Roman"/>
          <w:color w:val="000000" w:themeColor="text1"/>
        </w:rPr>
        <w:t xml:space="preserve">4 930 114,19 </w:t>
      </w:r>
      <w:r w:rsidR="00957347" w:rsidRPr="00EE4C93">
        <w:rPr>
          <w:rFonts w:ascii="Times New Roman" w:hAnsi="Times New Roman" w:cs="Times New Roman"/>
          <w:color w:val="000000" w:themeColor="text1"/>
        </w:rPr>
        <w:t xml:space="preserve"> </w:t>
      </w:r>
      <w:r w:rsidR="00957347" w:rsidRPr="00EE4C93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="000B09C4" w:rsidRPr="00EE4C93">
        <w:rPr>
          <w:rFonts w:ascii="Times New Roman" w:hAnsi="Times New Roman" w:cs="Times New Roman"/>
          <w:color w:val="000000" w:themeColor="text1"/>
        </w:rPr>
        <w:t>,</w:t>
      </w:r>
      <w:r w:rsidRPr="00EE4C93">
        <w:rPr>
          <w:rFonts w:ascii="Times New Roman" w:hAnsi="Times New Roman" w:cs="Times New Roman"/>
          <w:color w:val="000000" w:themeColor="text1"/>
        </w:rPr>
        <w:t xml:space="preserve"> bez PVN.”</w:t>
      </w:r>
    </w:p>
    <w:p w14:paraId="6F3344ED" w14:textId="27B8DD39" w:rsidR="00697863" w:rsidRPr="00EE4C93" w:rsidRDefault="00B239F5" w:rsidP="00EE4C9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E4C93">
        <w:rPr>
          <w:rFonts w:ascii="Times New Roman" w:hAnsi="Times New Roman" w:cs="Times New Roman"/>
        </w:rPr>
        <w:t>Pašvaldības izpilddirektoram veikt lēmuma izpildes kontroli.</w:t>
      </w:r>
    </w:p>
    <w:p w14:paraId="576F714E" w14:textId="77777777" w:rsidR="003F5667" w:rsidRDefault="003F5667" w:rsidP="00F47C1B">
      <w:pPr>
        <w:jc w:val="both"/>
        <w:rPr>
          <w:rFonts w:ascii="Times New Roman" w:hAnsi="Times New Roman" w:cs="Times New Roman"/>
          <w:noProof/>
          <w:color w:val="000000"/>
        </w:rPr>
      </w:pPr>
    </w:p>
    <w:p w14:paraId="55E76E2E" w14:textId="77777777" w:rsidR="003F5667" w:rsidRDefault="003F5667" w:rsidP="00F47C1B">
      <w:pPr>
        <w:jc w:val="both"/>
        <w:rPr>
          <w:rFonts w:ascii="Times New Roman" w:hAnsi="Times New Roman" w:cs="Times New Roman"/>
          <w:noProof/>
          <w:color w:val="000000"/>
        </w:rPr>
      </w:pPr>
    </w:p>
    <w:p w14:paraId="409E34B2" w14:textId="77777777" w:rsidR="003F5667" w:rsidRDefault="003F5667" w:rsidP="00F47C1B">
      <w:pPr>
        <w:jc w:val="both"/>
        <w:rPr>
          <w:rFonts w:ascii="Times New Roman" w:hAnsi="Times New Roman" w:cs="Times New Roman"/>
          <w:noProof/>
          <w:color w:val="000000"/>
        </w:rPr>
      </w:pPr>
    </w:p>
    <w:p w14:paraId="01E1917A" w14:textId="2A7AB5D3" w:rsidR="00F47C1B" w:rsidRPr="009E4D8B" w:rsidRDefault="00B239F5" w:rsidP="00F47C1B">
      <w:pPr>
        <w:jc w:val="both"/>
        <w:rPr>
          <w:rFonts w:ascii="Times New Roman" w:hAnsi="Times New Roman" w:cs="Times New Roman"/>
          <w:noProof/>
          <w:color w:val="000000"/>
        </w:rPr>
      </w:pPr>
      <w:r w:rsidRPr="009E4D8B">
        <w:rPr>
          <w:rFonts w:ascii="Times New Roman" w:hAnsi="Times New Roman" w:cs="Times New Roman"/>
          <w:noProof/>
          <w:color w:val="000000"/>
        </w:rPr>
        <w:lastRenderedPageBreak/>
        <w:t>Pašvaldības domes priekšsēdētājas</w:t>
      </w:r>
    </w:p>
    <w:p w14:paraId="4596A81F" w14:textId="77777777" w:rsidR="00F47C1B" w:rsidRPr="009E4D8B" w:rsidRDefault="00B239F5" w:rsidP="00F47C1B">
      <w:pPr>
        <w:jc w:val="both"/>
        <w:rPr>
          <w:rFonts w:ascii="Times New Roman" w:hAnsi="Times New Roman" w:cs="Times New Roman"/>
          <w:noProof/>
          <w:color w:val="000000"/>
        </w:rPr>
      </w:pPr>
      <w:r w:rsidRPr="009E4D8B">
        <w:rPr>
          <w:rFonts w:ascii="Times New Roman" w:hAnsi="Times New Roman" w:cs="Times New Roman"/>
          <w:noProof/>
          <w:color w:val="000000"/>
        </w:rPr>
        <w:t xml:space="preserve">vietnieks attīstības jautājumos </w:t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  <w:t xml:space="preserve"> V. Bulāns</w:t>
      </w:r>
    </w:p>
    <w:p w14:paraId="2BE93DCD" w14:textId="77777777" w:rsidR="003F5667" w:rsidRDefault="003F5667" w:rsidP="00F47C1B">
      <w:pPr>
        <w:jc w:val="center"/>
        <w:rPr>
          <w:rFonts w:ascii="Times New Roman" w:hAnsi="Times New Roman"/>
        </w:rPr>
      </w:pPr>
    </w:p>
    <w:p w14:paraId="3F780F08" w14:textId="105870BA" w:rsidR="00F47C1B" w:rsidRPr="00064033" w:rsidRDefault="00B239F5" w:rsidP="00F47C1B">
      <w:pPr>
        <w:jc w:val="center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r w:rsidRPr="00064033">
        <w:rPr>
          <w:rFonts w:ascii="Times New Roman" w:hAnsi="Times New Roman"/>
        </w:rPr>
        <w:t>ŠIS DOKUMENTS IR ELEKTRONISKI PARAKSTĪTS AR DROŠU ELEKTRONISKO PARAKSTU UN SATUR LAIKA ZĪMOGU</w:t>
      </w:r>
      <w:r w:rsidRPr="00064033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sectPr w:rsidR="00F47C1B" w:rsidRPr="00064033" w:rsidSect="003F5667">
      <w:pgSz w:w="11906" w:h="16838"/>
      <w:pgMar w:top="1134" w:right="1134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5E3A" w14:textId="77777777" w:rsidR="00B239F5" w:rsidRDefault="00B239F5">
      <w:r>
        <w:separator/>
      </w:r>
    </w:p>
  </w:endnote>
  <w:endnote w:type="continuationSeparator" w:id="0">
    <w:p w14:paraId="01CD05F1" w14:textId="77777777" w:rsidR="00B239F5" w:rsidRDefault="00B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83545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239F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2E86" w14:textId="77777777" w:rsidR="00B239F5" w:rsidRDefault="00B239F5">
      <w:r>
        <w:separator/>
      </w:r>
    </w:p>
  </w:footnote>
  <w:footnote w:type="continuationSeparator" w:id="0">
    <w:p w14:paraId="1200E4E0" w14:textId="77777777" w:rsidR="00B239F5" w:rsidRDefault="00B2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56EA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A45900" w:tentative="1">
      <w:start w:val="1"/>
      <w:numFmt w:val="lowerLetter"/>
      <w:lvlText w:val="%2."/>
      <w:lvlJc w:val="left"/>
      <w:pPr>
        <w:ind w:left="1440" w:hanging="360"/>
      </w:pPr>
    </w:lvl>
    <w:lvl w:ilvl="2" w:tplc="EC64466C" w:tentative="1">
      <w:start w:val="1"/>
      <w:numFmt w:val="lowerRoman"/>
      <w:lvlText w:val="%3."/>
      <w:lvlJc w:val="right"/>
      <w:pPr>
        <w:ind w:left="2160" w:hanging="180"/>
      </w:pPr>
    </w:lvl>
    <w:lvl w:ilvl="3" w:tplc="11C2BE60" w:tentative="1">
      <w:start w:val="1"/>
      <w:numFmt w:val="decimal"/>
      <w:lvlText w:val="%4."/>
      <w:lvlJc w:val="left"/>
      <w:pPr>
        <w:ind w:left="2880" w:hanging="360"/>
      </w:pPr>
    </w:lvl>
    <w:lvl w:ilvl="4" w:tplc="DA3E2BDA" w:tentative="1">
      <w:start w:val="1"/>
      <w:numFmt w:val="lowerLetter"/>
      <w:lvlText w:val="%5."/>
      <w:lvlJc w:val="left"/>
      <w:pPr>
        <w:ind w:left="3600" w:hanging="360"/>
      </w:pPr>
    </w:lvl>
    <w:lvl w:ilvl="5" w:tplc="B8B45056" w:tentative="1">
      <w:start w:val="1"/>
      <w:numFmt w:val="lowerRoman"/>
      <w:lvlText w:val="%6."/>
      <w:lvlJc w:val="right"/>
      <w:pPr>
        <w:ind w:left="4320" w:hanging="180"/>
      </w:pPr>
    </w:lvl>
    <w:lvl w:ilvl="6" w:tplc="8C2603F4" w:tentative="1">
      <w:start w:val="1"/>
      <w:numFmt w:val="decimal"/>
      <w:lvlText w:val="%7."/>
      <w:lvlJc w:val="left"/>
      <w:pPr>
        <w:ind w:left="5040" w:hanging="360"/>
      </w:pPr>
    </w:lvl>
    <w:lvl w:ilvl="7" w:tplc="F1A049B0" w:tentative="1">
      <w:start w:val="1"/>
      <w:numFmt w:val="lowerLetter"/>
      <w:lvlText w:val="%8."/>
      <w:lvlJc w:val="left"/>
      <w:pPr>
        <w:ind w:left="5760" w:hanging="360"/>
      </w:pPr>
    </w:lvl>
    <w:lvl w:ilvl="8" w:tplc="31ACF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326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70139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4033"/>
    <w:rsid w:val="00070E3F"/>
    <w:rsid w:val="000B09C4"/>
    <w:rsid w:val="00111C3B"/>
    <w:rsid w:val="00147221"/>
    <w:rsid w:val="00195A73"/>
    <w:rsid w:val="001A297B"/>
    <w:rsid w:val="001F657C"/>
    <w:rsid w:val="0022191E"/>
    <w:rsid w:val="00242AAE"/>
    <w:rsid w:val="0025391B"/>
    <w:rsid w:val="00297558"/>
    <w:rsid w:val="002B06B0"/>
    <w:rsid w:val="002D53F6"/>
    <w:rsid w:val="002E5FDF"/>
    <w:rsid w:val="00310011"/>
    <w:rsid w:val="00351D48"/>
    <w:rsid w:val="003B1B4E"/>
    <w:rsid w:val="003C401E"/>
    <w:rsid w:val="003F5667"/>
    <w:rsid w:val="004A553C"/>
    <w:rsid w:val="004B659C"/>
    <w:rsid w:val="004D516C"/>
    <w:rsid w:val="00521C00"/>
    <w:rsid w:val="0053073B"/>
    <w:rsid w:val="00543508"/>
    <w:rsid w:val="00564CA6"/>
    <w:rsid w:val="005C7FA1"/>
    <w:rsid w:val="00617AAC"/>
    <w:rsid w:val="00693F05"/>
    <w:rsid w:val="00697863"/>
    <w:rsid w:val="006C2274"/>
    <w:rsid w:val="006D0720"/>
    <w:rsid w:val="006D3451"/>
    <w:rsid w:val="006D513B"/>
    <w:rsid w:val="007167E4"/>
    <w:rsid w:val="00726195"/>
    <w:rsid w:val="0074092B"/>
    <w:rsid w:val="0078001A"/>
    <w:rsid w:val="0079484F"/>
    <w:rsid w:val="007B4DDB"/>
    <w:rsid w:val="008257F8"/>
    <w:rsid w:val="008419FB"/>
    <w:rsid w:val="00861F4C"/>
    <w:rsid w:val="008E3846"/>
    <w:rsid w:val="009139A1"/>
    <w:rsid w:val="00931891"/>
    <w:rsid w:val="0093643D"/>
    <w:rsid w:val="00957347"/>
    <w:rsid w:val="00996740"/>
    <w:rsid w:val="009A3989"/>
    <w:rsid w:val="009B6ED7"/>
    <w:rsid w:val="009B7F8F"/>
    <w:rsid w:val="009E4D8B"/>
    <w:rsid w:val="00A06A4B"/>
    <w:rsid w:val="00A254B5"/>
    <w:rsid w:val="00A52B04"/>
    <w:rsid w:val="00AA5A13"/>
    <w:rsid w:val="00AD535D"/>
    <w:rsid w:val="00AF18E6"/>
    <w:rsid w:val="00B007F8"/>
    <w:rsid w:val="00B239F5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F594E"/>
    <w:rsid w:val="00E52DA2"/>
    <w:rsid w:val="00E547DF"/>
    <w:rsid w:val="00E75D8D"/>
    <w:rsid w:val="00EE4C93"/>
    <w:rsid w:val="00EF06E1"/>
    <w:rsid w:val="00F47C1B"/>
    <w:rsid w:val="00F71CDE"/>
    <w:rsid w:val="00F9129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97863"/>
    <w:pPr>
      <w:ind w:left="720"/>
      <w:contextualSpacing/>
    </w:pPr>
  </w:style>
  <w:style w:type="paragraph" w:styleId="Revision">
    <w:name w:val="Revision"/>
    <w:hidden/>
    <w:uiPriority w:val="99"/>
    <w:semiHidden/>
    <w:rsid w:val="009B6ED7"/>
  </w:style>
  <w:style w:type="character" w:styleId="Hyperlink">
    <w:name w:val="Hyperlink"/>
    <w:basedOn w:val="DefaultParagraphFont"/>
    <w:uiPriority w:val="99"/>
    <w:unhideWhenUsed/>
    <w:rsid w:val="00957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2877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12</cp:revision>
  <cp:lastPrinted>2025-05-07T11:38:00Z</cp:lastPrinted>
  <dcterms:created xsi:type="dcterms:W3CDTF">2025-05-06T13:22:00Z</dcterms:created>
  <dcterms:modified xsi:type="dcterms:W3CDTF">2025-05-07T13:06:00Z</dcterms:modified>
</cp:coreProperties>
</file>