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28840" w14:textId="77777777" w:rsidR="004D516C" w:rsidRDefault="00BB07BD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F4F1E" w14:textId="77777777" w:rsidR="00564CA6" w:rsidRPr="00564CA6" w:rsidRDefault="00BB07BD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1B2AED05" w14:textId="77777777" w:rsidR="00564CA6" w:rsidRPr="00564CA6" w:rsidRDefault="00BB07BD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58D3985B" w14:textId="77777777" w:rsidR="00564CA6" w:rsidRPr="00564CA6" w:rsidRDefault="00BB07BD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4888B619" w14:textId="4575E89E" w:rsidR="00564CA6" w:rsidRPr="00564CA6" w:rsidRDefault="00BB07BD" w:rsidP="00564CA6">
      <w:pPr>
        <w:rPr>
          <w:rFonts w:ascii="Times New Roman" w:hAnsi="Times New Roman" w:cs="Times New Roman"/>
        </w:rPr>
      </w:pPr>
      <w:r w:rsidRPr="00827051">
        <w:rPr>
          <w:rFonts w:ascii="Times New Roman" w:hAnsi="Times New Roman" w:cs="Times New Roman"/>
        </w:rPr>
        <w:t>202</w:t>
      </w:r>
      <w:r w:rsidR="0004330D">
        <w:rPr>
          <w:rFonts w:ascii="Times New Roman" w:hAnsi="Times New Roman" w:cs="Times New Roman"/>
        </w:rPr>
        <w:t>5</w:t>
      </w:r>
      <w:r w:rsidRPr="0082705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827051">
        <w:rPr>
          <w:rFonts w:ascii="Times New Roman" w:hAnsi="Times New Roman" w:cs="Times New Roman"/>
        </w:rPr>
        <w:t xml:space="preserve">gada </w:t>
      </w:r>
      <w:r w:rsidR="00830828">
        <w:rPr>
          <w:rFonts w:ascii="Times New Roman" w:hAnsi="Times New Roman" w:cs="Times New Roman"/>
        </w:rPr>
        <w:t>24</w:t>
      </w:r>
      <w:r w:rsidR="00A54CE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830828">
        <w:rPr>
          <w:rFonts w:ascii="Times New Roman" w:hAnsi="Times New Roman" w:cs="Times New Roman"/>
        </w:rPr>
        <w:t>aprīlī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</w:t>
      </w:r>
      <w:r w:rsidRPr="00BB07BD">
        <w:rPr>
          <w:rFonts w:ascii="Times New Roman" w:hAnsi="Times New Roman" w:cs="Times New Roman"/>
          <w:b/>
        </w:rPr>
        <w:t>.</w:t>
      </w:r>
      <w:r w:rsidRPr="00BB07BD">
        <w:rPr>
          <w:rFonts w:ascii="Times New Roman" w:hAnsi="Times New Roman" w:cs="Times New Roman"/>
          <w:b/>
          <w:noProof/>
        </w:rPr>
        <w:t xml:space="preserve"> </w:t>
      </w:r>
      <w:r w:rsidRPr="00BB07BD">
        <w:rPr>
          <w:rFonts w:ascii="Times New Roman" w:hAnsi="Times New Roman" w:cs="Times New Roman"/>
          <w:b/>
          <w:noProof/>
        </w:rPr>
        <w:t>177</w:t>
      </w:r>
    </w:p>
    <w:p w14:paraId="3FBEAB28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24837757" w14:textId="77777777" w:rsidR="001524EA" w:rsidRPr="00E5739A" w:rsidRDefault="00BB07BD" w:rsidP="006B677D">
      <w:pPr>
        <w:pStyle w:val="Style6"/>
        <w:widowControl/>
      </w:pPr>
      <w:r w:rsidRPr="00E5739A">
        <w:rPr>
          <w:rFonts w:ascii="Times New Roman" w:hAnsi="Times New Roman" w:cs="Times New Roman"/>
          <w:b/>
        </w:rPr>
        <w:t xml:space="preserve">Par kultūras projektu </w:t>
      </w:r>
      <w:r w:rsidR="006B677D" w:rsidRPr="00E5739A">
        <w:rPr>
          <w:rFonts w:ascii="Times New Roman" w:hAnsi="Times New Roman" w:cs="Times New Roman"/>
          <w:b/>
        </w:rPr>
        <w:t>“</w:t>
      </w:r>
      <w:r w:rsidR="006B677D" w:rsidRPr="00E5739A">
        <w:rPr>
          <w:rStyle w:val="FontStyle19"/>
          <w:sz w:val="24"/>
          <w:szCs w:val="24"/>
        </w:rPr>
        <w:t>Baltezera baznīcas 250 gadu jubilejai veltīts pasākums “Dārza svētki Baltezera baznīcā””</w:t>
      </w:r>
      <w:r w:rsidR="0004330D" w:rsidRPr="00E5739A">
        <w:rPr>
          <w:rStyle w:val="FontStyle19"/>
          <w:color w:val="000000" w:themeColor="text1"/>
          <w:sz w:val="24"/>
          <w:szCs w:val="24"/>
        </w:rPr>
        <w:t xml:space="preserve">. </w:t>
      </w:r>
    </w:p>
    <w:p w14:paraId="6285FE60" w14:textId="77777777" w:rsidR="00564CA6" w:rsidRPr="00E5739A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497C8470" w14:textId="4E50DF8F" w:rsidR="001524EA" w:rsidRPr="00E5739A" w:rsidRDefault="00BB07BD" w:rsidP="00422EAC">
      <w:pPr>
        <w:tabs>
          <w:tab w:val="left" w:leader="underscore" w:pos="8928"/>
        </w:tabs>
        <w:autoSpaceDE w:val="0"/>
        <w:autoSpaceDN w:val="0"/>
        <w:adjustRightInd w:val="0"/>
        <w:spacing w:after="120" w:line="274" w:lineRule="exact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E5739A">
        <w:rPr>
          <w:rFonts w:ascii="Times New Roman" w:hAnsi="Times New Roman" w:cs="Times New Roman"/>
        </w:rPr>
        <w:t xml:space="preserve">Ādažu novada </w:t>
      </w:r>
      <w:r w:rsidR="00BB16A4" w:rsidRPr="00E5739A">
        <w:rPr>
          <w:rFonts w:ascii="Times New Roman" w:hAnsi="Times New Roman" w:cs="Times New Roman"/>
        </w:rPr>
        <w:t xml:space="preserve">pašvaldība </w:t>
      </w:r>
      <w:r w:rsidRPr="00E5739A">
        <w:rPr>
          <w:rFonts w:ascii="Times New Roman" w:hAnsi="Times New Roman" w:cs="Times New Roman"/>
        </w:rPr>
        <w:t>dom</w:t>
      </w:r>
      <w:r w:rsidR="00BB16A4" w:rsidRPr="00E5739A">
        <w:rPr>
          <w:rFonts w:ascii="Times New Roman" w:hAnsi="Times New Roman" w:cs="Times New Roman"/>
        </w:rPr>
        <w:t>e</w:t>
      </w:r>
      <w:r w:rsidRPr="00E5739A">
        <w:rPr>
          <w:rFonts w:ascii="Times New Roman" w:hAnsi="Times New Roman" w:cs="Times New Roman"/>
        </w:rPr>
        <w:t xml:space="preserve"> izskatīja </w:t>
      </w:r>
      <w:r w:rsidR="006B677D" w:rsidRPr="00E5739A">
        <w:rPr>
          <w:rStyle w:val="FontStyle20"/>
          <w:sz w:val="24"/>
          <w:szCs w:val="24"/>
        </w:rPr>
        <w:t>Latvijas evaņģēliski luteriskās baznīcas Ādažu draudzes</w:t>
      </w:r>
      <w:r w:rsidR="00A54CE3" w:rsidRPr="00E5739A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Pr="00E5739A">
        <w:rPr>
          <w:rFonts w:ascii="Times New Roman" w:hAnsi="Times New Roman" w:cs="Times New Roman"/>
        </w:rPr>
        <w:t xml:space="preserve">(adrese: </w:t>
      </w:r>
      <w:r w:rsidR="006B677D" w:rsidRPr="00E5739A">
        <w:rPr>
          <w:rStyle w:val="FontStyle20"/>
          <w:sz w:val="24"/>
          <w:szCs w:val="24"/>
        </w:rPr>
        <w:t>Baltezera baznīca, Baznīcas iela 1, Baltezers, Ādažu novads, LV 2164</w:t>
      </w:r>
      <w:r w:rsidR="006B677D" w:rsidRPr="00E5739A">
        <w:rPr>
          <w:rFonts w:ascii="Times New Roman" w:hAnsi="Times New Roman" w:cs="Times New Roman"/>
        </w:rPr>
        <w:t xml:space="preserve"> </w:t>
      </w:r>
      <w:r w:rsidRPr="00E5739A">
        <w:rPr>
          <w:rFonts w:ascii="Times New Roman" w:hAnsi="Times New Roman" w:cs="Times New Roman"/>
        </w:rPr>
        <w:t xml:space="preserve">(turpmāk - </w:t>
      </w:r>
      <w:r w:rsidRPr="00E5739A">
        <w:rPr>
          <w:rFonts w:ascii="Times New Roman" w:hAnsi="Times New Roman" w:cs="Times New Roman"/>
        </w:rPr>
        <w:t>Iesniedzējs)) 202</w:t>
      </w:r>
      <w:r w:rsidR="00927D47" w:rsidRPr="00E5739A">
        <w:rPr>
          <w:rFonts w:ascii="Times New Roman" w:hAnsi="Times New Roman" w:cs="Times New Roman"/>
        </w:rPr>
        <w:t>5</w:t>
      </w:r>
      <w:r w:rsidRPr="00E5739A">
        <w:rPr>
          <w:rFonts w:ascii="Times New Roman" w:hAnsi="Times New Roman" w:cs="Times New Roman"/>
        </w:rPr>
        <w:t>.</w:t>
      </w:r>
      <w:r w:rsidR="00927D47" w:rsidRPr="00E5739A">
        <w:rPr>
          <w:rFonts w:ascii="Times New Roman" w:hAnsi="Times New Roman" w:cs="Times New Roman"/>
        </w:rPr>
        <w:t xml:space="preserve"> </w:t>
      </w:r>
      <w:r w:rsidRPr="00E5739A">
        <w:rPr>
          <w:rFonts w:ascii="Times New Roman" w:hAnsi="Times New Roman" w:cs="Times New Roman"/>
        </w:rPr>
        <w:t xml:space="preserve">gada </w:t>
      </w:r>
      <w:r w:rsidR="006B677D" w:rsidRPr="00E5739A">
        <w:rPr>
          <w:rFonts w:ascii="Times New Roman" w:hAnsi="Times New Roman" w:cs="Times New Roman"/>
        </w:rPr>
        <w:t>16</w:t>
      </w:r>
      <w:r w:rsidR="00A54CE3" w:rsidRPr="00E5739A">
        <w:rPr>
          <w:rFonts w:ascii="Times New Roman" w:hAnsi="Times New Roman" w:cs="Times New Roman"/>
        </w:rPr>
        <w:t xml:space="preserve">.aprīlī </w:t>
      </w:r>
      <w:r w:rsidRPr="00E5739A">
        <w:rPr>
          <w:rFonts w:ascii="Times New Roman" w:hAnsi="Times New Roman" w:cs="Times New Roman"/>
        </w:rPr>
        <w:t>(</w:t>
      </w:r>
      <w:proofErr w:type="spellStart"/>
      <w:r w:rsidRPr="00E5739A">
        <w:rPr>
          <w:rFonts w:ascii="Times New Roman" w:hAnsi="Times New Roman" w:cs="Times New Roman"/>
        </w:rPr>
        <w:t>reģ</w:t>
      </w:r>
      <w:proofErr w:type="spellEnd"/>
      <w:r w:rsidRPr="00E5739A">
        <w:rPr>
          <w:rFonts w:ascii="Times New Roman" w:hAnsi="Times New Roman" w:cs="Times New Roman"/>
        </w:rPr>
        <w:t xml:space="preserve">. Nr. </w:t>
      </w:r>
      <w:r w:rsidR="006B677D" w:rsidRPr="00E5739A">
        <w:rPr>
          <w:rFonts w:ascii="Times New Roman" w:hAnsi="Times New Roman" w:cs="Times New Roman"/>
          <w:color w:val="212529"/>
          <w:shd w:val="clear" w:color="auto" w:fill="FFFFFF"/>
        </w:rPr>
        <w:t>ĀNP/1-11-1/25/2391</w:t>
      </w:r>
      <w:r w:rsidRPr="00E5739A">
        <w:rPr>
          <w:rFonts w:ascii="Times New Roman" w:hAnsi="Times New Roman" w:cs="Times New Roman"/>
          <w:color w:val="000000" w:themeColor="text1"/>
          <w:shd w:val="clear" w:color="auto" w:fill="FFFFFF"/>
        </w:rPr>
        <w:t>)</w:t>
      </w:r>
      <w:r w:rsidRPr="00E5739A">
        <w:rPr>
          <w:rFonts w:ascii="Times New Roman" w:hAnsi="Times New Roman" w:cs="Times New Roman"/>
          <w:color w:val="000000" w:themeColor="text1"/>
        </w:rPr>
        <w:t xml:space="preserve"> </w:t>
      </w:r>
      <w:r w:rsidR="00A54CE3" w:rsidRPr="00E5739A">
        <w:rPr>
          <w:rFonts w:ascii="Times New Roman" w:hAnsi="Times New Roman" w:cs="Times New Roman"/>
        </w:rPr>
        <w:t xml:space="preserve">saņemto </w:t>
      </w:r>
      <w:r w:rsidRPr="00E5739A">
        <w:rPr>
          <w:rFonts w:ascii="Times New Roman" w:hAnsi="Times New Roman" w:cs="Times New Roman"/>
        </w:rPr>
        <w:t xml:space="preserve">projekta </w:t>
      </w:r>
      <w:r w:rsidR="006B677D" w:rsidRPr="00E5739A">
        <w:rPr>
          <w:rFonts w:ascii="Times New Roman" w:hAnsi="Times New Roman" w:cs="Times New Roman"/>
          <w:b/>
        </w:rPr>
        <w:t>“</w:t>
      </w:r>
      <w:r w:rsidR="006B677D" w:rsidRPr="00E5739A">
        <w:rPr>
          <w:rStyle w:val="FontStyle19"/>
          <w:sz w:val="24"/>
          <w:szCs w:val="24"/>
        </w:rPr>
        <w:t>Baltezera baznīcas 250 gadu jubilejai veltīts pasākums “Dārza svētki Baltezera baznīcā””</w:t>
      </w:r>
      <w:r w:rsidR="006B677D" w:rsidRPr="00E5739A">
        <w:rPr>
          <w:rFonts w:ascii="Times New Roman" w:hAnsi="Times New Roman" w:cs="Times New Roman"/>
          <w:bCs/>
          <w:noProof/>
        </w:rPr>
        <w:t xml:space="preserve"> </w:t>
      </w:r>
      <w:r w:rsidRPr="00E5739A">
        <w:rPr>
          <w:rFonts w:ascii="Times New Roman" w:hAnsi="Times New Roman" w:cs="Times New Roman"/>
          <w:bCs/>
          <w:noProof/>
        </w:rPr>
        <w:t>(turpmāk</w:t>
      </w:r>
      <w:r w:rsidRPr="00E5739A">
        <w:rPr>
          <w:rFonts w:ascii="Times New Roman" w:hAnsi="Times New Roman" w:cs="Times New Roman"/>
          <w:noProof/>
        </w:rPr>
        <w:t xml:space="preserve">– Projekts) </w:t>
      </w:r>
      <w:r w:rsidRPr="00E5739A">
        <w:rPr>
          <w:rFonts w:ascii="Times New Roman" w:hAnsi="Times New Roman" w:cs="Times New Roman"/>
        </w:rPr>
        <w:t>pieteikumu</w:t>
      </w:r>
      <w:r w:rsidRPr="00E5739A">
        <w:rPr>
          <w:rFonts w:ascii="Times New Roman" w:hAnsi="Times New Roman" w:cs="Times New Roman"/>
          <w:noProof/>
        </w:rPr>
        <w:t xml:space="preserve"> finansējuma </w:t>
      </w:r>
      <w:r w:rsidR="009962F0">
        <w:rPr>
          <w:rFonts w:ascii="Times New Roman" w:hAnsi="Times New Roman" w:cs="Times New Roman"/>
          <w:noProof/>
        </w:rPr>
        <w:t xml:space="preserve">1000 EUR apmērā </w:t>
      </w:r>
      <w:r w:rsidRPr="00E5739A">
        <w:rPr>
          <w:rFonts w:ascii="Times New Roman" w:hAnsi="Times New Roman" w:cs="Times New Roman"/>
          <w:noProof/>
        </w:rPr>
        <w:t xml:space="preserve">saņemšanai </w:t>
      </w:r>
      <w:r w:rsidRPr="00E5739A">
        <w:rPr>
          <w:rFonts w:ascii="Times New Roman" w:hAnsi="Times New Roman" w:cs="Times New Roman"/>
          <w:noProof/>
        </w:rPr>
        <w:t>pašvaldības 2023.</w:t>
      </w:r>
      <w:r w:rsidR="00927D47" w:rsidRPr="00E5739A">
        <w:rPr>
          <w:rFonts w:ascii="Times New Roman" w:hAnsi="Times New Roman" w:cs="Times New Roman"/>
          <w:noProof/>
        </w:rPr>
        <w:t xml:space="preserve"> </w:t>
      </w:r>
      <w:r w:rsidRPr="00E5739A">
        <w:rPr>
          <w:rFonts w:ascii="Times New Roman" w:hAnsi="Times New Roman" w:cs="Times New Roman"/>
          <w:noProof/>
        </w:rPr>
        <w:t>gada 24.</w:t>
      </w:r>
      <w:r w:rsidR="00927D47" w:rsidRPr="00E5739A">
        <w:rPr>
          <w:rFonts w:ascii="Times New Roman" w:hAnsi="Times New Roman" w:cs="Times New Roman"/>
          <w:noProof/>
        </w:rPr>
        <w:t xml:space="preserve"> </w:t>
      </w:r>
      <w:r w:rsidRPr="00E5739A">
        <w:rPr>
          <w:rFonts w:ascii="Times New Roman" w:hAnsi="Times New Roman" w:cs="Times New Roman"/>
          <w:noProof/>
        </w:rPr>
        <w:t xml:space="preserve">maija nolikuma Nr. 11 “Iniciatīvas projektu finansēšanas kārtība Ādažu novada pašvaldībā” (turpmāk – Nolikums) noteiktajā kārtībā. </w:t>
      </w:r>
    </w:p>
    <w:p w14:paraId="48F1952D" w14:textId="77777777" w:rsidR="006B677D" w:rsidRPr="00E5739A" w:rsidRDefault="00BB07BD" w:rsidP="006B677D">
      <w:pPr>
        <w:pStyle w:val="Style6"/>
        <w:widowControl/>
        <w:spacing w:before="91"/>
        <w:jc w:val="both"/>
        <w:rPr>
          <w:rStyle w:val="FontStyle19"/>
          <w:b w:val="0"/>
          <w:bCs w:val="0"/>
          <w:sz w:val="24"/>
          <w:szCs w:val="24"/>
        </w:rPr>
      </w:pPr>
      <w:r w:rsidRPr="00E5739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Projekta mērķis </w:t>
      </w:r>
      <w:r w:rsidR="00A54CE3" w:rsidRPr="00E5739A">
        <w:rPr>
          <w:rFonts w:ascii="Times New Roman" w:hAnsi="Times New Roman" w:cs="Times New Roman"/>
          <w:color w:val="000000"/>
        </w:rPr>
        <w:t xml:space="preserve">ir </w:t>
      </w:r>
      <w:r w:rsidRPr="00E5739A">
        <w:rPr>
          <w:rStyle w:val="FontStyle19"/>
          <w:b w:val="0"/>
          <w:bCs w:val="0"/>
          <w:sz w:val="24"/>
          <w:szCs w:val="24"/>
        </w:rPr>
        <w:t>veicināt sabiedrības izpratni par Baltezera baznīcas vēsturisko nozīmi, kā arī tās lomu vietējā kopienā pēdējo 250 gadu laikā.</w:t>
      </w:r>
      <w:r w:rsidRPr="00E5739A">
        <w:rPr>
          <w:rStyle w:val="FontStyle19"/>
          <w:sz w:val="24"/>
          <w:szCs w:val="24"/>
        </w:rPr>
        <w:t xml:space="preserve"> </w:t>
      </w:r>
      <w:r w:rsidRPr="00E5739A">
        <w:rPr>
          <w:rStyle w:val="FontStyle19"/>
          <w:b w:val="0"/>
          <w:bCs w:val="0"/>
          <w:sz w:val="24"/>
          <w:szCs w:val="24"/>
        </w:rPr>
        <w:t>Pulcēt novada iedzīvotājus, draudzes locekļus un viesus, lai stiprinātu sabiedrības saites un piederības sajūtas veidošanos.</w:t>
      </w:r>
    </w:p>
    <w:p w14:paraId="76F4CD0A" w14:textId="77777777" w:rsidR="00622F5B" w:rsidRPr="00E5739A" w:rsidRDefault="00BB07BD" w:rsidP="006B677D">
      <w:pPr>
        <w:autoSpaceDE w:val="0"/>
        <w:autoSpaceDN w:val="0"/>
        <w:adjustRightInd w:val="0"/>
        <w:spacing w:before="91" w:line="283" w:lineRule="exact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E5739A">
        <w:rPr>
          <w:rFonts w:ascii="Times New Roman" w:eastAsia="Times New Roman" w:hAnsi="Times New Roman" w:cs="Times New Roman"/>
          <w:color w:val="000000" w:themeColor="text1"/>
        </w:rPr>
        <w:t xml:space="preserve">Projekta īstenošanas laiks ir </w:t>
      </w:r>
      <w:r w:rsidR="00A54CE3" w:rsidRPr="00E5739A">
        <w:rPr>
          <w:rFonts w:ascii="Times New Roman" w:eastAsia="Times New Roman" w:hAnsi="Times New Roman" w:cs="Times New Roman"/>
          <w:color w:val="000000" w:themeColor="text1"/>
        </w:rPr>
        <w:t xml:space="preserve">2025.gada </w:t>
      </w:r>
      <w:r w:rsidR="006B677D" w:rsidRPr="00E5739A">
        <w:rPr>
          <w:rFonts w:ascii="Times New Roman" w:eastAsia="Times New Roman" w:hAnsi="Times New Roman" w:cs="Times New Roman"/>
          <w:color w:val="000000" w:themeColor="text1"/>
        </w:rPr>
        <w:t>1.jūnijs</w:t>
      </w:r>
      <w:r w:rsidR="00A54CE3" w:rsidRPr="00E5739A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286AF5D7" w14:textId="77777777" w:rsidR="00A54CE3" w:rsidRPr="00E5739A" w:rsidRDefault="00BB07BD" w:rsidP="00422EAC">
      <w:pPr>
        <w:spacing w:before="120"/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E5739A">
        <w:rPr>
          <w:rStyle w:val="FontStyle19"/>
          <w:b w:val="0"/>
          <w:bCs w:val="0"/>
          <w:sz w:val="24"/>
          <w:szCs w:val="24"/>
        </w:rPr>
        <w:t xml:space="preserve">Projekta laikā </w:t>
      </w:r>
      <w:r w:rsidR="006B677D" w:rsidRPr="00E5739A">
        <w:rPr>
          <w:rStyle w:val="FontStyle19"/>
          <w:b w:val="0"/>
          <w:bCs w:val="0"/>
          <w:sz w:val="24"/>
          <w:szCs w:val="24"/>
        </w:rPr>
        <w:t xml:space="preserve">notiks svētku Dievkalpojums Baltezera baznīcā, ko vadīs LELB arhibīskaps Jānis Vanags. Dievkalpojums tiks translēts tiešraidē Latvijas televīzijā. Paralēli bērni tiks aicināti uz </w:t>
      </w:r>
      <w:r w:rsidR="006B677D" w:rsidRPr="00E5739A">
        <w:rPr>
          <w:rStyle w:val="FontStyle19"/>
          <w:b w:val="0"/>
          <w:bCs w:val="0"/>
          <w:color w:val="000000" w:themeColor="text1"/>
          <w:sz w:val="24"/>
          <w:szCs w:val="24"/>
        </w:rPr>
        <w:t>Svētdienas skolas nodarbību ar atbilstošām aktivitātēm. Svētku koncertā uzstāsies Zane un Aivars Gudrie, Raimonds Ozols, draudzes koris “Zari”. Apmeklētāji tiks aicināti uz svētku mielastu Baltezera baznīcas</w:t>
      </w:r>
      <w:r w:rsidR="006B677D" w:rsidRPr="00E5739A">
        <w:rPr>
          <w:rStyle w:val="Heading5Char"/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6B677D" w:rsidRPr="00E5739A">
        <w:rPr>
          <w:rStyle w:val="Heading5Char"/>
          <w:rFonts w:ascii="Times New Roman" w:hAnsi="Times New Roman" w:cs="Times New Roman"/>
          <w:color w:val="000000" w:themeColor="text1"/>
        </w:rPr>
        <w:t>pagalmā</w:t>
      </w:r>
      <w:r w:rsidR="00E5739A">
        <w:rPr>
          <w:rStyle w:val="Heading5Char"/>
          <w:rFonts w:ascii="Times New Roman" w:hAnsi="Times New Roman" w:cs="Times New Roman"/>
          <w:color w:val="000000" w:themeColor="text1"/>
        </w:rPr>
        <w:t xml:space="preserve">, kā arī uz </w:t>
      </w:r>
      <w:r w:rsidR="006B677D" w:rsidRPr="00E5739A">
        <w:rPr>
          <w:rStyle w:val="FontStyle19"/>
          <w:b w:val="0"/>
          <w:bCs w:val="0"/>
          <w:color w:val="000000" w:themeColor="text1"/>
          <w:sz w:val="24"/>
          <w:szCs w:val="24"/>
        </w:rPr>
        <w:t>radošām un sportiskām aktivitātēm.</w:t>
      </w:r>
    </w:p>
    <w:p w14:paraId="2A6600AA" w14:textId="0F9D4B3E" w:rsidR="001524EA" w:rsidRPr="00E5739A" w:rsidRDefault="00BB07BD" w:rsidP="00A54CE3">
      <w:pPr>
        <w:spacing w:before="120"/>
        <w:jc w:val="both"/>
        <w:rPr>
          <w:rFonts w:ascii="Times New Roman" w:eastAsia="Calibri" w:hAnsi="Times New Roman" w:cs="Times New Roman"/>
        </w:rPr>
      </w:pPr>
      <w:r w:rsidRPr="00E5739A">
        <w:rPr>
          <w:rFonts w:ascii="Times New Roman" w:eastAsia="Calibri" w:hAnsi="Times New Roman" w:cs="Times New Roman"/>
          <w:color w:val="000000" w:themeColor="text1"/>
        </w:rPr>
        <w:t xml:space="preserve">Kopējais finansējums ir </w:t>
      </w:r>
      <w:r w:rsidR="00830828">
        <w:rPr>
          <w:rStyle w:val="FontStyle19"/>
          <w:b w:val="0"/>
          <w:bCs w:val="0"/>
          <w:color w:val="000000" w:themeColor="text1"/>
          <w:sz w:val="24"/>
          <w:szCs w:val="24"/>
        </w:rPr>
        <w:t>3000</w:t>
      </w:r>
      <w:r w:rsidR="009962F0">
        <w:rPr>
          <w:rStyle w:val="FontStyle19"/>
          <w:b w:val="0"/>
          <w:bCs w:val="0"/>
          <w:color w:val="000000" w:themeColor="text1"/>
          <w:sz w:val="24"/>
          <w:szCs w:val="24"/>
        </w:rPr>
        <w:t>.00</w:t>
      </w:r>
      <w:r w:rsidRPr="00E5739A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</w:t>
      </w:r>
      <w:r w:rsidRPr="00E5739A">
        <w:rPr>
          <w:rFonts w:ascii="Times New Roman" w:eastAsia="Calibri" w:hAnsi="Times New Roman" w:cs="Times New Roman"/>
        </w:rPr>
        <w:t>EUR: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630"/>
        <w:gridCol w:w="1280"/>
        <w:gridCol w:w="1368"/>
        <w:gridCol w:w="1078"/>
      </w:tblGrid>
      <w:tr w:rsidR="006B40C4" w14:paraId="1F225C31" w14:textId="77777777" w:rsidTr="00A62D75">
        <w:tc>
          <w:tcPr>
            <w:tcW w:w="705" w:type="dxa"/>
            <w:shd w:val="clear" w:color="auto" w:fill="auto"/>
            <w:vAlign w:val="center"/>
          </w:tcPr>
          <w:p w14:paraId="26343F25" w14:textId="77777777" w:rsidR="001524EA" w:rsidRPr="00E5739A" w:rsidRDefault="00BB07BD" w:rsidP="00A62D75">
            <w:pPr>
              <w:pStyle w:val="Style6"/>
              <w:widowControl/>
              <w:rPr>
                <w:rStyle w:val="FontStyle19"/>
                <w:b w:val="0"/>
                <w:bCs w:val="0"/>
                <w:sz w:val="20"/>
                <w:szCs w:val="20"/>
              </w:rPr>
            </w:pPr>
            <w:proofErr w:type="spellStart"/>
            <w:r w:rsidRPr="00E5739A">
              <w:rPr>
                <w:rStyle w:val="FontStyle19"/>
                <w:b w:val="0"/>
                <w:bCs w:val="0"/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4630" w:type="dxa"/>
            <w:shd w:val="clear" w:color="auto" w:fill="auto"/>
            <w:vAlign w:val="center"/>
          </w:tcPr>
          <w:p w14:paraId="3D67298F" w14:textId="77777777" w:rsidR="001524EA" w:rsidRPr="00E5739A" w:rsidRDefault="00BB07BD" w:rsidP="00A62D75">
            <w:pPr>
              <w:pStyle w:val="Style6"/>
              <w:widowControl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E5739A">
              <w:rPr>
                <w:rStyle w:val="FontStyle19"/>
                <w:b w:val="0"/>
                <w:bCs w:val="0"/>
                <w:sz w:val="20"/>
                <w:szCs w:val="20"/>
              </w:rPr>
              <w:t>Izdevumu pozīcija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39B238DA" w14:textId="77777777" w:rsidR="001524EA" w:rsidRPr="00E5739A" w:rsidRDefault="00BB07BD" w:rsidP="00A62D75">
            <w:pPr>
              <w:pStyle w:val="Style6"/>
              <w:widowControl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E5739A">
              <w:rPr>
                <w:rStyle w:val="FontStyle19"/>
                <w:b w:val="0"/>
                <w:bCs w:val="0"/>
                <w:sz w:val="20"/>
                <w:szCs w:val="20"/>
              </w:rPr>
              <w:t>Pašvaldības finansējums (</w:t>
            </w:r>
            <w:proofErr w:type="spellStart"/>
            <w:r w:rsidRPr="00E5739A">
              <w:rPr>
                <w:rStyle w:val="FontStyle19"/>
                <w:b w:val="0"/>
                <w:bCs w:val="0"/>
                <w:sz w:val="20"/>
                <w:szCs w:val="20"/>
              </w:rPr>
              <w:t>eur</w:t>
            </w:r>
            <w:proofErr w:type="spellEnd"/>
            <w:r w:rsidRPr="00E5739A">
              <w:rPr>
                <w:rStyle w:val="FontStyle19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053BDE3D" w14:textId="77777777" w:rsidR="001524EA" w:rsidRPr="00E5739A" w:rsidRDefault="00BB07BD" w:rsidP="00A62D75">
            <w:pPr>
              <w:pStyle w:val="Style6"/>
              <w:widowControl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E5739A">
              <w:rPr>
                <w:rStyle w:val="FontStyle19"/>
                <w:b w:val="0"/>
                <w:bCs w:val="0"/>
                <w:sz w:val="20"/>
                <w:szCs w:val="20"/>
              </w:rPr>
              <w:t>Citu avotu finansējums (</w:t>
            </w:r>
            <w:proofErr w:type="spellStart"/>
            <w:r w:rsidRPr="00E5739A">
              <w:rPr>
                <w:rStyle w:val="FontStyle19"/>
                <w:b w:val="0"/>
                <w:bCs w:val="0"/>
                <w:sz w:val="20"/>
                <w:szCs w:val="20"/>
              </w:rPr>
              <w:t>eur</w:t>
            </w:r>
            <w:proofErr w:type="spellEnd"/>
            <w:r w:rsidRPr="00E5739A">
              <w:rPr>
                <w:rStyle w:val="FontStyle19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64C971DF" w14:textId="77777777" w:rsidR="001524EA" w:rsidRPr="00E5739A" w:rsidRDefault="00BB07BD" w:rsidP="00A62D75">
            <w:pPr>
              <w:pStyle w:val="Style6"/>
              <w:widowControl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E5739A">
              <w:rPr>
                <w:rStyle w:val="FontStyle19"/>
                <w:b w:val="0"/>
                <w:bCs w:val="0"/>
                <w:sz w:val="20"/>
                <w:szCs w:val="20"/>
              </w:rPr>
              <w:t>Kopējās izmaksas (</w:t>
            </w:r>
            <w:proofErr w:type="spellStart"/>
            <w:r w:rsidRPr="00E5739A">
              <w:rPr>
                <w:rStyle w:val="FontStyle19"/>
                <w:b w:val="0"/>
                <w:bCs w:val="0"/>
                <w:sz w:val="20"/>
                <w:szCs w:val="20"/>
              </w:rPr>
              <w:t>eur</w:t>
            </w:r>
            <w:proofErr w:type="spellEnd"/>
            <w:r w:rsidRPr="00E5739A">
              <w:rPr>
                <w:rStyle w:val="FontStyle19"/>
                <w:b w:val="0"/>
                <w:bCs w:val="0"/>
                <w:sz w:val="20"/>
                <w:szCs w:val="20"/>
              </w:rPr>
              <w:t>)</w:t>
            </w:r>
          </w:p>
        </w:tc>
      </w:tr>
      <w:tr w:rsidR="006B40C4" w14:paraId="301FBBDA" w14:textId="77777777" w:rsidTr="00FC430D">
        <w:tc>
          <w:tcPr>
            <w:tcW w:w="705" w:type="dxa"/>
            <w:shd w:val="clear" w:color="auto" w:fill="auto"/>
          </w:tcPr>
          <w:p w14:paraId="04379806" w14:textId="77777777" w:rsidR="0019247B" w:rsidRPr="00E5739A" w:rsidRDefault="0019247B" w:rsidP="0019247B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630" w:type="dxa"/>
            <w:shd w:val="clear" w:color="auto" w:fill="auto"/>
            <w:vAlign w:val="center"/>
          </w:tcPr>
          <w:p w14:paraId="63CFD7F3" w14:textId="77777777" w:rsidR="0019247B" w:rsidRPr="00E5739A" w:rsidRDefault="00BB07BD" w:rsidP="001924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5739A">
              <w:rPr>
                <w:rStyle w:val="FontStyle19"/>
                <w:b w:val="0"/>
                <w:bCs w:val="0"/>
                <w:sz w:val="20"/>
                <w:szCs w:val="20"/>
              </w:rPr>
              <w:t>Tehniskie izdevumi</w:t>
            </w:r>
            <w:r w:rsidR="00E5739A" w:rsidRPr="00E5739A">
              <w:rPr>
                <w:rStyle w:val="FontStyle19"/>
                <w:b w:val="0"/>
                <w:bCs w:val="0"/>
                <w:sz w:val="20"/>
                <w:szCs w:val="20"/>
              </w:rPr>
              <w:t>- b</w:t>
            </w:r>
            <w:r w:rsidRPr="00E5739A">
              <w:rPr>
                <w:rStyle w:val="FontStyle19"/>
                <w:b w:val="0"/>
                <w:bCs w:val="0"/>
                <w:sz w:val="20"/>
                <w:szCs w:val="20"/>
              </w:rPr>
              <w:t xml:space="preserve">rīvdabas skatuves noma (izmaksās iekļauta piegāde, uzstādīšana </w:t>
            </w:r>
            <w:r w:rsidR="00E5739A" w:rsidRPr="00E5739A">
              <w:rPr>
                <w:rStyle w:val="FontStyle19"/>
                <w:b w:val="0"/>
                <w:bCs w:val="0"/>
                <w:sz w:val="20"/>
                <w:szCs w:val="20"/>
              </w:rPr>
              <w:t xml:space="preserve">montāža </w:t>
            </w:r>
            <w:r w:rsidRPr="00E5739A">
              <w:rPr>
                <w:rStyle w:val="FontStyle19"/>
                <w:b w:val="0"/>
                <w:bCs w:val="0"/>
                <w:sz w:val="20"/>
                <w:szCs w:val="20"/>
              </w:rPr>
              <w:t>un demontāža)</w:t>
            </w:r>
          </w:p>
        </w:tc>
        <w:tc>
          <w:tcPr>
            <w:tcW w:w="1280" w:type="dxa"/>
            <w:shd w:val="clear" w:color="auto" w:fill="auto"/>
          </w:tcPr>
          <w:p w14:paraId="379C60D7" w14:textId="77777777" w:rsidR="0019247B" w:rsidRPr="00E5739A" w:rsidRDefault="00BB07BD" w:rsidP="0019247B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E5739A">
              <w:rPr>
                <w:rStyle w:val="FontStyle19"/>
                <w:b w:val="0"/>
                <w:bCs w:val="0"/>
                <w:sz w:val="20"/>
                <w:szCs w:val="20"/>
              </w:rPr>
              <w:t>1000</w:t>
            </w:r>
          </w:p>
        </w:tc>
        <w:tc>
          <w:tcPr>
            <w:tcW w:w="1368" w:type="dxa"/>
            <w:shd w:val="clear" w:color="auto" w:fill="auto"/>
          </w:tcPr>
          <w:p w14:paraId="053BF09A" w14:textId="77777777" w:rsidR="0019247B" w:rsidRPr="00E5739A" w:rsidRDefault="00BB07BD" w:rsidP="0019247B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E5739A">
              <w:rPr>
                <w:rStyle w:val="FontStyle19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1078" w:type="dxa"/>
            <w:shd w:val="clear" w:color="auto" w:fill="auto"/>
          </w:tcPr>
          <w:p w14:paraId="6789E4E9" w14:textId="77777777" w:rsidR="0019247B" w:rsidRPr="00E5739A" w:rsidRDefault="00BB07BD" w:rsidP="0019247B">
            <w:pPr>
              <w:pStyle w:val="Style6"/>
              <w:widowControl/>
              <w:snapToGrid w:val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5739A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6B40C4" w14:paraId="017BF543" w14:textId="77777777" w:rsidTr="00FC430D">
        <w:tc>
          <w:tcPr>
            <w:tcW w:w="705" w:type="dxa"/>
            <w:shd w:val="clear" w:color="auto" w:fill="auto"/>
          </w:tcPr>
          <w:p w14:paraId="4C7661AD" w14:textId="77777777" w:rsidR="0019247B" w:rsidRPr="00E5739A" w:rsidRDefault="0019247B" w:rsidP="0019247B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630" w:type="dxa"/>
            <w:shd w:val="clear" w:color="auto" w:fill="auto"/>
            <w:vAlign w:val="center"/>
          </w:tcPr>
          <w:p w14:paraId="748E0EA0" w14:textId="77777777" w:rsidR="0019247B" w:rsidRPr="00E5739A" w:rsidRDefault="00BB07BD" w:rsidP="001924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5739A">
              <w:rPr>
                <w:rStyle w:val="FontStyle19"/>
                <w:b w:val="0"/>
                <w:bCs w:val="0"/>
                <w:sz w:val="20"/>
                <w:szCs w:val="20"/>
              </w:rPr>
              <w:t>Citi izdevumi</w:t>
            </w:r>
          </w:p>
        </w:tc>
        <w:tc>
          <w:tcPr>
            <w:tcW w:w="1280" w:type="dxa"/>
            <w:shd w:val="clear" w:color="auto" w:fill="auto"/>
          </w:tcPr>
          <w:p w14:paraId="08D3F5BB" w14:textId="77777777" w:rsidR="0019247B" w:rsidRPr="00E5739A" w:rsidRDefault="0019247B" w:rsidP="0019247B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14:paraId="4686C619" w14:textId="77777777" w:rsidR="0019247B" w:rsidRPr="00E5739A" w:rsidRDefault="00BB07BD" w:rsidP="0019247B">
            <w:pPr>
              <w:pStyle w:val="Style6"/>
              <w:widowControl/>
              <w:snapToGrid w:val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5739A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078" w:type="dxa"/>
            <w:shd w:val="clear" w:color="auto" w:fill="auto"/>
          </w:tcPr>
          <w:p w14:paraId="3B6A8BA4" w14:textId="77777777" w:rsidR="0019247B" w:rsidRPr="00E5739A" w:rsidRDefault="00BB07BD" w:rsidP="0019247B">
            <w:pPr>
              <w:pStyle w:val="Style6"/>
              <w:widowControl/>
              <w:snapToGrid w:val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5739A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</w:tr>
      <w:tr w:rsidR="006B40C4" w14:paraId="18C84D4F" w14:textId="77777777" w:rsidTr="00A62D75">
        <w:tc>
          <w:tcPr>
            <w:tcW w:w="5335" w:type="dxa"/>
            <w:gridSpan w:val="2"/>
            <w:tcBorders>
              <w:left w:val="single" w:sz="4" w:space="0" w:color="FFFFFF"/>
            </w:tcBorders>
            <w:shd w:val="clear" w:color="auto" w:fill="auto"/>
          </w:tcPr>
          <w:p w14:paraId="0B7CC749" w14:textId="77777777" w:rsidR="001524EA" w:rsidRPr="00E5739A" w:rsidRDefault="00BB07BD" w:rsidP="00A62D75">
            <w:pPr>
              <w:pStyle w:val="Style6"/>
              <w:widowControl/>
              <w:spacing w:before="40" w:after="40"/>
              <w:jc w:val="right"/>
              <w:rPr>
                <w:rStyle w:val="FontStyle19"/>
                <w:sz w:val="20"/>
                <w:szCs w:val="20"/>
              </w:rPr>
            </w:pPr>
            <w:r w:rsidRPr="00E5739A">
              <w:rPr>
                <w:rStyle w:val="FontStyle19"/>
                <w:sz w:val="20"/>
                <w:szCs w:val="20"/>
              </w:rPr>
              <w:t xml:space="preserve">KOPĀ (t.sk., </w:t>
            </w:r>
            <w:r w:rsidRPr="00E5739A">
              <w:rPr>
                <w:rStyle w:val="FontStyle19"/>
                <w:sz w:val="20"/>
                <w:szCs w:val="20"/>
              </w:rPr>
              <w:t>nodokļi)</w:t>
            </w:r>
          </w:p>
        </w:tc>
        <w:tc>
          <w:tcPr>
            <w:tcW w:w="1280" w:type="dxa"/>
            <w:shd w:val="clear" w:color="auto" w:fill="auto"/>
          </w:tcPr>
          <w:p w14:paraId="4CF5FAFC" w14:textId="77777777" w:rsidR="001524EA" w:rsidRPr="00E5739A" w:rsidRDefault="00BB07BD" w:rsidP="00A62D75">
            <w:pPr>
              <w:pStyle w:val="Style6"/>
              <w:widowControl/>
              <w:spacing w:before="40" w:after="40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1000</w:t>
            </w:r>
          </w:p>
        </w:tc>
        <w:tc>
          <w:tcPr>
            <w:tcW w:w="1368" w:type="dxa"/>
            <w:tcBorders>
              <w:right w:val="single" w:sz="4" w:space="0" w:color="FFFFFF"/>
            </w:tcBorders>
            <w:shd w:val="clear" w:color="auto" w:fill="auto"/>
          </w:tcPr>
          <w:p w14:paraId="13AA751F" w14:textId="77777777" w:rsidR="001524EA" w:rsidRPr="00E5739A" w:rsidRDefault="00BB07BD" w:rsidP="00A62D75">
            <w:pPr>
              <w:pStyle w:val="Style6"/>
              <w:widowControl/>
              <w:spacing w:before="40" w:after="40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2000</w:t>
            </w:r>
          </w:p>
        </w:tc>
        <w:tc>
          <w:tcPr>
            <w:tcW w:w="1078" w:type="dxa"/>
            <w:tcBorders>
              <w:right w:val="single" w:sz="4" w:space="0" w:color="auto"/>
            </w:tcBorders>
            <w:shd w:val="clear" w:color="auto" w:fill="auto"/>
          </w:tcPr>
          <w:p w14:paraId="0D5BE0B6" w14:textId="77777777" w:rsidR="001524EA" w:rsidRPr="00E5739A" w:rsidRDefault="00BB07BD" w:rsidP="00A62D75">
            <w:pPr>
              <w:pStyle w:val="Style6"/>
              <w:widowControl/>
              <w:spacing w:before="40" w:after="40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3000</w:t>
            </w:r>
          </w:p>
        </w:tc>
      </w:tr>
    </w:tbl>
    <w:p w14:paraId="574A8319" w14:textId="205C3848" w:rsidR="00CE6EF3" w:rsidRPr="008360C2" w:rsidRDefault="00BB07BD" w:rsidP="00CE6EF3">
      <w:pPr>
        <w:spacing w:before="120"/>
        <w:jc w:val="both"/>
        <w:rPr>
          <w:rFonts w:ascii="Times New Roman" w:eastAsia="Calibri" w:hAnsi="Times New Roman" w:cs="Times New Roman"/>
        </w:rPr>
      </w:pPr>
      <w:r w:rsidRPr="008360C2">
        <w:rPr>
          <w:rFonts w:ascii="Times New Roman" w:eastAsia="Calibri" w:hAnsi="Times New Roman" w:cs="Times New Roman"/>
        </w:rPr>
        <w:t xml:space="preserve">Ādažu novada kultūras centrs veica Projekta atbilstības izvērtēšanu domes noteiktajā kārtībā, un secināja, ka </w:t>
      </w:r>
      <w:r w:rsidR="009962F0">
        <w:rPr>
          <w:rFonts w:ascii="Times New Roman" w:eastAsia="Calibri" w:hAnsi="Times New Roman" w:cs="Times New Roman"/>
        </w:rPr>
        <w:t>P</w:t>
      </w:r>
      <w:r w:rsidRPr="008360C2">
        <w:rPr>
          <w:rFonts w:ascii="Times New Roman" w:eastAsia="Calibri" w:hAnsi="Times New Roman" w:cs="Times New Roman"/>
        </w:rPr>
        <w:t>rojekts ir ieguvis 2</w:t>
      </w:r>
      <w:r w:rsidR="00E5739A">
        <w:rPr>
          <w:rFonts w:ascii="Times New Roman" w:eastAsia="Calibri" w:hAnsi="Times New Roman" w:cs="Times New Roman"/>
        </w:rPr>
        <w:t>6</w:t>
      </w:r>
      <w:r w:rsidRPr="008360C2">
        <w:rPr>
          <w:rFonts w:ascii="Times New Roman" w:eastAsia="Calibri" w:hAnsi="Times New Roman" w:cs="Times New Roman"/>
        </w:rPr>
        <w:t xml:space="preserve"> punktus (no 27), kā arī, ka tā norises un izdevumi atbilst Projekta mērķim.</w:t>
      </w:r>
      <w:r w:rsidR="00D04A7D">
        <w:rPr>
          <w:rFonts w:ascii="Times New Roman" w:eastAsia="Calibri" w:hAnsi="Times New Roman" w:cs="Times New Roman"/>
        </w:rPr>
        <w:t xml:space="preserve"> </w:t>
      </w:r>
    </w:p>
    <w:p w14:paraId="60944726" w14:textId="4DF9E276" w:rsidR="00CE6EF3" w:rsidRPr="008360C2" w:rsidRDefault="00BB07BD" w:rsidP="00CE6EF3">
      <w:pPr>
        <w:spacing w:before="120"/>
        <w:jc w:val="both"/>
        <w:rPr>
          <w:rFonts w:ascii="Times New Roman" w:hAnsi="Times New Roman" w:cs="Times New Roman"/>
        </w:rPr>
      </w:pPr>
      <w:r w:rsidRPr="008360C2">
        <w:rPr>
          <w:rFonts w:ascii="Times New Roman" w:hAnsi="Times New Roman" w:cs="Times New Roman"/>
        </w:rPr>
        <w:t xml:space="preserve">Pamatojoties uz Pašvaldību likuma 5. panta pirmo daļu, </w:t>
      </w:r>
      <w:r w:rsidRPr="008360C2">
        <w:rPr>
          <w:rFonts w:ascii="Times New Roman" w:eastAsia="Calibri" w:hAnsi="Times New Roman" w:cs="Times New Roman"/>
        </w:rPr>
        <w:t xml:space="preserve">Nolikuma </w:t>
      </w:r>
      <w:r w:rsidR="00830828" w:rsidRPr="00830828">
        <w:rPr>
          <w:rFonts w:ascii="Times New Roman" w:eastAsia="Calibri" w:hAnsi="Times New Roman" w:cs="Times New Roman"/>
        </w:rPr>
        <w:t>27., 29. un 33.</w:t>
      </w:r>
      <w:r w:rsidRPr="008360C2">
        <w:rPr>
          <w:rFonts w:ascii="Times New Roman" w:eastAsia="Calibri" w:hAnsi="Times New Roman" w:cs="Times New Roman"/>
        </w:rPr>
        <w:t xml:space="preserve"> punktu,</w:t>
      </w:r>
      <w:r w:rsidRPr="008360C2">
        <w:rPr>
          <w:rFonts w:ascii="Times New Roman" w:hAnsi="Times New Roman" w:cs="Times New Roman"/>
        </w:rPr>
        <w:t xml:space="preserve"> Ādažu novada </w:t>
      </w:r>
      <w:r>
        <w:rPr>
          <w:rFonts w:ascii="Times New Roman" w:hAnsi="Times New Roman" w:cs="Times New Roman"/>
        </w:rPr>
        <w:t xml:space="preserve">pašvaldības </w:t>
      </w:r>
      <w:r w:rsidRPr="008360C2">
        <w:rPr>
          <w:rFonts w:ascii="Times New Roman" w:hAnsi="Times New Roman" w:cs="Times New Roman"/>
        </w:rPr>
        <w:t>dome</w:t>
      </w:r>
    </w:p>
    <w:p w14:paraId="337A5A51" w14:textId="77777777" w:rsidR="00CE6EF3" w:rsidRPr="008360C2" w:rsidRDefault="00BB07BD" w:rsidP="00CE6EF3">
      <w:pPr>
        <w:spacing w:before="120" w:after="120"/>
        <w:jc w:val="center"/>
        <w:rPr>
          <w:rFonts w:ascii="Times New Roman" w:eastAsia="Calibri" w:hAnsi="Times New Roman" w:cs="Times New Roman"/>
          <w:b/>
        </w:rPr>
      </w:pPr>
      <w:r w:rsidRPr="008360C2">
        <w:rPr>
          <w:rFonts w:ascii="Times New Roman" w:eastAsia="Calibri" w:hAnsi="Times New Roman" w:cs="Times New Roman"/>
          <w:b/>
        </w:rPr>
        <w:t>NOLEMJ:</w:t>
      </w:r>
    </w:p>
    <w:p w14:paraId="77E7A346" w14:textId="6B247EAA" w:rsidR="00AF2DE7" w:rsidRPr="00AF2DE7" w:rsidRDefault="00BB07BD" w:rsidP="00CE6EF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AF2DE7">
        <w:rPr>
          <w:rFonts w:ascii="Times New Roman" w:eastAsia="Calibri" w:hAnsi="Times New Roman" w:cs="Times New Roman"/>
          <w:color w:val="000000"/>
        </w:rPr>
        <w:t xml:space="preserve">Atbalstīt </w:t>
      </w:r>
      <w:r w:rsidR="00E5739A" w:rsidRPr="006B677D">
        <w:rPr>
          <w:rStyle w:val="FontStyle20"/>
          <w:sz w:val="24"/>
          <w:szCs w:val="24"/>
        </w:rPr>
        <w:t>Latvijas evaņģēliski luteriskās baznīcas Ādažu draudzes</w:t>
      </w:r>
      <w:r w:rsidR="00E5739A" w:rsidRPr="006B677D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Pr="00AF2DE7">
        <w:rPr>
          <w:rFonts w:ascii="Times New Roman" w:hAnsi="Times New Roman" w:cs="Times New Roman"/>
        </w:rPr>
        <w:t xml:space="preserve">projektu </w:t>
      </w:r>
      <w:r w:rsidR="00E5739A">
        <w:rPr>
          <w:rFonts w:ascii="Times New Roman" w:hAnsi="Times New Roman" w:cs="Times New Roman"/>
          <w:b/>
        </w:rPr>
        <w:t>“</w:t>
      </w:r>
      <w:r w:rsidR="00E5739A">
        <w:rPr>
          <w:rStyle w:val="FontStyle19"/>
        </w:rPr>
        <w:t xml:space="preserve">Baltezera baznīcas 250 gadu jubilejai veltīts pasākums “Dārza svētki Baltezera baznīcā”” </w:t>
      </w:r>
      <w:r w:rsidRPr="00AF2DE7">
        <w:rPr>
          <w:rFonts w:ascii="Times New Roman" w:eastAsia="Calibri" w:hAnsi="Times New Roman" w:cs="Times New Roman"/>
          <w:color w:val="000000"/>
        </w:rPr>
        <w:t>un piešķirt tam pašvaldības līdzfinansējumu</w:t>
      </w:r>
      <w:r w:rsidR="00D04A7D" w:rsidRPr="00AF2DE7">
        <w:rPr>
          <w:rFonts w:ascii="Times New Roman" w:eastAsia="Calibri" w:hAnsi="Times New Roman" w:cs="Times New Roman"/>
          <w:color w:val="000000"/>
        </w:rPr>
        <w:t xml:space="preserve"> </w:t>
      </w:r>
      <w:r w:rsidRPr="00AF2DE7">
        <w:rPr>
          <w:rFonts w:ascii="Times New Roman" w:eastAsia="Calibri" w:hAnsi="Times New Roman" w:cs="Times New Roman"/>
          <w:color w:val="000000"/>
        </w:rPr>
        <w:t xml:space="preserve"> </w:t>
      </w:r>
      <w:r w:rsidR="00E5739A">
        <w:rPr>
          <w:rFonts w:ascii="Times New Roman" w:eastAsia="Calibri" w:hAnsi="Times New Roman" w:cs="Times New Roman"/>
          <w:color w:val="000000"/>
        </w:rPr>
        <w:t>1000</w:t>
      </w:r>
      <w:r w:rsidR="009962F0">
        <w:rPr>
          <w:rFonts w:ascii="Times New Roman" w:eastAsia="Calibri" w:hAnsi="Times New Roman" w:cs="Times New Roman"/>
          <w:color w:val="000000"/>
        </w:rPr>
        <w:t>.00</w:t>
      </w:r>
      <w:r w:rsidRPr="00AF2DE7">
        <w:rPr>
          <w:rFonts w:ascii="Times New Roman" w:eastAsia="Calibri" w:hAnsi="Times New Roman" w:cs="Times New Roman"/>
          <w:color w:val="000000"/>
        </w:rPr>
        <w:t xml:space="preserve"> </w:t>
      </w:r>
      <w:r w:rsidRPr="00AF2DE7">
        <w:rPr>
          <w:rFonts w:ascii="Times New Roman" w:eastAsia="Calibri" w:hAnsi="Times New Roman" w:cs="Times New Roman"/>
          <w:iCs/>
          <w:color w:val="000000"/>
        </w:rPr>
        <w:t>EUR (</w:t>
      </w:r>
      <w:r w:rsidR="00E5739A">
        <w:rPr>
          <w:rFonts w:ascii="Times New Roman" w:eastAsia="Calibri" w:hAnsi="Times New Roman" w:cs="Times New Roman"/>
          <w:iCs/>
          <w:color w:val="000000"/>
        </w:rPr>
        <w:t>viens tūkstotis</w:t>
      </w:r>
      <w:r w:rsidRPr="00AF2DE7">
        <w:rPr>
          <w:rFonts w:ascii="Times New Roman" w:eastAsia="Calibri" w:hAnsi="Times New Roman" w:cs="Times New Roman"/>
          <w:iCs/>
          <w:color w:val="000000"/>
        </w:rPr>
        <w:t xml:space="preserve"> </w:t>
      </w:r>
      <w:proofErr w:type="spellStart"/>
      <w:r w:rsidRPr="00AF2DE7">
        <w:rPr>
          <w:rFonts w:ascii="Times New Roman" w:eastAsia="Calibri" w:hAnsi="Times New Roman" w:cs="Times New Roman"/>
          <w:i/>
          <w:color w:val="000000"/>
        </w:rPr>
        <w:t>euro</w:t>
      </w:r>
      <w:proofErr w:type="spellEnd"/>
      <w:r w:rsidRPr="00AF2DE7">
        <w:rPr>
          <w:rFonts w:ascii="Times New Roman" w:eastAsia="Calibri" w:hAnsi="Times New Roman" w:cs="Times New Roman"/>
          <w:iCs/>
          <w:color w:val="000000"/>
        </w:rPr>
        <w:t>)</w:t>
      </w:r>
      <w:r>
        <w:rPr>
          <w:rFonts w:ascii="Times New Roman" w:eastAsia="Calibri" w:hAnsi="Times New Roman" w:cs="Times New Roman"/>
          <w:iCs/>
          <w:color w:val="000000"/>
        </w:rPr>
        <w:t>.</w:t>
      </w:r>
      <w:r w:rsidRPr="00AF2DE7">
        <w:rPr>
          <w:rFonts w:ascii="Times New Roman" w:eastAsia="Calibri" w:hAnsi="Times New Roman" w:cs="Times New Roman"/>
          <w:iCs/>
          <w:color w:val="000000"/>
        </w:rPr>
        <w:t xml:space="preserve"> </w:t>
      </w:r>
    </w:p>
    <w:p w14:paraId="0C6FAA12" w14:textId="0671A9D4" w:rsidR="00CE6EF3" w:rsidRPr="00AF2DE7" w:rsidRDefault="00BB07BD" w:rsidP="00CE6EF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AF2DE7">
        <w:rPr>
          <w:rFonts w:ascii="Times New Roman" w:eastAsia="Calibri" w:hAnsi="Times New Roman" w:cs="Times New Roman"/>
          <w:color w:val="000000"/>
        </w:rPr>
        <w:lastRenderedPageBreak/>
        <w:t xml:space="preserve">Centrālās pārvaldes Juridiskajai un </w:t>
      </w:r>
      <w:r w:rsidRPr="00AF2DE7">
        <w:rPr>
          <w:rFonts w:ascii="Times New Roman" w:eastAsia="Calibri" w:hAnsi="Times New Roman" w:cs="Times New Roman"/>
          <w:color w:val="000000"/>
        </w:rPr>
        <w:t>iepirkumu nodaļai</w:t>
      </w:r>
      <w:r w:rsidR="00830828">
        <w:rPr>
          <w:rFonts w:ascii="Times New Roman" w:eastAsia="Calibri" w:hAnsi="Times New Roman" w:cs="Times New Roman"/>
          <w:color w:val="000000"/>
        </w:rPr>
        <w:t xml:space="preserve"> 10 darba dienu laikā </w:t>
      </w:r>
      <w:r w:rsidRPr="00AF2DE7">
        <w:rPr>
          <w:rFonts w:ascii="Times New Roman" w:eastAsia="Calibri" w:hAnsi="Times New Roman" w:cs="Times New Roman"/>
          <w:color w:val="000000"/>
        </w:rPr>
        <w:t xml:space="preserve"> sagatavot līguma projektu 1. punkta izpildei, nosakot pienākumu </w:t>
      </w:r>
      <w:r w:rsidR="00E5739A" w:rsidRPr="006B677D">
        <w:rPr>
          <w:rStyle w:val="FontStyle20"/>
          <w:sz w:val="24"/>
          <w:szCs w:val="24"/>
        </w:rPr>
        <w:t>Latvijas evaņģēliski luteriskās baznīcas Ādažu draudze</w:t>
      </w:r>
      <w:r w:rsidR="00E5739A">
        <w:rPr>
          <w:rStyle w:val="FontStyle20"/>
          <w:sz w:val="24"/>
          <w:szCs w:val="24"/>
        </w:rPr>
        <w:t xml:space="preserve">i </w:t>
      </w:r>
      <w:r w:rsidRPr="00AF2DE7">
        <w:rPr>
          <w:rFonts w:ascii="Times New Roman" w:eastAsia="Calibri" w:hAnsi="Times New Roman" w:cs="Times New Roman"/>
          <w:color w:val="000000"/>
        </w:rPr>
        <w:t>ne vēlāk</w:t>
      </w:r>
      <w:r w:rsidRPr="00AF2DE7">
        <w:rPr>
          <w:rFonts w:ascii="Times New Roman" w:eastAsia="Calibri" w:hAnsi="Times New Roman" w:cs="Times New Roman"/>
        </w:rPr>
        <w:t>, kā viena mēneša laikā no projekta pabeigšanas dienas iesniegt pašvaldībai atskaiti par pašvaldības līdzfinansējuma izlietošanu.</w:t>
      </w:r>
    </w:p>
    <w:p w14:paraId="32DC2EE9" w14:textId="77777777" w:rsidR="00CE6EF3" w:rsidRPr="008360C2" w:rsidRDefault="00BB07BD" w:rsidP="00CE6EF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360C2">
        <w:rPr>
          <w:rFonts w:ascii="Times New Roman" w:eastAsia="Calibri" w:hAnsi="Times New Roman" w:cs="Times New Roman"/>
          <w:color w:val="000000"/>
        </w:rPr>
        <w:t>Pašvaldības izpilddirektoram parakstīt 2. punktā noteikto līgumu.</w:t>
      </w:r>
    </w:p>
    <w:p w14:paraId="4400673A" w14:textId="77777777" w:rsidR="00CE6EF3" w:rsidRPr="008360C2" w:rsidRDefault="00BB07BD" w:rsidP="00CE6EF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360C2">
        <w:rPr>
          <w:rFonts w:ascii="Times New Roman" w:eastAsia="Calibri" w:hAnsi="Times New Roman" w:cs="Times New Roman"/>
          <w:color w:val="000000"/>
        </w:rPr>
        <w:t xml:space="preserve">Centrālās pārvaldes Grāmatvedības nodaļai apmaksāt </w:t>
      </w:r>
      <w:r w:rsidR="00E5739A" w:rsidRPr="006B677D">
        <w:rPr>
          <w:rStyle w:val="FontStyle20"/>
          <w:sz w:val="24"/>
          <w:szCs w:val="24"/>
        </w:rPr>
        <w:t>Latvijas evaņģēliski luteriskās baznīcas Ādažu draudze</w:t>
      </w:r>
      <w:r w:rsidR="00E5739A">
        <w:rPr>
          <w:rStyle w:val="FontStyle20"/>
          <w:sz w:val="24"/>
          <w:szCs w:val="24"/>
        </w:rPr>
        <w:t>i</w:t>
      </w:r>
      <w:r w:rsidR="00D04A7D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Pr="008360C2">
        <w:rPr>
          <w:rFonts w:ascii="Times New Roman" w:eastAsia="Calibri" w:hAnsi="Times New Roman" w:cs="Times New Roman"/>
          <w:color w:val="000000"/>
        </w:rPr>
        <w:t xml:space="preserve">1. punktā noteikto summu </w:t>
      </w:r>
      <w:r>
        <w:rPr>
          <w:rFonts w:ascii="Times New Roman" w:eastAsia="Calibri" w:hAnsi="Times New Roman" w:cs="Times New Roman"/>
          <w:color w:val="000000"/>
        </w:rPr>
        <w:t>5</w:t>
      </w:r>
      <w:r w:rsidRPr="008360C2">
        <w:rPr>
          <w:rFonts w:ascii="Times New Roman" w:eastAsia="Calibri" w:hAnsi="Times New Roman" w:cs="Times New Roman"/>
          <w:color w:val="000000"/>
        </w:rPr>
        <w:t>0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8360C2">
        <w:rPr>
          <w:rFonts w:ascii="Times New Roman" w:eastAsia="Calibri" w:hAnsi="Times New Roman" w:cs="Times New Roman"/>
          <w:color w:val="000000"/>
        </w:rPr>
        <w:t>% apmērā no Ādažu novada kultūras centra 202</w:t>
      </w:r>
      <w:r w:rsidR="00890709">
        <w:rPr>
          <w:rFonts w:ascii="Times New Roman" w:eastAsia="Calibri" w:hAnsi="Times New Roman" w:cs="Times New Roman"/>
          <w:color w:val="000000"/>
        </w:rPr>
        <w:t>5</w:t>
      </w:r>
      <w:r w:rsidRPr="008360C2">
        <w:rPr>
          <w:rFonts w:ascii="Times New Roman" w:eastAsia="Calibri" w:hAnsi="Times New Roman" w:cs="Times New Roman"/>
          <w:color w:val="000000"/>
        </w:rPr>
        <w:t>. gada budžeta tāmes līdzekļiem 10 darbdienu laikā no 2. punktā noteiktā līguma abpusējas parakstīšanas dienas</w:t>
      </w:r>
      <w:r>
        <w:rPr>
          <w:rFonts w:ascii="Times New Roman" w:eastAsia="Calibri" w:hAnsi="Times New Roman" w:cs="Times New Roman"/>
          <w:color w:val="000000"/>
        </w:rPr>
        <w:t xml:space="preserve"> un atlikušo summu - pēc finanšu atskaites saņemšanas un atbilstības pārbaudes pašvaldībā.</w:t>
      </w:r>
    </w:p>
    <w:p w14:paraId="5E84F9F4" w14:textId="77777777" w:rsidR="00927D47" w:rsidRDefault="00BB07BD" w:rsidP="00927D47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360C2">
        <w:rPr>
          <w:rFonts w:ascii="Times New Roman" w:eastAsia="Calibri" w:hAnsi="Times New Roman" w:cs="Times New Roman"/>
          <w:color w:val="000000"/>
        </w:rPr>
        <w:t xml:space="preserve">Ādažu novada kultūras centram veikt </w:t>
      </w:r>
      <w:r w:rsidRPr="00F12EC1">
        <w:rPr>
          <w:rFonts w:ascii="Times New Roman" w:eastAsia="Calibri" w:hAnsi="Times New Roman" w:cs="Times New Roman"/>
          <w:color w:val="000000"/>
        </w:rPr>
        <w:t xml:space="preserve">finanšu atskaites saņemšanas </w:t>
      </w:r>
      <w:r>
        <w:rPr>
          <w:rFonts w:ascii="Times New Roman" w:eastAsia="Calibri" w:hAnsi="Times New Roman" w:cs="Times New Roman"/>
          <w:color w:val="000000"/>
        </w:rPr>
        <w:t xml:space="preserve">kontroli </w:t>
      </w:r>
      <w:r w:rsidRPr="00F12EC1">
        <w:rPr>
          <w:rFonts w:ascii="Times New Roman" w:eastAsia="Calibri" w:hAnsi="Times New Roman" w:cs="Times New Roman"/>
          <w:color w:val="000000"/>
        </w:rPr>
        <w:t>un atbilstības pārbaud</w:t>
      </w:r>
      <w:r>
        <w:rPr>
          <w:rFonts w:ascii="Times New Roman" w:eastAsia="Calibri" w:hAnsi="Times New Roman" w:cs="Times New Roman"/>
          <w:color w:val="000000"/>
        </w:rPr>
        <w:t>i</w:t>
      </w:r>
      <w:r w:rsidRPr="008360C2">
        <w:rPr>
          <w:rFonts w:ascii="Times New Roman" w:eastAsia="Calibri" w:hAnsi="Times New Roman" w:cs="Times New Roman"/>
          <w:color w:val="000000"/>
        </w:rPr>
        <w:t xml:space="preserve">. </w:t>
      </w:r>
    </w:p>
    <w:p w14:paraId="2E75F656" w14:textId="77777777" w:rsidR="00927D47" w:rsidRPr="008360C2" w:rsidRDefault="00BB07BD" w:rsidP="00927D47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Pašvaldības izpilddirektoram veikt lēmuma izpildes kontroli.</w:t>
      </w:r>
    </w:p>
    <w:p w14:paraId="7E77FBE8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5C07FC19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140628E4" w14:textId="77777777" w:rsidR="00BB07BD" w:rsidRPr="00564CA6" w:rsidRDefault="00BB07BD" w:rsidP="00BB16A4">
      <w:pPr>
        <w:jc w:val="both"/>
        <w:rPr>
          <w:rFonts w:ascii="Times New Roman" w:hAnsi="Times New Roman" w:cs="Times New Roman"/>
        </w:rPr>
      </w:pPr>
    </w:p>
    <w:p w14:paraId="395F3EFF" w14:textId="77777777" w:rsidR="00564CA6" w:rsidRDefault="00BB07BD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16009667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2F96B81F" w14:textId="77777777" w:rsidR="00147221" w:rsidRPr="00147221" w:rsidRDefault="00BB07BD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 xml:space="preserve">ŠIS DOKUMENTS IR </w:t>
      </w:r>
      <w:r w:rsidRPr="00147221">
        <w:rPr>
          <w:rFonts w:ascii="Times New Roman" w:eastAsia="Calibri" w:hAnsi="Times New Roman" w:cs="Times New Roman"/>
        </w:rPr>
        <w:t>ELEKTRONISKI PARAKSTĪTS AR DROŠU ELEKTRONISKO PARAKSTU UN SATUR LAIKA ZĪMOGU</w:t>
      </w:r>
    </w:p>
    <w:p w14:paraId="480611C2" w14:textId="77777777" w:rsidR="00564CA6" w:rsidRPr="00B47C10" w:rsidRDefault="00564CA6" w:rsidP="001524EA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C680E" w14:textId="77777777" w:rsidR="00BB07BD" w:rsidRDefault="00BB07BD">
      <w:r>
        <w:separator/>
      </w:r>
    </w:p>
  </w:endnote>
  <w:endnote w:type="continuationSeparator" w:id="0">
    <w:p w14:paraId="6D605201" w14:textId="77777777" w:rsidR="00BB07BD" w:rsidRDefault="00BB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9487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6501229" w14:textId="77777777" w:rsidR="005C7FA1" w:rsidRPr="005C7FA1" w:rsidRDefault="00BB07BD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8D57C5E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1C44C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3D547B7D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CEDD9" w14:textId="77777777" w:rsidR="00BB07BD" w:rsidRDefault="00BB07BD">
      <w:r>
        <w:separator/>
      </w:r>
    </w:p>
  </w:footnote>
  <w:footnote w:type="continuationSeparator" w:id="0">
    <w:p w14:paraId="10B58E7D" w14:textId="77777777" w:rsidR="00BB07BD" w:rsidRDefault="00BB0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7C4E3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7486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91F1D"/>
    <w:multiLevelType w:val="hybridMultilevel"/>
    <w:tmpl w:val="A0E62A9E"/>
    <w:lvl w:ilvl="0" w:tplc="0C3CC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C4BE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469C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12E1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AC8E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38F6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204A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56E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72C9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92A2D0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BE235A" w:tentative="1">
      <w:start w:val="1"/>
      <w:numFmt w:val="lowerLetter"/>
      <w:lvlText w:val="%2."/>
      <w:lvlJc w:val="left"/>
      <w:pPr>
        <w:ind w:left="1440" w:hanging="360"/>
      </w:pPr>
    </w:lvl>
    <w:lvl w:ilvl="2" w:tplc="942492C6" w:tentative="1">
      <w:start w:val="1"/>
      <w:numFmt w:val="lowerRoman"/>
      <w:lvlText w:val="%3."/>
      <w:lvlJc w:val="right"/>
      <w:pPr>
        <w:ind w:left="2160" w:hanging="180"/>
      </w:pPr>
    </w:lvl>
    <w:lvl w:ilvl="3" w:tplc="3392ED30" w:tentative="1">
      <w:start w:val="1"/>
      <w:numFmt w:val="decimal"/>
      <w:lvlText w:val="%4."/>
      <w:lvlJc w:val="left"/>
      <w:pPr>
        <w:ind w:left="2880" w:hanging="360"/>
      </w:pPr>
    </w:lvl>
    <w:lvl w:ilvl="4" w:tplc="CED2F604" w:tentative="1">
      <w:start w:val="1"/>
      <w:numFmt w:val="lowerLetter"/>
      <w:lvlText w:val="%5."/>
      <w:lvlJc w:val="left"/>
      <w:pPr>
        <w:ind w:left="3600" w:hanging="360"/>
      </w:pPr>
    </w:lvl>
    <w:lvl w:ilvl="5" w:tplc="9D74FECE" w:tentative="1">
      <w:start w:val="1"/>
      <w:numFmt w:val="lowerRoman"/>
      <w:lvlText w:val="%6."/>
      <w:lvlJc w:val="right"/>
      <w:pPr>
        <w:ind w:left="4320" w:hanging="180"/>
      </w:pPr>
    </w:lvl>
    <w:lvl w:ilvl="6" w:tplc="DD8E459E" w:tentative="1">
      <w:start w:val="1"/>
      <w:numFmt w:val="decimal"/>
      <w:lvlText w:val="%7."/>
      <w:lvlJc w:val="left"/>
      <w:pPr>
        <w:ind w:left="5040" w:hanging="360"/>
      </w:pPr>
    </w:lvl>
    <w:lvl w:ilvl="7" w:tplc="3EB637C0" w:tentative="1">
      <w:start w:val="1"/>
      <w:numFmt w:val="lowerLetter"/>
      <w:lvlText w:val="%8."/>
      <w:lvlJc w:val="left"/>
      <w:pPr>
        <w:ind w:left="5760" w:hanging="360"/>
      </w:pPr>
    </w:lvl>
    <w:lvl w:ilvl="8" w:tplc="2AF20C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1"/>
  </w:num>
  <w:num w:numId="3" w16cid:durableId="477889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4330D"/>
    <w:rsid w:val="00070E3F"/>
    <w:rsid w:val="000D5B11"/>
    <w:rsid w:val="000F3E89"/>
    <w:rsid w:val="00142C97"/>
    <w:rsid w:val="00147221"/>
    <w:rsid w:val="001524EA"/>
    <w:rsid w:val="0019247B"/>
    <w:rsid w:val="00195A73"/>
    <w:rsid w:val="001A1549"/>
    <w:rsid w:val="001A297B"/>
    <w:rsid w:val="001A7987"/>
    <w:rsid w:val="0025391B"/>
    <w:rsid w:val="00297558"/>
    <w:rsid w:val="002D53F6"/>
    <w:rsid w:val="00351BB2"/>
    <w:rsid w:val="00351D48"/>
    <w:rsid w:val="003C401E"/>
    <w:rsid w:val="00422EAC"/>
    <w:rsid w:val="004D516C"/>
    <w:rsid w:val="00521C00"/>
    <w:rsid w:val="0053073B"/>
    <w:rsid w:val="00543508"/>
    <w:rsid w:val="00556C82"/>
    <w:rsid w:val="00560743"/>
    <w:rsid w:val="00564CA6"/>
    <w:rsid w:val="00594C20"/>
    <w:rsid w:val="005C7FA1"/>
    <w:rsid w:val="00617AAC"/>
    <w:rsid w:val="00622F5B"/>
    <w:rsid w:val="00693F05"/>
    <w:rsid w:val="006B40C4"/>
    <w:rsid w:val="006B639B"/>
    <w:rsid w:val="006B677D"/>
    <w:rsid w:val="006D3451"/>
    <w:rsid w:val="006D513B"/>
    <w:rsid w:val="006F3B0E"/>
    <w:rsid w:val="00721AEB"/>
    <w:rsid w:val="0074092B"/>
    <w:rsid w:val="00780FD7"/>
    <w:rsid w:val="0079484F"/>
    <w:rsid w:val="007B4DDB"/>
    <w:rsid w:val="008257F8"/>
    <w:rsid w:val="00827051"/>
    <w:rsid w:val="00830828"/>
    <w:rsid w:val="008360C2"/>
    <w:rsid w:val="00856CDD"/>
    <w:rsid w:val="00890709"/>
    <w:rsid w:val="008E3846"/>
    <w:rsid w:val="009139A1"/>
    <w:rsid w:val="00927D47"/>
    <w:rsid w:val="00931891"/>
    <w:rsid w:val="009962F0"/>
    <w:rsid w:val="00996740"/>
    <w:rsid w:val="009A3989"/>
    <w:rsid w:val="009B1381"/>
    <w:rsid w:val="009B7F8F"/>
    <w:rsid w:val="00A254B5"/>
    <w:rsid w:val="00A506D9"/>
    <w:rsid w:val="00A52B04"/>
    <w:rsid w:val="00A54CE3"/>
    <w:rsid w:val="00A62D75"/>
    <w:rsid w:val="00AF2DE7"/>
    <w:rsid w:val="00B36CD4"/>
    <w:rsid w:val="00B4014F"/>
    <w:rsid w:val="00B451E2"/>
    <w:rsid w:val="00B47C10"/>
    <w:rsid w:val="00BB07BD"/>
    <w:rsid w:val="00BB16A4"/>
    <w:rsid w:val="00BE75D1"/>
    <w:rsid w:val="00C17647"/>
    <w:rsid w:val="00C65192"/>
    <w:rsid w:val="00C82360"/>
    <w:rsid w:val="00C9477C"/>
    <w:rsid w:val="00CC1B2F"/>
    <w:rsid w:val="00CD124D"/>
    <w:rsid w:val="00CE6EF3"/>
    <w:rsid w:val="00CF16C2"/>
    <w:rsid w:val="00D04A7D"/>
    <w:rsid w:val="00D125B2"/>
    <w:rsid w:val="00D22861"/>
    <w:rsid w:val="00D86969"/>
    <w:rsid w:val="00DA712B"/>
    <w:rsid w:val="00E03956"/>
    <w:rsid w:val="00E52DA2"/>
    <w:rsid w:val="00E5739A"/>
    <w:rsid w:val="00E75D8D"/>
    <w:rsid w:val="00EA3B65"/>
    <w:rsid w:val="00EE2630"/>
    <w:rsid w:val="00EF06E1"/>
    <w:rsid w:val="00F12EC1"/>
    <w:rsid w:val="00FA29A3"/>
    <w:rsid w:val="00FC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473E4E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77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24EA"/>
    <w:pPr>
      <w:keepNext/>
      <w:keepLines/>
      <w:spacing w:before="40"/>
      <w:ind w:left="720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customStyle="1" w:styleId="FontStyle19">
    <w:name w:val="Font Style19"/>
    <w:uiPriority w:val="99"/>
    <w:rsid w:val="001524E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0">
    <w:name w:val="Font Style20"/>
    <w:uiPriority w:val="99"/>
    <w:rsid w:val="001524EA"/>
    <w:rPr>
      <w:rFonts w:ascii="Times New Roman" w:hAnsi="Times New Roman" w:cs="Times New Roman"/>
      <w:color w:val="00000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524E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n-US"/>
    </w:rPr>
  </w:style>
  <w:style w:type="paragraph" w:customStyle="1" w:styleId="Style6">
    <w:name w:val="Style6"/>
    <w:basedOn w:val="Normal"/>
    <w:uiPriority w:val="99"/>
    <w:rsid w:val="001524EA"/>
    <w:pPr>
      <w:widowControl w:val="0"/>
      <w:autoSpaceDE w:val="0"/>
      <w:autoSpaceDN w:val="0"/>
      <w:adjustRightInd w:val="0"/>
      <w:spacing w:line="283" w:lineRule="exact"/>
      <w:jc w:val="center"/>
    </w:pPr>
    <w:rPr>
      <w:rFonts w:ascii="Arial" w:eastAsia="Times New Roman" w:hAnsi="Arial" w:cs="Arial"/>
      <w:lang w:eastAsia="lv-LV"/>
    </w:rPr>
  </w:style>
  <w:style w:type="paragraph" w:styleId="Revision">
    <w:name w:val="Revision"/>
    <w:hidden/>
    <w:uiPriority w:val="99"/>
    <w:semiHidden/>
    <w:rsid w:val="00C65192"/>
  </w:style>
  <w:style w:type="character" w:customStyle="1" w:styleId="Heading5Char">
    <w:name w:val="Heading 5 Char"/>
    <w:basedOn w:val="DefaultParagraphFont"/>
    <w:link w:val="Heading5"/>
    <w:uiPriority w:val="9"/>
    <w:semiHidden/>
    <w:rsid w:val="006B677D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93CB41-E965-C245-B1D8-E707C12AC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2266</Words>
  <Characters>1293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8</cp:revision>
  <dcterms:created xsi:type="dcterms:W3CDTF">2025-04-16T13:04:00Z</dcterms:created>
  <dcterms:modified xsi:type="dcterms:W3CDTF">2025-04-24T15:49:00Z</dcterms:modified>
</cp:coreProperties>
</file>