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2E4DD66E" w:rsidR="00BD5FF6" w:rsidRPr="006F76E5" w:rsidRDefault="00420AFE" w:rsidP="00BD5FF6">
      <w:pPr>
        <w:rPr>
          <w:lang w:val="lv-LV"/>
        </w:rPr>
      </w:pPr>
      <w:bookmarkStart w:id="0" w:name="_Hlk193880123"/>
      <w:bookmarkEnd w:id="0"/>
      <w:r w:rsidRPr="006F76E5">
        <w:rPr>
          <w:noProof/>
          <w:lang w:val="lv-LV"/>
        </w:rPr>
        <w:drawing>
          <wp:inline distT="0" distB="0" distL="0" distR="0" wp14:anchorId="453649AB" wp14:editId="5D4B0CCC">
            <wp:extent cx="5734050" cy="1171575"/>
            <wp:effectExtent l="0" t="0" r="0" b="9525"/>
            <wp:docPr id="1499848689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DF24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>APSTIPRINĀTI</w:t>
      </w:r>
    </w:p>
    <w:p w14:paraId="764562F5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ar Ādažu novada pašvaldības domes </w:t>
      </w:r>
    </w:p>
    <w:p w14:paraId="5EF24D02" w14:textId="26312865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>202</w:t>
      </w:r>
      <w:r w:rsidR="00696695">
        <w:rPr>
          <w:lang w:val="lv-LV"/>
        </w:rPr>
        <w:t>5</w:t>
      </w:r>
      <w:r w:rsidRPr="006F76E5">
        <w:rPr>
          <w:lang w:val="lv-LV"/>
        </w:rPr>
        <w:t xml:space="preserve">. gada </w:t>
      </w:r>
      <w:r w:rsidR="00696695">
        <w:rPr>
          <w:lang w:val="lv-LV"/>
        </w:rPr>
        <w:t>27</w:t>
      </w:r>
      <w:r w:rsidRPr="006F76E5">
        <w:rPr>
          <w:lang w:val="lv-LV"/>
        </w:rPr>
        <w:t>.</w:t>
      </w:r>
      <w:r w:rsidR="00696695">
        <w:rPr>
          <w:lang w:val="lv-LV"/>
        </w:rPr>
        <w:t>marta</w:t>
      </w:r>
      <w:r w:rsidRPr="006F76E5">
        <w:rPr>
          <w:lang w:val="lv-LV"/>
        </w:rPr>
        <w:t xml:space="preserve"> sēdes lēmumu </w:t>
      </w:r>
    </w:p>
    <w:p w14:paraId="1081373F" w14:textId="6FF68B8D" w:rsidR="00420AFE" w:rsidRPr="006F76E5" w:rsidRDefault="00420AFE" w:rsidP="00420AFE">
      <w:pPr>
        <w:jc w:val="right"/>
        <w:rPr>
          <w:lang w:val="lv-LV"/>
        </w:rPr>
      </w:pPr>
      <w:bookmarkStart w:id="1" w:name="_Hlk90469929"/>
      <w:r w:rsidRPr="00623763">
        <w:rPr>
          <w:lang w:val="lv-LV"/>
        </w:rPr>
        <w:t xml:space="preserve">(protokols Nr. </w:t>
      </w:r>
      <w:r w:rsidR="00623763">
        <w:rPr>
          <w:lang w:val="lv-LV"/>
        </w:rPr>
        <w:t xml:space="preserve">7 </w:t>
      </w:r>
      <w:r w:rsidRPr="00623763">
        <w:rPr>
          <w:lang w:val="lv-LV"/>
        </w:rPr>
        <w:t>§</w:t>
      </w:r>
      <w:r w:rsidR="00623763">
        <w:rPr>
          <w:lang w:val="lv-LV"/>
        </w:rPr>
        <w:t xml:space="preserve"> 42</w:t>
      </w:r>
      <w:r w:rsidRPr="00623763">
        <w:rPr>
          <w:lang w:val="lv-LV"/>
        </w:rPr>
        <w:t>)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18173ACB" w:rsidR="00420AFE" w:rsidRPr="006F76E5" w:rsidRDefault="00420AFE" w:rsidP="00420AFE">
      <w:pPr>
        <w:jc w:val="both"/>
        <w:rPr>
          <w:bCs/>
          <w:lang w:val="lv-LV"/>
        </w:rPr>
      </w:pPr>
      <w:r w:rsidRPr="006F76E5">
        <w:rPr>
          <w:bCs/>
          <w:lang w:val="lv-LV"/>
        </w:rPr>
        <w:t>202</w:t>
      </w:r>
      <w:r w:rsidR="00696695">
        <w:rPr>
          <w:bCs/>
          <w:lang w:val="lv-LV"/>
        </w:rPr>
        <w:t>5</w:t>
      </w:r>
      <w:r w:rsidRPr="006F76E5">
        <w:rPr>
          <w:bCs/>
          <w:lang w:val="lv-LV"/>
        </w:rPr>
        <w:t xml:space="preserve">. gada </w:t>
      </w:r>
      <w:r w:rsidR="00531C36">
        <w:rPr>
          <w:bCs/>
          <w:lang w:val="lv-LV"/>
        </w:rPr>
        <w:t>2</w:t>
      </w:r>
      <w:r w:rsidR="00696695">
        <w:rPr>
          <w:bCs/>
          <w:lang w:val="lv-LV"/>
        </w:rPr>
        <w:t>7</w:t>
      </w:r>
      <w:r w:rsidRPr="006F76E5">
        <w:rPr>
          <w:bCs/>
          <w:lang w:val="lv-LV"/>
        </w:rPr>
        <w:t>.</w:t>
      </w:r>
      <w:r w:rsidR="00696695">
        <w:rPr>
          <w:bCs/>
          <w:lang w:val="lv-LV"/>
        </w:rPr>
        <w:t xml:space="preserve"> martā</w:t>
      </w:r>
      <w:r w:rsidR="00021580">
        <w:rPr>
          <w:bCs/>
          <w:lang w:val="lv-LV"/>
        </w:rPr>
        <w:t xml:space="preserve"> </w:t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  <w:t xml:space="preserve">             </w:t>
      </w:r>
      <w:r w:rsidR="00021580">
        <w:rPr>
          <w:bCs/>
          <w:lang w:val="lv-LV"/>
        </w:rPr>
        <w:t xml:space="preserve">       </w:t>
      </w:r>
      <w:r w:rsidR="00696695">
        <w:rPr>
          <w:bCs/>
          <w:lang w:val="lv-LV"/>
        </w:rPr>
        <w:tab/>
      </w:r>
      <w:r w:rsidR="00021580">
        <w:rPr>
          <w:bCs/>
          <w:lang w:val="lv-LV"/>
        </w:rPr>
        <w:t xml:space="preserve">            </w:t>
      </w:r>
      <w:r w:rsidRPr="006F76E5">
        <w:rPr>
          <w:bCs/>
          <w:lang w:val="lv-LV"/>
        </w:rPr>
        <w:t xml:space="preserve">   </w:t>
      </w:r>
      <w:r w:rsidRPr="006F76E5">
        <w:rPr>
          <w:b/>
          <w:lang w:val="lv-LV"/>
        </w:rPr>
        <w:t xml:space="preserve">Nr. </w:t>
      </w:r>
      <w:r w:rsidR="00623763">
        <w:rPr>
          <w:b/>
          <w:lang w:val="lv-LV"/>
        </w:rPr>
        <w:t>20</w:t>
      </w:r>
      <w:r w:rsidRPr="006F76E5">
        <w:rPr>
          <w:b/>
          <w:lang w:val="lv-LV"/>
        </w:rPr>
        <w:t>/202</w:t>
      </w:r>
      <w:r w:rsidR="00696695">
        <w:rPr>
          <w:b/>
          <w:lang w:val="lv-LV"/>
        </w:rPr>
        <w:t>5</w:t>
      </w:r>
      <w:r w:rsidRPr="006F76E5">
        <w:rPr>
          <w:b/>
          <w:lang w:val="lv-LV"/>
        </w:rPr>
        <w:t xml:space="preserve">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47E7B15D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696695">
        <w:rPr>
          <w:rFonts w:ascii="TimesNewRoman,Bold" w:hAnsi="TimesNewRoman,Bold" w:cs="TimesNewRoman,Bold"/>
          <w:b/>
          <w:bCs/>
          <w:lang w:val="lv-LV" w:eastAsia="lv-LV"/>
        </w:rPr>
        <w:t>5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6F76E5">
        <w:rPr>
          <w:i/>
          <w:lang w:val="lv-LV"/>
        </w:rPr>
        <w:t>Izdoti saskaņā a</w:t>
      </w:r>
      <w:r w:rsidR="000E2996" w:rsidRPr="006F76E5">
        <w:rPr>
          <w:i/>
          <w:lang w:val="lv-LV"/>
        </w:rPr>
        <w:t xml:space="preserve">r </w:t>
      </w:r>
      <w:r w:rsidR="00C53C8E" w:rsidRPr="006F76E5">
        <w:rPr>
          <w:i/>
          <w:lang w:val="lv-LV"/>
        </w:rPr>
        <w:t xml:space="preserve">Pašvaldību </w:t>
      </w:r>
      <w:r w:rsidR="000E2996" w:rsidRPr="006F76E5">
        <w:rPr>
          <w:i/>
          <w:lang w:val="lv-LV"/>
        </w:rPr>
        <w:t>likuma</w:t>
      </w:r>
      <w:r w:rsidR="003C596F" w:rsidRPr="006F76E5">
        <w:rPr>
          <w:i/>
          <w:lang w:val="lv-LV"/>
        </w:rPr>
        <w:t xml:space="preserve"> </w:t>
      </w:r>
      <w:r w:rsidR="00C53C8E" w:rsidRPr="006F76E5">
        <w:rPr>
          <w:i/>
          <w:lang w:val="lv-LV"/>
        </w:rPr>
        <w:t>10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 xml:space="preserve">panta pirmās daļas </w:t>
      </w:r>
      <w:r w:rsidR="00C53C8E" w:rsidRPr="006F76E5">
        <w:rPr>
          <w:i/>
          <w:lang w:val="lv-LV"/>
        </w:rPr>
        <w:t>1</w:t>
      </w:r>
      <w:r w:rsidR="000821F9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821F9" w:rsidRPr="006F76E5">
        <w:rPr>
          <w:i/>
          <w:lang w:val="lv-LV"/>
        </w:rPr>
        <w:t>punktu</w:t>
      </w:r>
      <w:r w:rsidR="009C625F" w:rsidRPr="006F76E5">
        <w:rPr>
          <w:i/>
          <w:lang w:val="lv-LV"/>
        </w:rPr>
        <w:t xml:space="preserve"> un</w:t>
      </w:r>
      <w:r w:rsidR="000E2996" w:rsidRPr="006F76E5">
        <w:rPr>
          <w:i/>
          <w:lang w:val="lv-LV"/>
        </w:rPr>
        <w:t xml:space="preserve"> 4</w:t>
      </w:r>
      <w:r w:rsidR="00C53C8E" w:rsidRPr="006F76E5">
        <w:rPr>
          <w:i/>
          <w:lang w:val="lv-LV"/>
        </w:rPr>
        <w:t>8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>pant</w:t>
      </w:r>
      <w:r w:rsidR="009C625F" w:rsidRPr="006F76E5">
        <w:rPr>
          <w:i/>
          <w:lang w:val="lv-LV"/>
        </w:rPr>
        <w:t>u</w:t>
      </w:r>
      <w:r w:rsidR="000821F9" w:rsidRPr="006F76E5">
        <w:rPr>
          <w:i/>
          <w:lang w:val="lv-LV"/>
        </w:rPr>
        <w:t>,</w:t>
      </w:r>
      <w:r w:rsidR="009C625F" w:rsidRPr="006F76E5">
        <w:rPr>
          <w:lang w:val="lv-LV"/>
        </w:rPr>
        <w:t xml:space="preserve"> </w:t>
      </w:r>
      <w:r w:rsidR="000821F9" w:rsidRPr="006F76E5">
        <w:rPr>
          <w:i/>
          <w:lang w:val="lv-LV"/>
        </w:rPr>
        <w:t>likum</w:t>
      </w:r>
      <w:r w:rsidR="009C625F" w:rsidRPr="006F76E5">
        <w:rPr>
          <w:i/>
          <w:lang w:val="lv-LV"/>
        </w:rPr>
        <w:t>a</w:t>
      </w:r>
      <w:r w:rsidR="000821F9" w:rsidRPr="006F76E5">
        <w:rPr>
          <w:i/>
          <w:lang w:val="lv-LV"/>
        </w:rPr>
        <w:t xml:space="preserve"> „Par pašvaldību budžetiem”</w:t>
      </w:r>
      <w:r w:rsidR="009C625F" w:rsidRPr="006F76E5">
        <w:rPr>
          <w:i/>
          <w:lang w:val="lv-LV"/>
        </w:rPr>
        <w:t xml:space="preserve"> 16. un 17. pant</w:t>
      </w:r>
      <w:r w:rsidR="00C53C8E" w:rsidRPr="006F76E5">
        <w:rPr>
          <w:i/>
          <w:lang w:val="lv-LV"/>
        </w:rPr>
        <w:t>u un likuma “Par budžetu un finanšu vadīb</w:t>
      </w:r>
      <w:r w:rsidR="009C625F" w:rsidRPr="006F76E5">
        <w:rPr>
          <w:i/>
          <w:lang w:val="lv-LV"/>
        </w:rPr>
        <w:t>u</w:t>
      </w:r>
      <w:r w:rsidR="00C53C8E" w:rsidRPr="006F76E5">
        <w:rPr>
          <w:i/>
          <w:lang w:val="lv-LV"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4FBB774B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6F76E5">
        <w:rPr>
          <w:lang w:val="lv-LV"/>
        </w:rPr>
        <w:t>Izdarīt Ādažu novada pašvaldības domes 202</w:t>
      </w:r>
      <w:r w:rsidR="00696695">
        <w:rPr>
          <w:lang w:val="lv-LV"/>
        </w:rPr>
        <w:t>5</w:t>
      </w:r>
      <w:r w:rsidRPr="006F76E5">
        <w:rPr>
          <w:lang w:val="lv-LV"/>
        </w:rPr>
        <w:t xml:space="preserve">.gada </w:t>
      </w:r>
      <w:r w:rsidR="00696695">
        <w:rPr>
          <w:lang w:val="lv-LV"/>
        </w:rPr>
        <w:t>22</w:t>
      </w:r>
      <w:r w:rsidRPr="006F76E5">
        <w:rPr>
          <w:lang w:val="lv-LV"/>
        </w:rPr>
        <w:t>.</w:t>
      </w:r>
      <w:r w:rsidR="00696695">
        <w:rPr>
          <w:lang w:val="lv-LV"/>
        </w:rPr>
        <w:t>janvāra</w:t>
      </w:r>
      <w:r w:rsidRPr="006F76E5">
        <w:rPr>
          <w:lang w:val="lv-LV"/>
        </w:rPr>
        <w:t xml:space="preserve"> </w:t>
      </w:r>
      <w:r w:rsidRPr="006F76E5">
        <w:rPr>
          <w:bCs/>
          <w:lang w:val="lv-LV" w:eastAsia="lv-LV"/>
        </w:rPr>
        <w:t>saistošajos noteikumos</w:t>
      </w:r>
      <w:r w:rsidRPr="006F76E5">
        <w:rPr>
          <w:bCs/>
          <w:color w:val="FF0000"/>
          <w:lang w:val="lv-LV" w:eastAsia="lv-LV"/>
        </w:rPr>
        <w:t xml:space="preserve"> </w:t>
      </w:r>
      <w:r w:rsidRPr="006F76E5">
        <w:rPr>
          <w:bCs/>
          <w:lang w:val="lv-LV" w:eastAsia="lv-LV"/>
        </w:rPr>
        <w:t>Nr.</w:t>
      </w:r>
      <w:r w:rsidR="00696695">
        <w:rPr>
          <w:bCs/>
          <w:lang w:val="lv-LV" w:eastAsia="lv-LV"/>
        </w:rPr>
        <w:t>1</w:t>
      </w:r>
      <w:r w:rsidRPr="006F76E5">
        <w:rPr>
          <w:bCs/>
          <w:lang w:val="lv-LV" w:eastAsia="lv-LV"/>
        </w:rPr>
        <w:t>/202</w:t>
      </w:r>
      <w:r w:rsidR="00696695">
        <w:rPr>
          <w:bCs/>
          <w:lang w:val="lv-LV" w:eastAsia="lv-LV"/>
        </w:rPr>
        <w:t>5</w:t>
      </w:r>
      <w:r w:rsidRPr="006F76E5">
        <w:rPr>
          <w:bCs/>
          <w:lang w:val="lv-LV" w:eastAsia="lv-LV"/>
        </w:rPr>
        <w:t xml:space="preserve"> „Par Ādažu novada pašvaldības budžetu 202</w:t>
      </w:r>
      <w:r w:rsidR="00696695">
        <w:rPr>
          <w:bCs/>
          <w:lang w:val="lv-LV" w:eastAsia="lv-LV"/>
        </w:rPr>
        <w:t>5</w:t>
      </w:r>
      <w:r w:rsidRPr="006F76E5">
        <w:rPr>
          <w:bCs/>
          <w:lang w:val="lv-LV" w:eastAsia="lv-LV"/>
        </w:rPr>
        <w:t>. gadam”</w:t>
      </w:r>
      <w:r w:rsidRPr="006F76E5">
        <w:rPr>
          <w:lang w:val="lv-LV"/>
        </w:rPr>
        <w:t xml:space="preserve"> šādus grozījumus: </w:t>
      </w:r>
    </w:p>
    <w:p w14:paraId="4BF60CA5" w14:textId="69973746" w:rsidR="005901AE" w:rsidRPr="00443E8F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443E8F">
        <w:rPr>
          <w:lang w:val="lv-LV"/>
        </w:rPr>
        <w:t>Izteikt noteikumu 2. punkta</w:t>
      </w:r>
      <w:r w:rsidR="00AE3885" w:rsidRPr="00443E8F">
        <w:rPr>
          <w:lang w:val="lv-LV"/>
        </w:rPr>
        <w:t xml:space="preserve"> </w:t>
      </w:r>
      <w:r w:rsidRPr="00443E8F">
        <w:rPr>
          <w:lang w:val="lv-LV"/>
        </w:rPr>
        <w:t>2.3., 2.3.1.</w:t>
      </w:r>
      <w:r w:rsidR="00870FA9" w:rsidRPr="00443E8F">
        <w:rPr>
          <w:lang w:val="lv-LV"/>
        </w:rPr>
        <w:t>, 2.3.2., 2.3.3. un</w:t>
      </w:r>
      <w:r w:rsidR="00894C08" w:rsidRPr="00443E8F">
        <w:rPr>
          <w:lang w:val="lv-LV"/>
        </w:rPr>
        <w:t xml:space="preserve"> 2.3.4.</w:t>
      </w:r>
      <w:r w:rsidRPr="00443E8F">
        <w:rPr>
          <w:lang w:val="lv-LV"/>
        </w:rPr>
        <w:t xml:space="preserve"> apakšpunktus šādā redakcijā:</w:t>
      </w:r>
    </w:p>
    <w:p w14:paraId="394FEEBB" w14:textId="53A440DE" w:rsidR="005901AE" w:rsidRPr="00443E8F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443E8F">
        <w:rPr>
          <w:lang w:val="lv-LV"/>
        </w:rPr>
        <w:t>“</w:t>
      </w:r>
      <w:r w:rsidR="005901AE" w:rsidRPr="00443E8F">
        <w:rPr>
          <w:lang w:val="lv-LV" w:eastAsia="lv-LV"/>
        </w:rPr>
        <w:t>pamatbudžets 202</w:t>
      </w:r>
      <w:r w:rsidR="00696695" w:rsidRPr="00443E8F">
        <w:rPr>
          <w:lang w:val="lv-LV" w:eastAsia="lv-LV"/>
        </w:rPr>
        <w:t>5</w:t>
      </w:r>
      <w:r w:rsidR="005901AE" w:rsidRPr="00443E8F">
        <w:rPr>
          <w:lang w:val="lv-LV" w:eastAsia="lv-LV"/>
        </w:rPr>
        <w:t>.gadā (1.pielikums):</w:t>
      </w:r>
    </w:p>
    <w:p w14:paraId="3A0BE9A0" w14:textId="3CC7DD85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ieņēmumi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894C08" w:rsidRPr="00443E8F">
        <w:rPr>
          <w:lang w:val="lv-LV" w:eastAsia="lv-LV"/>
        </w:rPr>
        <w:tab/>
      </w:r>
      <w:r w:rsidRPr="00443E8F">
        <w:rPr>
          <w:lang w:val="lv-LV" w:eastAsia="lv-LV"/>
        </w:rPr>
        <w:t xml:space="preserve">- </w:t>
      </w:r>
      <w:r w:rsidRPr="00443E8F">
        <w:rPr>
          <w:bCs/>
          <w:lang w:val="lv-LV" w:eastAsia="lv-LV"/>
        </w:rPr>
        <w:t xml:space="preserve">EUR </w:t>
      </w:r>
      <w:r w:rsidR="00696695" w:rsidRPr="00443E8F">
        <w:rPr>
          <w:rFonts w:ascii="TimesNewRoman" w:hAnsi="TimesNewRoman" w:cs="TimesNewRoman"/>
          <w:lang w:eastAsia="lv-LV"/>
        </w:rPr>
        <w:t>61 </w:t>
      </w:r>
      <w:r w:rsidR="00443E8F" w:rsidRPr="00443E8F">
        <w:rPr>
          <w:rFonts w:ascii="TimesNewRoman" w:hAnsi="TimesNewRoman" w:cs="TimesNewRoman"/>
          <w:lang w:val="lv-LV" w:eastAsia="lv-LV"/>
        </w:rPr>
        <w:t>849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443E8F" w:rsidRPr="00443E8F">
        <w:rPr>
          <w:rFonts w:ascii="TimesNewRoman" w:hAnsi="TimesNewRoman" w:cs="TimesNewRoman"/>
          <w:lang w:val="lv-LV" w:eastAsia="lv-LV"/>
        </w:rPr>
        <w:t>590</w:t>
      </w:r>
      <w:r w:rsidR="008F164E" w:rsidRPr="00443E8F">
        <w:rPr>
          <w:bCs/>
          <w:lang w:val="lv-LV"/>
        </w:rPr>
        <w:t>;</w:t>
      </w:r>
    </w:p>
    <w:p w14:paraId="5EC523B5" w14:textId="36325868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izdevumi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BE3264" w:rsidRPr="00443E8F">
        <w:rPr>
          <w:lang w:val="lv-LV" w:eastAsia="lv-LV"/>
        </w:rPr>
        <w:tab/>
      </w:r>
      <w:r w:rsidR="00BE3264" w:rsidRPr="00443E8F">
        <w:rPr>
          <w:lang w:val="lv-LV" w:eastAsia="lv-LV"/>
        </w:rPr>
        <w:tab/>
      </w:r>
      <w:r w:rsidRPr="00443E8F">
        <w:rPr>
          <w:lang w:val="lv-LV" w:eastAsia="lv-LV"/>
        </w:rPr>
        <w:t xml:space="preserve">- </w:t>
      </w:r>
      <w:r w:rsidRPr="00443E8F">
        <w:rPr>
          <w:bCs/>
          <w:lang w:val="lv-LV" w:eastAsia="lv-LV"/>
        </w:rPr>
        <w:t xml:space="preserve">EUR </w:t>
      </w:r>
      <w:r w:rsidR="00696695" w:rsidRPr="00443E8F">
        <w:rPr>
          <w:rFonts w:ascii="TimesNewRoman" w:hAnsi="TimesNewRoman" w:cs="TimesNewRoman"/>
          <w:lang w:eastAsia="lv-LV"/>
        </w:rPr>
        <w:t>71 </w:t>
      </w:r>
      <w:r w:rsidR="00443E8F" w:rsidRPr="00443E8F">
        <w:rPr>
          <w:rFonts w:ascii="TimesNewRoman" w:hAnsi="TimesNewRoman" w:cs="TimesNewRoman"/>
          <w:lang w:val="lv-LV" w:eastAsia="lv-LV"/>
        </w:rPr>
        <w:t>620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443E8F" w:rsidRPr="00443E8F">
        <w:rPr>
          <w:rFonts w:ascii="TimesNewRoman" w:hAnsi="TimesNewRoman" w:cs="TimesNewRoman"/>
          <w:lang w:val="lv-LV" w:eastAsia="lv-LV"/>
        </w:rPr>
        <w:t>010</w:t>
      </w:r>
      <w:r w:rsidR="00894C08" w:rsidRPr="00443E8F">
        <w:rPr>
          <w:bCs/>
          <w:lang w:val="lv-LV"/>
        </w:rPr>
        <w:t>;</w:t>
      </w:r>
    </w:p>
    <w:p w14:paraId="3BBCC7AB" w14:textId="125BD5F7" w:rsidR="00894C08" w:rsidRPr="00443E8F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 xml:space="preserve">plānotie aizņēmumi </w:t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6 608 118</w:t>
      </w:r>
      <w:r w:rsidR="00E17411" w:rsidRPr="00443E8F">
        <w:rPr>
          <w:lang w:val="lv-LV" w:eastAsia="lv-LV"/>
        </w:rPr>
        <w:t>;</w:t>
      </w:r>
    </w:p>
    <w:p w14:paraId="5444C1D0" w14:textId="77777777" w:rsidR="00194CDD" w:rsidRPr="00443E8F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>atmaksājamā summa Valsts kases kredītiem</w:t>
      </w:r>
      <w:r w:rsidR="00194CDD" w:rsidRPr="00443E8F">
        <w:rPr>
          <w:lang w:val="lv-LV" w:eastAsia="lv-LV"/>
        </w:rPr>
        <w:t xml:space="preserve"> </w:t>
      </w:r>
    </w:p>
    <w:p w14:paraId="6CCC2878" w14:textId="13E9669C" w:rsidR="005901AE" w:rsidRPr="00752CB3" w:rsidRDefault="00194CDD" w:rsidP="00623763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443E8F">
        <w:rPr>
          <w:lang w:val="lv-LV" w:eastAsia="lv-LV"/>
        </w:rPr>
        <w:t>(2.pielikums)</w:t>
      </w:r>
      <w:r w:rsidR="00894C08" w:rsidRPr="00443E8F">
        <w:rPr>
          <w:lang w:val="lv-LV" w:eastAsia="lv-LV"/>
        </w:rPr>
        <w:t xml:space="preserve"> </w:t>
      </w:r>
      <w:r w:rsidR="00894C08"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Pr="00443E8F">
        <w:rPr>
          <w:lang w:val="lv-LV" w:eastAsia="lv-LV"/>
        </w:rPr>
        <w:tab/>
      </w:r>
      <w:r w:rsidR="00894C08" w:rsidRPr="00443E8F">
        <w:rPr>
          <w:lang w:val="lv-LV" w:eastAsia="lv-LV"/>
        </w:rPr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3 467 035</w:t>
      </w:r>
      <w:r w:rsidR="00870FA9" w:rsidRPr="00443E8F">
        <w:rPr>
          <w:lang w:val="lv-LV" w:eastAsia="lv-LV"/>
        </w:rPr>
        <w:t>”</w:t>
      </w:r>
      <w:r w:rsidR="005901AE" w:rsidRPr="00443E8F">
        <w:rPr>
          <w:lang w:val="lv-LV" w:eastAsia="lv-LV"/>
        </w:rPr>
        <w:t>.</w:t>
      </w:r>
    </w:p>
    <w:p w14:paraId="6F39709D" w14:textId="77777777" w:rsidR="005901AE" w:rsidRPr="00752CB3" w:rsidRDefault="005901AE" w:rsidP="00623763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A21BF8" w14:textId="47161695" w:rsidR="005901AE" w:rsidRPr="00752CB3" w:rsidRDefault="005901AE" w:rsidP="00623763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356D3F73" w14:textId="77777777" w:rsidR="00692AD4" w:rsidRPr="006F76E5" w:rsidRDefault="00692AD4" w:rsidP="00623763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0F4D5D6D" w14:textId="77777777" w:rsidR="002E166D" w:rsidRDefault="005901AE" w:rsidP="00623763">
      <w:pPr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BF4624" w:rsidRPr="006F76E5">
        <w:rPr>
          <w:lang w:val="lv-LV" w:eastAsia="lv-LV"/>
        </w:rPr>
        <w:t>a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BF4624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BF4624" w:rsidRPr="006F76E5">
        <w:rPr>
          <w:lang w:val="lv-LV" w:eastAsia="lv-LV"/>
        </w:rPr>
        <w:t>Miķelsone</w:t>
      </w:r>
    </w:p>
    <w:p w14:paraId="489551DC" w14:textId="77777777" w:rsidR="00623763" w:rsidRDefault="00623763" w:rsidP="00623763">
      <w:pPr>
        <w:rPr>
          <w:lang w:val="lv-LV" w:eastAsia="lv-LV"/>
        </w:rPr>
      </w:pPr>
    </w:p>
    <w:p w14:paraId="628B57E0" w14:textId="2372347F" w:rsidR="00623763" w:rsidRPr="00623763" w:rsidRDefault="00623763" w:rsidP="00623763">
      <w:pPr>
        <w:jc w:val="center"/>
        <w:rPr>
          <w:lang w:val="lv-LV" w:eastAsia="lv-LV"/>
        </w:rPr>
        <w:sectPr w:rsidR="00623763" w:rsidRPr="00623763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  <w:r>
        <w:rPr>
          <w:rFonts w:eastAsia="Calibri"/>
        </w:rPr>
        <w:t>ŠIS DOKUMENTS IR ELEKTRONISKI PARAKSTĪTS AR DROŠU ELEKTRONISKO PARAKSTU UN SATUR LAIKA ZĪMOGU</w:t>
      </w:r>
    </w:p>
    <w:p w14:paraId="16B70864" w14:textId="42DD49C1" w:rsidR="000B15B9" w:rsidRPr="006F76E5" w:rsidRDefault="00194CDD" w:rsidP="000B15B9">
      <w:pPr>
        <w:jc w:val="right"/>
        <w:rPr>
          <w:lang w:val="lv-LV" w:eastAsia="lv-LV"/>
        </w:rPr>
      </w:pPr>
      <w:r w:rsidRPr="006F76E5">
        <w:rPr>
          <w:lang w:val="lv-LV" w:eastAsia="lv-LV"/>
        </w:rPr>
        <w:lastRenderedPageBreak/>
        <w:t>1.</w:t>
      </w:r>
      <w:r w:rsidR="00054211"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>p</w:t>
      </w:r>
      <w:r w:rsidR="000B15B9" w:rsidRPr="006F76E5">
        <w:rPr>
          <w:lang w:val="lv-LV" w:eastAsia="lv-LV"/>
        </w:rPr>
        <w:t>ielikums</w:t>
      </w:r>
    </w:p>
    <w:p w14:paraId="06C999E8" w14:textId="53D4F60D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696695">
        <w:rPr>
          <w:lang w:val="lv-LV"/>
        </w:rPr>
        <w:t>5</w:t>
      </w:r>
      <w:r w:rsidRPr="006F76E5">
        <w:rPr>
          <w:lang w:val="lv-LV"/>
        </w:rPr>
        <w:t xml:space="preserve">. gada </w:t>
      </w:r>
      <w:r w:rsidR="00696695">
        <w:rPr>
          <w:lang w:val="lv-LV"/>
        </w:rPr>
        <w:t>27</w:t>
      </w:r>
      <w:r w:rsidR="00CE11E7" w:rsidRPr="006F76E5">
        <w:rPr>
          <w:lang w:val="lv-LV"/>
        </w:rPr>
        <w:t xml:space="preserve">. </w:t>
      </w:r>
      <w:r w:rsidR="00696695">
        <w:rPr>
          <w:lang w:val="lv-LV"/>
        </w:rPr>
        <w:t>marta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F2207E2" w14:textId="3B420032" w:rsidR="00007043" w:rsidRPr="006F76E5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623763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623763">
        <w:rPr>
          <w:rFonts w:ascii="TimesNewRoman,Bold" w:hAnsi="TimesNewRoman,Bold" w:cs="TimesNewRoman,Bold"/>
          <w:bCs/>
          <w:lang w:val="lv-LV" w:eastAsia="lv-LV"/>
        </w:rPr>
        <w:t>20</w:t>
      </w:r>
      <w:r w:rsidRPr="00623763">
        <w:rPr>
          <w:rFonts w:ascii="TimesNewRoman,Bold" w:hAnsi="TimesNewRoman,Bold" w:cs="TimesNewRoman,Bold"/>
          <w:bCs/>
          <w:lang w:val="lv-LV" w:eastAsia="lv-LV"/>
        </w:rPr>
        <w:t>/202</w:t>
      </w:r>
      <w:r w:rsidR="00696695" w:rsidRPr="00623763">
        <w:rPr>
          <w:rFonts w:ascii="TimesNewRoman,Bold" w:hAnsi="TimesNewRoman,Bold" w:cs="TimesNewRoman,Bold"/>
          <w:bCs/>
          <w:lang w:val="lv-LV" w:eastAsia="lv-LV"/>
        </w:rPr>
        <w:t>5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. gada </w:t>
      </w:r>
      <w:r w:rsidR="00696695">
        <w:rPr>
          <w:rFonts w:cs="TimesNewRoman,Bold"/>
          <w:bCs/>
          <w:lang w:val="lv-LV" w:eastAsia="lv-LV"/>
        </w:rPr>
        <w:t>22</w:t>
      </w:r>
      <w:r w:rsidRPr="006F76E5">
        <w:rPr>
          <w:rFonts w:cs="TimesNewRoman,Bold"/>
          <w:bCs/>
          <w:lang w:val="lv-LV" w:eastAsia="lv-LV"/>
        </w:rPr>
        <w:t xml:space="preserve">. </w:t>
      </w:r>
      <w:r w:rsidR="00696695">
        <w:rPr>
          <w:rFonts w:cs="TimesNewRoman,Bold"/>
          <w:bCs/>
          <w:lang w:val="lv-LV" w:eastAsia="lv-LV"/>
        </w:rPr>
        <w:t>janvāra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5795688E" w14:textId="75FCCBEA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696695">
        <w:rPr>
          <w:rFonts w:cs="TimesNewRoman,Bold"/>
          <w:bCs/>
          <w:lang w:val="lv-LV" w:eastAsia="lv-LV"/>
        </w:rPr>
        <w:t>1</w:t>
      </w:r>
      <w:r w:rsidRPr="006F76E5">
        <w:rPr>
          <w:rFonts w:cs="TimesNewRoman,Bold"/>
          <w:bCs/>
          <w:lang w:val="lv-LV" w:eastAsia="lv-LV"/>
        </w:rPr>
        <w:t>/202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696695"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566050E6" w:rsidR="00F27BE7" w:rsidRPr="006F76E5" w:rsidRDefault="00F27BE7" w:rsidP="00F27BE7">
      <w:pPr>
        <w:jc w:val="center"/>
        <w:rPr>
          <w:b/>
          <w:sz w:val="28"/>
          <w:szCs w:val="28"/>
          <w:lang w:val="lv-LV"/>
        </w:rPr>
      </w:pPr>
      <w:r w:rsidRPr="006F76E5">
        <w:rPr>
          <w:b/>
          <w:sz w:val="28"/>
          <w:szCs w:val="28"/>
          <w:lang w:val="lv-LV"/>
        </w:rPr>
        <w:t>Pamatbudžets 202</w:t>
      </w:r>
      <w:r w:rsidR="00696695">
        <w:rPr>
          <w:b/>
          <w:sz w:val="28"/>
          <w:szCs w:val="28"/>
          <w:lang w:val="lv-LV"/>
        </w:rPr>
        <w:t>5</w:t>
      </w:r>
      <w:r w:rsidR="00D01016" w:rsidRPr="006F76E5">
        <w:rPr>
          <w:b/>
          <w:sz w:val="28"/>
          <w:szCs w:val="28"/>
          <w:lang w:val="lv-LV"/>
        </w:rPr>
        <w:t>.</w:t>
      </w:r>
      <w:r w:rsidRPr="006F76E5">
        <w:rPr>
          <w:b/>
          <w:sz w:val="28"/>
          <w:szCs w:val="28"/>
          <w:lang w:val="lv-LV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  <w:lang w:val="lv-LV"/>
        </w:rPr>
      </w:pPr>
      <w:r w:rsidRPr="006F76E5">
        <w:rPr>
          <w:b/>
          <w:lang w:val="lv-LV"/>
        </w:rPr>
        <w:t>IEŅĒMUMU DAĻA</w:t>
      </w:r>
    </w:p>
    <w:tbl>
      <w:tblPr>
        <w:tblW w:w="14699" w:type="dxa"/>
        <w:tblLook w:val="04A0" w:firstRow="1" w:lastRow="0" w:firstColumn="1" w:lastColumn="0" w:noHBand="0" w:noVBand="1"/>
      </w:tblPr>
      <w:tblGrid>
        <w:gridCol w:w="1500"/>
        <w:gridCol w:w="1756"/>
        <w:gridCol w:w="5986"/>
        <w:gridCol w:w="1819"/>
        <w:gridCol w:w="1819"/>
        <w:gridCol w:w="1819"/>
      </w:tblGrid>
      <w:tr w:rsidR="00300060" w:rsidRPr="00300060" w14:paraId="0630E5E0" w14:textId="77777777" w:rsidTr="00111BE4">
        <w:trPr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41B" w14:textId="77777777" w:rsidR="00300060" w:rsidRPr="00300060" w:rsidRDefault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Klasifikācijas kods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298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Nr.p.k. 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D73C" w14:textId="77777777" w:rsidR="00300060" w:rsidRPr="00300060" w:rsidRDefault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Sadaļa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A6D" w14:textId="77777777" w:rsidR="00300060" w:rsidRPr="00300060" w:rsidRDefault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2025. gada budžets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1B70" w14:textId="77777777" w:rsidR="00300060" w:rsidRPr="00300060" w:rsidRDefault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27.03.2025. grozījumi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A7B" w14:textId="77777777" w:rsidR="00300060" w:rsidRPr="00300060" w:rsidRDefault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Izmaiņas </w:t>
            </w:r>
          </w:p>
        </w:tc>
      </w:tr>
      <w:tr w:rsidR="00300060" w:rsidRPr="00300060" w14:paraId="28C9B15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7926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82E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1. - 5.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A39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Nodokļu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1C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42 715 458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FE9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42 715 458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7B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8AE6AC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6E7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1.1.0.0.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1A2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50B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Iedzīvotāju ienākuma nodoklis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B8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39 439 118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3D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39 439 118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55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E49AF9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21A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BBB6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03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55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39 439 118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38F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39 439 118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275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FF7135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4F4D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201A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2.-4.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B47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nodokļu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080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       3 211 340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70B3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       3 211 340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078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19B46A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989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4.1.1.0.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BF17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918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zemi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8F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2 082 625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F6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2 082 625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4BC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4E246F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C4E4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5690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2.1.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631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48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1 945 625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EFD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1 945 625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B8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DAA844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FE93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1CC1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2.2.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D94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39D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137 000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38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137 000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29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0B5C69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1C6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4.1.2.0.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DD5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10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ēkām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9F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392 228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39A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392 228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D1D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0C4B5B7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CEB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34F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3.1.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7B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7AF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362 228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0C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362 228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81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37214C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FD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874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3.2.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9DD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7AF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30 000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19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30 000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04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BAF2923" w14:textId="77777777" w:rsidTr="00111BE4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B10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4.1.3.0.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D23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424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mājokļiem un inženierbūvēm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63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736 487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04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736 487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5A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8698D8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0E43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056C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4.1.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4F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C97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665 899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CE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665 899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19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E7CE55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6DE8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37A4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4.2.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910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C8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70 588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987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70 588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57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74CDEC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2AC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5.5.3.0.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B28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99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Nodokļi un maksājumi par tiesībām lietot atsevišķas preces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C87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            65 000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2DF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            65 000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7F6" w14:textId="77777777" w:rsidR="00300060" w:rsidRPr="00300060" w:rsidRDefault="00300060" w:rsidP="0030006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1DD9CB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DA19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CEAB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5.1.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AF0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Azartspēļu nodoklis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AB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C6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DB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227081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139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44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5.2.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7A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Dabas resursu nodoklis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9D5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60 000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8D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60 000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32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C13335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1A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9.0.0.0.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468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F75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Valsts (pašvaldību) un kancelejas nodevas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E0C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144 060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11C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144 060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DC5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C4CE79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778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FD21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6.1.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C29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valsts nodevas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2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6 100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73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6 100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092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55F177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6DD2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C775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6.1.1.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E039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par apliecinājumiem un citu funkciju pildīšanu bāriņtiesā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2F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1 100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A7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1 100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EBC7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348E96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3AF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A488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6.1.2.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4B9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par civilstāvokļa aktu reģistrēšanu, grozīšanu un papildināšanu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35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4 500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B0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4 500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82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7E9A6F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FB7D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CEAA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6.1.3.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2B19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pārējās valsts nodevas, kuras ieskaita pašvaldību budžetā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21A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500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70D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500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7A5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AACFBD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DC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B46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6.2.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06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pašvaldību nodevas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F99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137 960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75E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137 960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9B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73824B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153A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5AE3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A62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nodeva par domes izstrādāto oficiālo dokumentu saņemšanu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50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621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100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3C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15DB5D4" w14:textId="77777777" w:rsidTr="00111BE4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26B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6FB6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E9D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nodeva par izklaidējoša rakstura pasākumu sarīkošanu publiskās vietās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16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1 860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34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1 860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00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695339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C12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B14D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ABE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nodeva par tirdzniecību publiskās vietās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17B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33 000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F0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33 000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CF3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170D6B6" w14:textId="77777777" w:rsidTr="00111BE4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3A25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800D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7B3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nodeva par reklāmas, afišu un sludinājumu izvietošanu publiskās vietās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19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13 000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7B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13 000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6A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8E3724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005A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676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ECB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nodeva par būvatļaujas saņemšanu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9A6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D3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56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269ED4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841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85F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6.2.6.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76C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pārējās nodevas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6BF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D0FF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55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FEFE14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CF4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10.0.0.0.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FFC5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0E52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2CE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130 000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FD2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130 000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57D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7DBA5D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D6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1CF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7.1.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DEB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1B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90 000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410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90 000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77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8FB292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8AB0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3F28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7.2.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45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Naudas sodi par pārkāpumiem ceļu satiksmē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05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40 000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9D3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40 000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77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24928C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AD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12.0.0.0.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E593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5D7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Pārējie nenodokļu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73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35 728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F7F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35 728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C25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600D78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EB00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C40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8.1.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06F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citi nenodokļu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A1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25 728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481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25 728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BC3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C81157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30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36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8.2.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C31F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līgumsodi un procentu maksājumi par saistību neizpildi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686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5A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267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49EEB7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62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5F9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8.3.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961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no zvejas tiesību nomas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4E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10 000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E5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10 000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92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D3D4CC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6D88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13.0.0.0.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B573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BB6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Ieņēmumi no pašvaldības īpašumu pārdošana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B44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57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A7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C474BC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2EB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18.6.0.0.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682D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10.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923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Valsts budžeta transferti un projektu finansējums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180B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17 618 701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402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17 672 389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F00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53 688 </w:t>
            </w:r>
          </w:p>
        </w:tc>
      </w:tr>
      <w:tr w:rsidR="00300060" w:rsidRPr="00300060" w14:paraId="476C50F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949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605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D0B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Valsts budžeta transferti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AD4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9 758 404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C66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9 781 664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59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23 260 </w:t>
            </w:r>
          </w:p>
        </w:tc>
      </w:tr>
      <w:tr w:rsidR="00300060" w:rsidRPr="00300060" w14:paraId="4F1E977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EB5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495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B4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mākslas skolas algām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54C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718 764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CF3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718 764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777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0D9BAB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ABC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4D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6D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sporta skolai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37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313 180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9F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313 180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6E9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87A173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2E8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1EC2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73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skolēnu ēdināšanai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D23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341 692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3A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341 692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12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02892F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77D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B4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746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mācību grāmatām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874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7F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C0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443E8F" w14:paraId="12090FD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F8A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2651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10.1.4.1.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C0D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dotācija mācību grāmatām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A46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00C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815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443E8F" w14:paraId="488F164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9E01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447C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10.1.4.2.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4C3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dotācija digitālajiem mācību līdzekļiem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85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B97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F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AC5EA0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546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A0F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D1B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dotācijas pedagogu algām (vsk., PII)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075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7 121 916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47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7 137 676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8D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15 760 </w:t>
            </w:r>
          </w:p>
        </w:tc>
      </w:tr>
      <w:tr w:rsidR="00300060" w:rsidRPr="00300060" w14:paraId="2177E01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90D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0F7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10.1.5.1.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406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piecgadīgo bērnu apmācība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57CF" w14:textId="386204AC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1 065 868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91CB" w14:textId="52406085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1 065 868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A4F" w14:textId="77777777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</w:t>
            </w:r>
          </w:p>
        </w:tc>
      </w:tr>
      <w:tr w:rsidR="00300060" w:rsidRPr="00300060" w14:paraId="49A90E4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BE13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A6D6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10.1.5.2.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19A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skolotāju algām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42F" w14:textId="1272518A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5 542 646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6DA" w14:textId="3A787102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5 542 646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2A1" w14:textId="77777777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</w:t>
            </w:r>
          </w:p>
        </w:tc>
      </w:tr>
      <w:tr w:rsidR="00300060" w:rsidRPr="00300060" w14:paraId="3F0FD0D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0DE2" w14:textId="77777777" w:rsidR="00300060" w:rsidRPr="00300060" w:rsidRDefault="00300060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65E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10.1.5.3.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A4F" w14:textId="77777777" w:rsidR="00300060" w:rsidRPr="00300060" w:rsidRDefault="00300060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>t.sk.: - interešu izglītība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3C6" w14:textId="069C2711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   513 402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9C22" w14:textId="443048B2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   529 162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AFF3" w14:textId="3CEF025B" w:rsidR="00300060" w:rsidRPr="00300060" w:rsidRDefault="00300060" w:rsidP="00300060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300060">
              <w:rPr>
                <w:color w:val="000000"/>
                <w:sz w:val="20"/>
                <w:szCs w:val="20"/>
                <w:lang w:val="lv-LV"/>
              </w:rPr>
              <w:t xml:space="preserve">                     15 760 </w:t>
            </w:r>
          </w:p>
        </w:tc>
      </w:tr>
      <w:tr w:rsidR="00300060" w:rsidRPr="00300060" w14:paraId="257A576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F66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DA9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10.1.6.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8E2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māksliniecisko kolektīvu vadītāju atalgojumam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553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26 360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FA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26 360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D3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02D57D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738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602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10.1.7.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5B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Projekts "Skolas soma" Ādaži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BD9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37 535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D46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37 535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46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AA9DB9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C34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D11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10.1.8.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FE2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Projekts "Skolas soma" Carnikava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10D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11 142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1A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11 142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EA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BF6E7F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953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44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10.1.9.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033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 asistenta pakalpojumu nodrošināšanai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416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580 000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F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580 000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EEA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F99F1E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9A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564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10.1.10.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40E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valsts dotācija ceļu uzturēšanai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19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406 576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44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406 576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A24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A27DE9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232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4903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10.1.11.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DA9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dotācijas Ukrainas pilsoņu atbalstam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DA2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70 000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23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70 000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5C8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67C26A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7F9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90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10.1.12.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2B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dotācijas nodarbinātības pasākumiem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C2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12 607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FE4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12 607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2A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06C5BE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162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4B1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10.1.13.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6B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pārējās dotācijas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EDD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118 632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506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126 132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70D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7 500 </w:t>
            </w:r>
          </w:p>
        </w:tc>
      </w:tr>
      <w:tr w:rsidR="00300060" w:rsidRPr="00300060" w14:paraId="044FC2F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22BB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18.6.3.0.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1ECD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12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ES struktūrfondu līdzekļi un aktivitāšu līdzfinansējumi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2EB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7 860 297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437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7 890 725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68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30 428 </w:t>
            </w:r>
          </w:p>
        </w:tc>
      </w:tr>
      <w:tr w:rsidR="00300060" w:rsidRPr="00300060" w14:paraId="42DDFC64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54FB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85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02BB" w14:textId="77777777" w:rsidR="00300060" w:rsidRPr="00300060" w:rsidRDefault="00300060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Projekts “Infrastruktūras uzlabošana uzņēmējdarbības attīstībai Ādažos”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63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638 646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12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638 646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FF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906FED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71C0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C26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68E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Publiskās ārtelpas izveide Gaujas ielā 31 Ādažos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E8B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103 070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D6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103 070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13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096E6A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B741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C2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8AD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LIFE NewBauhaus projekts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EF4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267 455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69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267 455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342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49E0913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75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4532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8AC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Jaunais plūdu projekts - 2.1.3.2. "Nacionālas nozīmes plūdu un krasta erozijas pasākumi" 1.daļa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93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217 332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F7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217 332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46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7C5445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ED5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77A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841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Krastupes ielas projekts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62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308 659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28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308 659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83E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146667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3DD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DCD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10.2.6.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CA04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Jaunas pirmsskolas izglītības iestādes Podniekos būvniecība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F83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2 500 000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3B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2 500 000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4A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49788AE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81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213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10.2.7.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D775" w14:textId="77777777" w:rsidR="00300060" w:rsidRPr="00300060" w:rsidRDefault="00300060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Projekts “Digitālā darba ar jaunatni sistēmas attīstība pašvaldībās”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7E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B4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30 428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1DC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30 428 </w:t>
            </w:r>
          </w:p>
        </w:tc>
      </w:tr>
      <w:tr w:rsidR="00300060" w:rsidRPr="00300060" w14:paraId="5090043C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3AD3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92A8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10.2.8.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759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65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830 550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65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830 550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848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DB2C4B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FC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B1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10.2.9.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8B72" w14:textId="77777777" w:rsidR="00300060" w:rsidRPr="00300060" w:rsidRDefault="00300060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Maģistrālā  veloceļa izbūve Rīga-Carnikava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545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2 661 252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F20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2 661 252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FCB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1AD6AA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33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54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10.2.10.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BAEE" w14:textId="77777777" w:rsidR="00300060" w:rsidRPr="00300060" w:rsidRDefault="00300060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>"Blusu" kroga pārbūves tehniskā projekta izstrāde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0C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333 333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BF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333 333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BB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E67429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77D1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19.2.0.0.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843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C4A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Pašvaldību budžeta transferti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369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350 000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A17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350 000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E41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199CB8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49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59B0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11.1.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8D6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no citām pašvaldībām izglītības funkciju nodrošināšanai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7C4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350 000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201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350 000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D9D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F80538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92F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21.0.0.0.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6C5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E01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Budžeta iestāžu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F6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800 455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AAA9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801 955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C04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1 500 </w:t>
            </w:r>
          </w:p>
        </w:tc>
      </w:tr>
      <w:tr w:rsidR="00300060" w:rsidRPr="00300060" w14:paraId="194505F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58A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8A3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653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maksa par izglītības pakalpojumiem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A13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219 800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844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219 800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A8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8E9A34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D6C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C97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12.1.1.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14D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no vecāku maksām (PII)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25F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61 000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B8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61 000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F6C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BAD9DE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03C1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3F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12.1.2.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6C3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no vecāku maksām (ĀNMS, BJSS)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E8A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158 800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E6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158 800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9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075E16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161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58F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18C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pārrobežu projektu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99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59 312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B41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D7E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1 500 </w:t>
            </w:r>
          </w:p>
        </w:tc>
      </w:tr>
      <w:tr w:rsidR="00300060" w:rsidRPr="00300060" w14:paraId="5740C7F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C9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4CE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12.2.1.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2F2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ERASMUS + projekti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5B0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59 312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EC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60 812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EF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1 500 </w:t>
            </w:r>
          </w:p>
        </w:tc>
      </w:tr>
      <w:tr w:rsidR="00300060" w:rsidRPr="00300060" w14:paraId="2A5D551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56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BA7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12.2.2.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01D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citi pārrobežu projektu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18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FF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D8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86796F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7E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B81D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F94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par nomu un īri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740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322 370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432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322 370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13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41488CB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93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E88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12.3.1.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648E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par telpu nomu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4A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236 370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99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236 370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58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980717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E00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19D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12.3.2.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E59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ieņēmumi par zemes nomu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11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86 000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BFF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86 000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625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E357B8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5E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4B0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12.3.3.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3737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pārējie ieņēmumi par nomu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37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B2C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16C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D5FDA2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C77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393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02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budžeta iestāžu maksas pakalpojumi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B1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9E6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396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6EBD00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01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C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12.4.1.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4602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budžeta iestāžu maksas pakalpojumi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9C9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28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98 350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21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3FBF6C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E73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4270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12.4.2.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24D" w14:textId="77777777" w:rsidR="00300060" w:rsidRPr="00300060" w:rsidRDefault="00300060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ieņēmumi no biļešu realizācijas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5F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82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       -  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B4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333FAD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88CF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2B3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12.5.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C4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pārējie ieņēmumi/stāvvietu ieņēmumi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04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100 623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39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100 623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60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91F871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8C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CCF4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B217" w14:textId="77777777" w:rsidR="00300060" w:rsidRPr="00300060" w:rsidRDefault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KOPĀ IEŅĒMUMI: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E32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61 794 402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8EB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61 849 590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B3E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55 188 </w:t>
            </w:r>
          </w:p>
        </w:tc>
      </w:tr>
      <w:tr w:rsidR="00300060" w:rsidRPr="00300060" w14:paraId="606F6BC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BCC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F21010000 AS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70F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0BE6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Naudas līdzekļu atlikums gada sākumā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3B0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6 694 243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C93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6 694 243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A5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72FCC4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FFE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22D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13.1.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61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Naudas atlikums iezīmētiem mērķiem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D9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1 040 957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79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1 040 957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AA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90250D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D75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529" w14:textId="77777777" w:rsidR="00300060" w:rsidRPr="00300060" w:rsidRDefault="00300060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13.2.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FD9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Naudas atlikums pašvaldības līdzekļi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C6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5 653 286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2AA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5 653 286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F5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0EF0DC1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7C7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F40020010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11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F80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Valsts Kases kredīti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F6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6 608 118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ED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6 608 118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A9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7E6C7E8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0E0E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A6C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14.1.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B2F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Aizņēmums skolas ielas rekonstrukcijai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DC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D449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69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9451FA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A7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E62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14.2.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D4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Jaunas pirmsskolas izglītības iestādes Podniekos būvniecība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BC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3 100 179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F5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3 100 179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65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027DAF0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3286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020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14.3.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867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Āra lifta izbūve pie A korpusa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AB2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73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85 000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0BC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E0605D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1AAD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19BE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14.4.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60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Ādažu vidusskolas D korpusa siltināšana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28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255 000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FB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255 000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13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CC3B642" w14:textId="77777777" w:rsidTr="00111BE4">
        <w:trPr>
          <w:trHeight w:val="901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DE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A06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14.5.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000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63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474 147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971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474 147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1A5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1A61BE6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C81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B49C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14.6.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A7CE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Dzirnupes ielas tilta pārbūve I kārta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493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510 000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032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510 000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54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A96A8B3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0AF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631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14.7.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5D9F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Projekts “Infrastruktūras uzlabošana uzņēmējdarbības attīstībai Ādažos”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4BBE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295 238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D97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295 238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454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5711026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C13B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4FC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14.8.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B52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Krastupes ielas projekts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566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70 622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9D3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 70 622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E18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63749E71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23A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D1E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14.9.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DC5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83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123 536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71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   123 536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18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2892355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3317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AB41" w14:textId="77777777" w:rsidR="00300060" w:rsidRPr="00300060" w:rsidRDefault="00300060">
            <w:pPr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14.10.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DBC4" w14:textId="77777777" w:rsidR="00300060" w:rsidRPr="00300060" w:rsidRDefault="00300060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color w:val="000000"/>
                <w:sz w:val="22"/>
                <w:szCs w:val="22"/>
                <w:lang w:val="lv-LV"/>
              </w:rPr>
              <w:t>Maģistrālā  veloceļa izbūve Rīga-Carnikava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17B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1 609 396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F60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         1 609 396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ABD" w14:textId="77777777" w:rsidR="00300060" w:rsidRPr="00300060" w:rsidRDefault="00300060" w:rsidP="00300060">
            <w:pPr>
              <w:jc w:val="right"/>
              <w:rPr>
                <w:sz w:val="22"/>
                <w:szCs w:val="22"/>
                <w:lang w:val="lv-LV"/>
              </w:rPr>
            </w:pPr>
            <w:r w:rsidRPr="00300060">
              <w:rPr>
                <w:sz w:val="22"/>
                <w:szCs w:val="22"/>
                <w:lang w:val="lv-LV"/>
              </w:rPr>
              <w:t xml:space="preserve">  </w:t>
            </w:r>
          </w:p>
        </w:tc>
      </w:tr>
      <w:tr w:rsidR="00300060" w:rsidRPr="00300060" w14:paraId="33E62E0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0D2D" w14:textId="77777777" w:rsidR="00300060" w:rsidRPr="00300060" w:rsidRDefault="00300060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966" w14:textId="77777777" w:rsidR="00300060" w:rsidRPr="00300060" w:rsidRDefault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>KOPĀ PIEEJAMAIS FINANSĒJUMS: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4C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75 096 763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79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75 151 951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F5D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55 188 </w:t>
            </w:r>
          </w:p>
        </w:tc>
      </w:tr>
    </w:tbl>
    <w:p w14:paraId="1E8AFFE5" w14:textId="77777777" w:rsidR="00111BE4" w:rsidRDefault="00111BE4" w:rsidP="00752CB3">
      <w:pPr>
        <w:rPr>
          <w:b/>
          <w:lang w:val="lv-LV"/>
        </w:rPr>
      </w:pPr>
    </w:p>
    <w:p w14:paraId="0E8879DE" w14:textId="19C8F702" w:rsidR="00F47C18" w:rsidRPr="006F76E5" w:rsidRDefault="00F47C18" w:rsidP="00F47C18">
      <w:pPr>
        <w:jc w:val="center"/>
        <w:rPr>
          <w:b/>
          <w:lang w:val="lv-LV"/>
        </w:rPr>
      </w:pPr>
      <w:r w:rsidRPr="006F76E5">
        <w:rPr>
          <w:b/>
          <w:lang w:val="lv-LV"/>
        </w:rPr>
        <w:t>IZDEVUMU DAĻA</w:t>
      </w:r>
    </w:p>
    <w:tbl>
      <w:tblPr>
        <w:tblW w:w="14687" w:type="dxa"/>
        <w:tblLook w:val="04A0" w:firstRow="1" w:lastRow="0" w:firstColumn="1" w:lastColumn="0" w:noHBand="0" w:noVBand="1"/>
      </w:tblPr>
      <w:tblGrid>
        <w:gridCol w:w="1500"/>
        <w:gridCol w:w="1756"/>
        <w:gridCol w:w="5965"/>
        <w:gridCol w:w="1843"/>
        <w:gridCol w:w="1843"/>
        <w:gridCol w:w="1780"/>
      </w:tblGrid>
      <w:tr w:rsidR="00300060" w:rsidRPr="00300060" w14:paraId="7BB38616" w14:textId="77777777" w:rsidTr="00111BE4">
        <w:trPr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D51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73BA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Nr.p.k. 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5BFE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CAC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2025. gada budžets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D74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27.03.2025. grozījumi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31C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Izmaiņas </w:t>
            </w:r>
          </w:p>
        </w:tc>
      </w:tr>
      <w:tr w:rsidR="00111BE4" w:rsidRPr="00300060" w14:paraId="44705DB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EDAF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76E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D465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CD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12 264 534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F0A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12 264 534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7BB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5091BB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217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EB7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C0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92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2 120 144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923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2 120 144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4C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D66B59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4BFC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7F6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41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C53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377 185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960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377 185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F88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2D82C1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79A8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289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8F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18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62 822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07A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62 822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A30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1BC396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70E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0B64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C64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E0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45 177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A6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45 177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51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C242D6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DF6F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AB6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33B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7AB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88 097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001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88 097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5A4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D5B666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03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A224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B7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93A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33 489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250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33 489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D36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3FA1E0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39C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3DF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07C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0BA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2 102 431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F64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2 102 431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02A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E04D29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5B5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A8E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6F5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60E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6 917 724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5BE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6 917 724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E2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D250952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266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33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6C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527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517 465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35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517 465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E7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E692DD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12A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D431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721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8C9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1 114 238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39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1 114 238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61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4AFBB5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DFF4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7D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3B4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A3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646 058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66C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646 058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F9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E8456B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9CE7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3A5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6F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BB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200 531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2C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200 531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DC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ED7598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4FC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BFDB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F2E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403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445 527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B1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445 527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92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A84AA0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6C5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798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EDE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DCD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225 687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9F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225 687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69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5A7D84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B18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CC0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1B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29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225 687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11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225 687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49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DEB162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DE7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F68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6679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2D2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18 129 422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BD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18 123 822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F64F" w14:textId="7DF7D56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- 5 600 </w:t>
            </w:r>
          </w:p>
        </w:tc>
      </w:tr>
      <w:tr w:rsidR="00111BE4" w:rsidRPr="00300060" w14:paraId="7EF3DAE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89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0A1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8FB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830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6B3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70 000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237B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6E7283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897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D6A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604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Līdzdalības budžets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BB6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52 568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D8E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52 568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F87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297CAA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E161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3BC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117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8C1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333 393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70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333 393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D1B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6B80B8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72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8901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0EF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C2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334 779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93A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334 779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37B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FF309D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76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3F9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7F7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3D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8 401 067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52DB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8 401 067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26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A95672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B6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8D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52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FF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524 909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60C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522 909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3252" w14:textId="66FBA290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- 2 000 </w:t>
            </w:r>
          </w:p>
        </w:tc>
      </w:tr>
      <w:tr w:rsidR="00111BE4" w:rsidRPr="00300060" w14:paraId="03D1E19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F0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69F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5CE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570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E0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40 000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B8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FA0594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761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D9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408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5AF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11 400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F6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13 400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F1D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2 000 </w:t>
            </w:r>
          </w:p>
        </w:tc>
      </w:tr>
      <w:tr w:rsidR="00111BE4" w:rsidRPr="00300060" w14:paraId="5546772F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9F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CFF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6E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B36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49 346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FDB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49 346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142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02E40D1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D7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49F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73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47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985 558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F8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985 558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B8E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D09CC1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AC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18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D2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Maģistrālā  veloceļa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63C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4 425 220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5E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4 425 220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3D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4B15C00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C4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DFC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7FC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F4D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34 550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22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34 550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9BD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A5D3A56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E1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081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2F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BE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950 824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2D3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950 824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95A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5C4ED3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AE1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33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57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Publiskās ārtelpas izveide Gaujas ielā 31 Ādažos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5C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138 477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77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138 477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8B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6050B34" w14:textId="77777777" w:rsidTr="00111BE4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8DB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11C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01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71A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3 200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D1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3 200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4B0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860A00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995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809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AE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LIFE NewBauhaus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FA1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434 122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71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434 122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892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9FE7A0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6C6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BF2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8E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"Blusu" kroga pārbūves tehniskā projekta izstrāde.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9FA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416 333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74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416 333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CC6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B3212C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5C9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60E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598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Krastupes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C0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387 128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B9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387 128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075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8454DC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5B4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19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BD8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37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8 937 615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49F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8 932 015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747A" w14:textId="2D822F35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  5 600 </w:t>
            </w:r>
          </w:p>
        </w:tc>
      </w:tr>
      <w:tr w:rsidR="00111BE4" w:rsidRPr="00300060" w14:paraId="2C9D1C5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976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8E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715" w14:textId="5973BA36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E4F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242 016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6D2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242 016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5C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4D37AEA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BA5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ED0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F39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SAM 5.1.1. Pretplūdu pasākumi Ādažu centra polderī, Ādažu novadā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B27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191 255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159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191 255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13D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56E887D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71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F0C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334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F9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255 685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8C7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255 685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3F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2AEDA18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FCD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29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2B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7CB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5 767 122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04F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5 761 522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AED" w14:textId="7C2E92D2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- 5 600 </w:t>
            </w:r>
          </w:p>
        </w:tc>
      </w:tr>
      <w:tr w:rsidR="00111BE4" w:rsidRPr="00300060" w14:paraId="20E355F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95F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CD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B7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Investīcijas energosaimniecības uzlabošanā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2D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237 443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239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237 443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3A8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F36483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65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B72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8B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Investīcijas vides pārvaldībā un uzlabošanā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7A7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418 784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52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339 942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590" w14:textId="0B2D070A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- 78 842 </w:t>
            </w:r>
          </w:p>
        </w:tc>
      </w:tr>
      <w:tr w:rsidR="00111BE4" w:rsidRPr="00300060" w14:paraId="68CCBC0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946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AF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5.6.7.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15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Investīcijas ceļu, ielu infrastruktūras attīstībā un uzlabošanā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FA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1 825 310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6D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1 904 152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3A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78 842 </w:t>
            </w:r>
          </w:p>
        </w:tc>
      </w:tr>
      <w:tr w:rsidR="00111BE4" w:rsidRPr="00300060" w14:paraId="56B7D15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606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609D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35DD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61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2 552 007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ED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2 552 007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22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A120B3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16E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03D8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25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34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1 535 520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D48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1 535 520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BA2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8287A1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A8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7B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ACC" w14:textId="77777777" w:rsidR="00300060" w:rsidRPr="00300060" w:rsidRDefault="00300060" w:rsidP="00300060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9C7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793 277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531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793 277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272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BAA4A1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121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8DC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90FD" w14:textId="77777777" w:rsidR="00300060" w:rsidRPr="00300060" w:rsidRDefault="00300060" w:rsidP="00300060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0C4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526 028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B5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526 028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718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051DFF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D8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1B1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68D" w14:textId="77777777" w:rsidR="00300060" w:rsidRPr="00300060" w:rsidRDefault="00300060" w:rsidP="00300060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FD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185 916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C6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185 916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19E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838588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A6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35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7CE" w14:textId="77777777" w:rsidR="00300060" w:rsidRPr="00300060" w:rsidRDefault="00300060" w:rsidP="00300060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462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30 299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E6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30 299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2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6BBB66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0D9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3679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F2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3E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158 076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CC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158 076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E65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D0FE7F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33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B931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425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31D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73 071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049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73 071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BAA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1D7214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C1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038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61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B6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762 112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3CB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762 112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A91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AAF8B3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B546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FF2B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C1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FAA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90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D6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342F12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035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0CB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39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A30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19 228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03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19 228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DE5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E8E7F5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91A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1A0F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375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B97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3 538 928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A20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3 546 428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A2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7 500 </w:t>
            </w:r>
          </w:p>
        </w:tc>
      </w:tr>
      <w:tr w:rsidR="00111BE4" w:rsidRPr="00300060" w14:paraId="0825B2C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D5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934E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11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5E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2 760 943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57A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2 768 443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FD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7 500 </w:t>
            </w:r>
          </w:p>
        </w:tc>
      </w:tr>
      <w:tr w:rsidR="00111BE4" w:rsidRPr="00300060" w14:paraId="6A8F60D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D8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B3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ABF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7E5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638 988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7F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646 488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8A3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7 500 </w:t>
            </w:r>
          </w:p>
        </w:tc>
      </w:tr>
      <w:tr w:rsidR="00111BE4" w:rsidRPr="00300060" w14:paraId="186EA69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9B9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7DC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A659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506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1 540 233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DEA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1 540 233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E3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2A9602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E2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63E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7C2B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2F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C7A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9A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2F88AF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ED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4D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0A8E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A3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580 000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2A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580 000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A3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300060" w:rsidRPr="00300060" w14:paraId="4372262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E4A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424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81C3" w14:textId="77777777" w:rsidR="00300060" w:rsidRPr="00300060" w:rsidRDefault="00300060" w:rsidP="00300060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Uzturēšanas izdevumi (CKS)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0A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1 722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AD6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1 722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F3C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6DD7F9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2D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7B7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607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9E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14 883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F37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14 883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BFF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5CEEBE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65F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78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8F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SAM 9311 Deinstitucionalizācija - Dienas centrs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94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444 938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05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444 938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A24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616228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539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AB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830A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EF3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432 274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5D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432 274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A8B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5499E1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33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FF9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171" w14:textId="77777777" w:rsidR="00300060" w:rsidRPr="00300060" w:rsidRDefault="00300060" w:rsidP="00300060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DI centra uzturēšanas izdevumi (CKS)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2A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12 664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D5F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12 664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03D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F72292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2D3B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C7C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8E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01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158 418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396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158 418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3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893631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F2F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B84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4EB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10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70 604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65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70 604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1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8D866B3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38F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D7BF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93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9C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44 312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F28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44 312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2C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E434892" w14:textId="77777777" w:rsidTr="00111BE4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ABA9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29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336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8C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44 830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80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44 830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E8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671D33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43B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114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E91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15B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33 093 948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13E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33 147 236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598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53 288 </w:t>
            </w:r>
          </w:p>
        </w:tc>
      </w:tr>
      <w:tr w:rsidR="00111BE4" w:rsidRPr="00300060" w14:paraId="6EDF1674" w14:textId="77777777" w:rsidTr="00111BE4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8DA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B73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541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B2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851 975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5E6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851 975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88C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2605D1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A0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842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C67E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AA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2 529 158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64A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2 529 158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BED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B84416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49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91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2CB1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6D8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361 243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84D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361 243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4FA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D3ED11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41A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FC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EE8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D6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1 638 439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AE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1 670 882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66C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32 443 </w:t>
            </w:r>
          </w:p>
        </w:tc>
      </w:tr>
      <w:tr w:rsidR="00111BE4" w:rsidRPr="00300060" w14:paraId="1292413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3AB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24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A4F2" w14:textId="77777777" w:rsidR="00300060" w:rsidRPr="00300060" w:rsidRDefault="00300060" w:rsidP="00300060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DA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529 476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F1E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497 033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DA6B" w14:textId="6D4B3FC6" w:rsidR="00300060" w:rsidRPr="00300060" w:rsidRDefault="00300060" w:rsidP="00111BE4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-</w:t>
            </w:r>
            <w:r w:rsidR="00111BE4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32 443 </w:t>
            </w:r>
          </w:p>
        </w:tc>
      </w:tr>
      <w:tr w:rsidR="00111BE4" w:rsidRPr="00300060" w14:paraId="1E367F1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F0C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0B3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557E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 PII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7AAB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1 499 060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DF4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1 499 060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3AD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F5BA26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82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07F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3E5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76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144 697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882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144 697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15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1CEC39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5E4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0A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324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6D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1 108 510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E87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1 108 510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81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B0C883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98F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68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BDEB" w14:textId="77777777" w:rsidR="00300060" w:rsidRPr="00300060" w:rsidRDefault="00300060" w:rsidP="00300060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3A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245 853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AF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245 853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D7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E96BBC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F46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F36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AFC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A2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1 850 322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AE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1 850 322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4F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6B8572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52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132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C27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D6B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200 053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82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200 053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7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B67AFA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AC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24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D43E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3A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1 406 595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561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1 406 595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C3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55D1EA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0A4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14EB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DD5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2A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243 674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46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243 674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566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725150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F530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0A54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14D3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DA7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1 570 891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CBC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1 570 891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5F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7A7137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B75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F9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13E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772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263 376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5BB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263 376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922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437299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F37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93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F76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BB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1 141 525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4B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1 141 525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239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B303B5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D94E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F7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E2D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32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165 990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74E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165 990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71F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820661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4334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053F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162E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9C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3 805 461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80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3 797 888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74D" w14:textId="34AABFC3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  7 573 </w:t>
            </w:r>
          </w:p>
        </w:tc>
      </w:tr>
      <w:tr w:rsidR="00111BE4" w:rsidRPr="00300060" w14:paraId="1B1D67D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4B2B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1ED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882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vidusskola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9AA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2 754 926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23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2 709 458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B068" w14:textId="0F0F65A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- 45 468 </w:t>
            </w:r>
          </w:p>
        </w:tc>
      </w:tr>
      <w:tr w:rsidR="00111BE4" w:rsidRPr="00300060" w14:paraId="195DCDE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A3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83B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802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E31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1 540 363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FEF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1 494 895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FFA2" w14:textId="082149AB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- 45 468 </w:t>
            </w:r>
          </w:p>
        </w:tc>
      </w:tr>
      <w:tr w:rsidR="00111BE4" w:rsidRPr="00300060" w14:paraId="09BE06C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346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94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E12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1A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94 076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ED6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94 076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45E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E8B2D9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C8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7EE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797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61D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645 648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95E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689 772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748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44 124 </w:t>
            </w:r>
          </w:p>
        </w:tc>
      </w:tr>
      <w:tr w:rsidR="00111BE4" w:rsidRPr="00300060" w14:paraId="79EAD4FA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51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CEC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61E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42D5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386 671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E1F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342 547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D15" w14:textId="5FA9B9E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- 44 124 </w:t>
            </w:r>
          </w:p>
        </w:tc>
      </w:tr>
      <w:tr w:rsidR="00111BE4" w:rsidRPr="00300060" w14:paraId="01B5780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7FAB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EE9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17AE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292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11 200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A1A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11 200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4D4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A157F4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943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E7B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B67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projekti Erasmus+; NordPlus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6BA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76 968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A6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76 968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AD5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6CB96B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E2D7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041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8C4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30F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8 902 379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7B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8 976 780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FB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74 401 </w:t>
            </w:r>
          </w:p>
        </w:tc>
      </w:tr>
      <w:tr w:rsidR="00111BE4" w:rsidRPr="00300060" w14:paraId="6FA7D7B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BAA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02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DF6F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6E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4 520 522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6F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4 589 323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63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68 801 </w:t>
            </w:r>
          </w:p>
        </w:tc>
      </w:tr>
      <w:tr w:rsidR="00111BE4" w:rsidRPr="00300060" w14:paraId="523B880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B5F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03A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44F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27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861 741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BBC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904 140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EE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42 399 </w:t>
            </w:r>
          </w:p>
        </w:tc>
      </w:tr>
      <w:tr w:rsidR="00111BE4" w:rsidRPr="00300060" w14:paraId="33D2507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A3F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3D5C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673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66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813 750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A59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779 351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2C90" w14:textId="4683A444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- 34 399 </w:t>
            </w:r>
          </w:p>
        </w:tc>
      </w:tr>
      <w:tr w:rsidR="00111BE4" w:rsidRPr="00300060" w14:paraId="49743AF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83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000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0D1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Erasmus+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19F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51 949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3A3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51 949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11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60548BC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A4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71A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1106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E89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121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41 000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F4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0ADBD8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3003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32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8.8.6.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4A0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Ādažu vidusskolas D korpusa siltināšana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F5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168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300 000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811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2B071CE" w14:textId="77777777" w:rsidTr="00111BE4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A65B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17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8.8.7.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B87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B3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542 914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688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542 914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8984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E175D5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D88E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EE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8.8.8.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B727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32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707 203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2CC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727 923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487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20 720 </w:t>
            </w:r>
          </w:p>
        </w:tc>
      </w:tr>
      <w:tr w:rsidR="00111BE4" w:rsidRPr="00300060" w14:paraId="66E8D61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776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012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8.8.9.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EA50" w14:textId="77777777" w:rsidR="00300060" w:rsidRPr="00300060" w:rsidRDefault="00300060" w:rsidP="00300060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7A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451 553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10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428 433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BDCA" w14:textId="3F63BE05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- 23 120 </w:t>
            </w:r>
          </w:p>
        </w:tc>
      </w:tr>
      <w:tr w:rsidR="00111BE4" w:rsidRPr="00300060" w14:paraId="1CA62802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CC7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C67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8.8.10.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A23A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78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263 797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877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263 797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C26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5FFF726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89D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883D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7C3" w14:textId="77777777" w:rsidR="00300060" w:rsidRPr="00300060" w:rsidRDefault="00300060" w:rsidP="00300060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10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347 950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AF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347 950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79A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179A69D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53D4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E2D9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8.8.11.1.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22F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A89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100 105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F3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100 105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12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56C31F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7DA6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1368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8.8.11.2.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F45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98E2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232 189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8D0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232 189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74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7A01D0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65E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4BBE" w14:textId="77777777" w:rsidR="00300060" w:rsidRPr="00300060" w:rsidRDefault="00300060" w:rsidP="00300060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8.8.11.3.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7876" w14:textId="77777777" w:rsidR="00300060" w:rsidRPr="00300060" w:rsidRDefault="00300060" w:rsidP="00300060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300060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8C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15 656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0376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 15 656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82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D1853A4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B151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628B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A7A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14D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1 819 829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0A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1 819 829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FC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4A488FF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BAE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C2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8F8F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2BCE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735 359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2EC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735 359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1D5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151BF9D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51D1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BB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35F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89B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1 084 470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E26A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1 084 470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C78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B9B3EA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767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EB30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894C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20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845 947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83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845 947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4D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28F45EF8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875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1C08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48D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04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313 283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F3F7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313 283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3F9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7F743A57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F25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A1F" w14:textId="77777777" w:rsidR="00300060" w:rsidRPr="00300060" w:rsidRDefault="00300060" w:rsidP="00300060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C45" w14:textId="77777777" w:rsidR="00300060" w:rsidRPr="00300060" w:rsidRDefault="00300060" w:rsidP="00300060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A813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532 664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EAF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            532 664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8BD" w14:textId="77777777" w:rsidR="00300060" w:rsidRPr="00300060" w:rsidRDefault="00300060" w:rsidP="00300060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00B4C63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A16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88D8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1EA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4A2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508 477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B1F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540 405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889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31 928 </w:t>
            </w:r>
          </w:p>
        </w:tc>
      </w:tr>
      <w:tr w:rsidR="00111BE4" w:rsidRPr="00300060" w14:paraId="4AA250AB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5BC3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3F5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255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61F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053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3 000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E99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08EA5A7A" w14:textId="77777777" w:rsidTr="00111BE4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6AA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9BB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49D6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47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5 600 179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E64D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5 600 179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5DD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5DC485A6" w14:textId="77777777" w:rsidTr="00111BE4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AFF9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9908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CE0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67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267 067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BF3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267 067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F2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44D1F730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0E9" w14:textId="77777777" w:rsidR="00300060" w:rsidRPr="00300060" w:rsidRDefault="00300060" w:rsidP="003000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229" w14:textId="77777777" w:rsidR="00300060" w:rsidRPr="00300060" w:rsidRDefault="00300060" w:rsidP="00300060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781" w14:textId="77777777" w:rsidR="00300060" w:rsidRPr="00300060" w:rsidRDefault="00300060" w:rsidP="003000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Latvijas Skolu jaunatnes dziesmu un deju svētki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7AF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285 277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295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285 277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A5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3941BA7E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B3C5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6369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AA0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30E8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71 564 822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F385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71 620 010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1AD9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55 188 </w:t>
            </w:r>
          </w:p>
        </w:tc>
      </w:tr>
      <w:tr w:rsidR="00111BE4" w:rsidRPr="00300060" w14:paraId="739B6E59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E70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F40020020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048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2F1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9E6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3 467 035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17EE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3 467 035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B52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  <w:tr w:rsidR="00111BE4" w:rsidRPr="00300060" w14:paraId="60EE3191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C50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55D4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8BC4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1D1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75 031 857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32F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75 087 045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76E7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55 188 </w:t>
            </w:r>
          </w:p>
        </w:tc>
      </w:tr>
      <w:tr w:rsidR="00111BE4" w:rsidRPr="00300060" w14:paraId="2E63B255" w14:textId="77777777" w:rsidTr="00111BE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39D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302" w14:textId="77777777" w:rsidR="00300060" w:rsidRPr="00300060" w:rsidRDefault="00300060" w:rsidP="00300060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673" w14:textId="77777777" w:rsidR="00300060" w:rsidRPr="00300060" w:rsidRDefault="00300060" w:rsidP="00300060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08D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64 907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95CC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64 907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7DAA" w14:textId="77777777" w:rsidR="00300060" w:rsidRPr="00300060" w:rsidRDefault="00300060" w:rsidP="00300060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0006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</w:t>
            </w:r>
          </w:p>
        </w:tc>
      </w:tr>
    </w:tbl>
    <w:p w14:paraId="413CCB75" w14:textId="73293953" w:rsidR="00752CB3" w:rsidRDefault="00752CB3">
      <w:pPr>
        <w:rPr>
          <w:lang w:val="lv-LV"/>
        </w:rPr>
      </w:pPr>
    </w:p>
    <w:p w14:paraId="5300FCB8" w14:textId="77777777" w:rsidR="00111BE4" w:rsidRDefault="00111BE4">
      <w:pPr>
        <w:rPr>
          <w:lang w:val="lv-LV"/>
        </w:rPr>
      </w:pPr>
      <w:r>
        <w:rPr>
          <w:lang w:val="lv-LV"/>
        </w:rPr>
        <w:br w:type="page"/>
      </w:r>
    </w:p>
    <w:p w14:paraId="7B7D3894" w14:textId="5587BA40" w:rsidR="00194CDD" w:rsidRPr="006F76E5" w:rsidRDefault="00194CDD" w:rsidP="00194CDD">
      <w:pPr>
        <w:jc w:val="right"/>
        <w:rPr>
          <w:lang w:val="lv-LV"/>
        </w:rPr>
      </w:pPr>
      <w:r w:rsidRPr="006F76E5">
        <w:rPr>
          <w:lang w:val="lv-LV"/>
        </w:rPr>
        <w:lastRenderedPageBreak/>
        <w:t>2.</w:t>
      </w:r>
      <w:r w:rsidR="00054211" w:rsidRPr="006F76E5">
        <w:rPr>
          <w:lang w:val="lv-LV"/>
        </w:rPr>
        <w:t xml:space="preserve"> </w:t>
      </w:r>
      <w:r w:rsidRPr="006F76E5">
        <w:rPr>
          <w:lang w:val="lv-LV"/>
        </w:rPr>
        <w:t>pielikums</w:t>
      </w:r>
    </w:p>
    <w:p w14:paraId="480810CF" w14:textId="77777777" w:rsidR="00A07129" w:rsidRPr="006F76E5" w:rsidRDefault="00A07129" w:rsidP="00A07129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>
        <w:rPr>
          <w:lang w:val="lv-LV"/>
        </w:rPr>
        <w:t>5</w:t>
      </w:r>
      <w:r w:rsidRPr="006F76E5">
        <w:rPr>
          <w:lang w:val="lv-LV"/>
        </w:rPr>
        <w:t xml:space="preserve">. gada </w:t>
      </w:r>
      <w:r>
        <w:rPr>
          <w:lang w:val="lv-LV"/>
        </w:rPr>
        <w:t>27</w:t>
      </w:r>
      <w:r w:rsidRPr="006F76E5">
        <w:rPr>
          <w:lang w:val="lv-LV"/>
        </w:rPr>
        <w:t xml:space="preserve">. </w:t>
      </w:r>
      <w:r>
        <w:rPr>
          <w:lang w:val="lv-LV"/>
        </w:rPr>
        <w:t>marta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879B029" w14:textId="5D0AE2BD" w:rsidR="00A07129" w:rsidRPr="006F76E5" w:rsidRDefault="00A07129" w:rsidP="00A07129">
      <w:pPr>
        <w:jc w:val="right"/>
        <w:rPr>
          <w:rFonts w:cs="TimesNewRoman,Bold"/>
          <w:bCs/>
          <w:lang w:val="lv-LV" w:eastAsia="lv-LV"/>
        </w:rPr>
      </w:pPr>
      <w:r w:rsidRPr="00623763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623763">
        <w:rPr>
          <w:rFonts w:ascii="TimesNewRoman,Bold" w:hAnsi="TimesNewRoman,Bold" w:cs="TimesNewRoman,Bold"/>
          <w:bCs/>
          <w:lang w:val="lv-LV" w:eastAsia="lv-LV"/>
        </w:rPr>
        <w:t>20</w:t>
      </w:r>
      <w:r w:rsidRPr="00623763">
        <w:rPr>
          <w:rFonts w:ascii="TimesNewRoman,Bold" w:hAnsi="TimesNewRoman,Bold" w:cs="TimesNewRoman,Bold"/>
          <w:bCs/>
          <w:lang w:val="lv-LV" w:eastAsia="lv-LV"/>
        </w:rPr>
        <w:t>/2025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. gada </w:t>
      </w:r>
      <w:r>
        <w:rPr>
          <w:rFonts w:cs="TimesNewRoman,Bold"/>
          <w:bCs/>
          <w:lang w:val="lv-LV" w:eastAsia="lv-LV"/>
        </w:rPr>
        <w:t>22</w:t>
      </w:r>
      <w:r w:rsidRPr="006F76E5">
        <w:rPr>
          <w:rFonts w:cs="TimesNewRoman,Bold"/>
          <w:bCs/>
          <w:lang w:val="lv-LV" w:eastAsia="lv-LV"/>
        </w:rPr>
        <w:t xml:space="preserve">. </w:t>
      </w:r>
      <w:r>
        <w:rPr>
          <w:rFonts w:cs="TimesNewRoman,Bold"/>
          <w:bCs/>
          <w:lang w:val="lv-LV" w:eastAsia="lv-LV"/>
        </w:rPr>
        <w:t>janvāra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6F68025D" w14:textId="77777777" w:rsidR="00A07129" w:rsidRPr="006F76E5" w:rsidRDefault="00A07129" w:rsidP="00A07129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>
        <w:rPr>
          <w:rFonts w:cs="TimesNewRoman,Bold"/>
          <w:bCs/>
          <w:lang w:val="lv-LV" w:eastAsia="lv-LV"/>
        </w:rPr>
        <w:t>1</w:t>
      </w:r>
      <w:r w:rsidRPr="006F76E5">
        <w:rPr>
          <w:rFonts w:cs="TimesNewRoman,Bold"/>
          <w:bCs/>
          <w:lang w:val="lv-LV" w:eastAsia="lv-LV"/>
        </w:rPr>
        <w:t>/202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>
        <w:rPr>
          <w:rFonts w:cs="TimesNewRoman,Bold"/>
          <w:bCs/>
          <w:lang w:val="lv-LV" w:eastAsia="lv-LV"/>
        </w:rPr>
        <w:t>5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Pr="006F76E5" w:rsidRDefault="00194CDD" w:rsidP="00194CDD">
      <w:pPr>
        <w:jc w:val="center"/>
        <w:rPr>
          <w:b/>
          <w:sz w:val="32"/>
          <w:szCs w:val="32"/>
          <w:lang w:val="lv-LV"/>
        </w:rPr>
      </w:pPr>
      <w:r w:rsidRPr="006F76E5">
        <w:rPr>
          <w:b/>
          <w:sz w:val="32"/>
          <w:szCs w:val="32"/>
          <w:lang w:val="lv-LV"/>
        </w:rPr>
        <w:t>Aizņēmumu un citu ilgtermiņa saistību pārskats</w:t>
      </w:r>
    </w:p>
    <w:p w14:paraId="16610B3F" w14:textId="54B1024D" w:rsidR="009353CF" w:rsidRPr="006F76E5" w:rsidRDefault="00A07129" w:rsidP="00194CDD">
      <w:pPr>
        <w:jc w:val="center"/>
        <w:rPr>
          <w:noProof/>
          <w:lang w:val="lv-LV"/>
        </w:rPr>
      </w:pPr>
      <w:r w:rsidRPr="00E341ED">
        <w:rPr>
          <w:noProof/>
        </w:rPr>
        <w:drawing>
          <wp:inline distT="0" distB="0" distL="0" distR="0" wp14:anchorId="25B21B0B" wp14:editId="3CC42B05">
            <wp:extent cx="9382125" cy="4838700"/>
            <wp:effectExtent l="0" t="0" r="9525" b="0"/>
            <wp:docPr id="180299143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59A0D7AF" w:rsidR="005B70B9" w:rsidRPr="006F76E5" w:rsidRDefault="00A07129" w:rsidP="00194CDD">
      <w:pPr>
        <w:jc w:val="center"/>
        <w:rPr>
          <w:noProof/>
          <w:lang w:val="lv-LV"/>
        </w:rPr>
      </w:pPr>
      <w:r w:rsidRPr="00E341ED">
        <w:rPr>
          <w:noProof/>
        </w:rPr>
        <w:lastRenderedPageBreak/>
        <w:drawing>
          <wp:inline distT="0" distB="0" distL="0" distR="0" wp14:anchorId="3223CE85" wp14:editId="6B814780">
            <wp:extent cx="9309735" cy="6029960"/>
            <wp:effectExtent l="0" t="0" r="5715" b="8890"/>
            <wp:docPr id="48785481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735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07100766" w:rsidR="00680EAE" w:rsidRDefault="00A07129" w:rsidP="00194CDD">
      <w:pPr>
        <w:jc w:val="center"/>
        <w:rPr>
          <w:b/>
          <w:sz w:val="32"/>
          <w:szCs w:val="32"/>
          <w:lang w:val="lv-LV"/>
        </w:rPr>
      </w:pPr>
      <w:r w:rsidRPr="00E341ED">
        <w:rPr>
          <w:noProof/>
        </w:rPr>
        <w:lastRenderedPageBreak/>
        <w:drawing>
          <wp:inline distT="0" distB="0" distL="0" distR="0" wp14:anchorId="6C7B4A3C" wp14:editId="22E35A68">
            <wp:extent cx="9382125" cy="5886450"/>
            <wp:effectExtent l="0" t="0" r="9525" b="0"/>
            <wp:docPr id="101764541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3C9E9AFB" w:rsidR="00555275" w:rsidRDefault="00555275" w:rsidP="00194CDD">
      <w:pPr>
        <w:jc w:val="center"/>
        <w:rPr>
          <w:noProof/>
          <w:lang w:val="lv-LV"/>
        </w:rPr>
      </w:pPr>
    </w:p>
    <w:p w14:paraId="3234CDB5" w14:textId="5FCDF026" w:rsidR="00DF7716" w:rsidRPr="00DF7716" w:rsidRDefault="00A07129" w:rsidP="00194CDD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5CF3CAB6" wp14:editId="67EBE570">
            <wp:extent cx="9390380" cy="3961765"/>
            <wp:effectExtent l="0" t="0" r="1270" b="635"/>
            <wp:docPr id="28910833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380" cy="396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7F7992EB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66C6F053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5A2FA22E" w14:textId="77777777" w:rsidR="00DC6081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3873A008" w14:textId="77777777" w:rsidR="00DC6081" w:rsidRPr="006F76E5" w:rsidRDefault="00DC6081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6F76E5" w:rsidRDefault="003C7F00" w:rsidP="00194CDD">
      <w:pPr>
        <w:jc w:val="center"/>
        <w:rPr>
          <w:noProof/>
          <w:lang w:val="lv-LV"/>
        </w:rPr>
      </w:pPr>
    </w:p>
    <w:p w14:paraId="7AB63D03" w14:textId="77777777" w:rsidR="001E5A32" w:rsidRPr="006F76E5" w:rsidRDefault="001E5A32" w:rsidP="00DC6081">
      <w:pPr>
        <w:rPr>
          <w:noProof/>
          <w:lang w:val="lv-LV"/>
        </w:rPr>
      </w:pPr>
    </w:p>
    <w:p w14:paraId="530F534E" w14:textId="0EA75FE5" w:rsidR="001E5A32" w:rsidRPr="006F76E5" w:rsidRDefault="00DC6081" w:rsidP="00194CDD">
      <w:pPr>
        <w:jc w:val="center"/>
        <w:rPr>
          <w:noProof/>
          <w:lang w:val="lv-LV"/>
        </w:rPr>
      </w:pPr>
      <w:r w:rsidRPr="00DC6081">
        <w:rPr>
          <w:noProof/>
        </w:rPr>
        <w:lastRenderedPageBreak/>
        <w:drawing>
          <wp:inline distT="0" distB="0" distL="0" distR="0" wp14:anchorId="3994B25B" wp14:editId="07F2DF45">
            <wp:extent cx="9395460" cy="2855595"/>
            <wp:effectExtent l="0" t="0" r="0" b="1905"/>
            <wp:docPr id="170322278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EF86" w14:textId="77777777" w:rsidR="00C950C5" w:rsidRPr="006F76E5" w:rsidRDefault="00C950C5" w:rsidP="00623763">
      <w:pPr>
        <w:rPr>
          <w:lang w:val="lv-LV"/>
        </w:rPr>
      </w:pPr>
    </w:p>
    <w:p w14:paraId="343960AC" w14:textId="77777777" w:rsidR="00C950C5" w:rsidRDefault="00C950C5" w:rsidP="00623763">
      <w:pPr>
        <w:rPr>
          <w:lang w:val="lv-LV"/>
        </w:rPr>
      </w:pPr>
    </w:p>
    <w:p w14:paraId="4CBCEEBF" w14:textId="77777777" w:rsidR="00623763" w:rsidRPr="006F76E5" w:rsidRDefault="00623763" w:rsidP="00623763">
      <w:pPr>
        <w:rPr>
          <w:lang w:val="lv-LV"/>
        </w:rPr>
      </w:pPr>
    </w:p>
    <w:p w14:paraId="6E7FBD5F" w14:textId="77777777" w:rsidR="00623763" w:rsidRDefault="008F7425" w:rsidP="00A52BC9">
      <w:pPr>
        <w:spacing w:after="120"/>
        <w:ind w:firstLine="708"/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9D3E2B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9D3E2B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9D3E2B" w:rsidRPr="006F76E5">
        <w:rPr>
          <w:lang w:val="lv-LV" w:eastAsia="lv-LV"/>
        </w:rPr>
        <w:t>Miķelsone</w:t>
      </w:r>
    </w:p>
    <w:p w14:paraId="6E45BA97" w14:textId="3590CBDD" w:rsidR="00BD5FF6" w:rsidRPr="006F76E5" w:rsidRDefault="00623763" w:rsidP="00623763">
      <w:pPr>
        <w:spacing w:after="120"/>
        <w:ind w:firstLine="708"/>
        <w:jc w:val="center"/>
        <w:rPr>
          <w:lang w:val="lv-LV"/>
        </w:rPr>
        <w:sectPr w:rsidR="00BD5FF6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>
        <w:rPr>
          <w:rFonts w:eastAsia="Calibri"/>
        </w:rPr>
        <w:t>ŠIS DOKUMENTS IR ELEKTRONISKI PARAKSTĪTS AR DROŠU ELEKTRONISKO PARAKSTU UN SATUR LAIKA ZĪMOGU</w:t>
      </w:r>
      <w:r w:rsidR="008F7425" w:rsidRPr="006F76E5">
        <w:rPr>
          <w:lang w:val="lv-LV" w:eastAsia="lv-LV"/>
        </w:rPr>
        <w:t xml:space="preserve">  </w:t>
      </w:r>
    </w:p>
    <w:p w14:paraId="11EB2585" w14:textId="77777777" w:rsidR="007C2753" w:rsidRPr="006F76E5" w:rsidRDefault="007C2753" w:rsidP="00564293">
      <w:pPr>
        <w:ind w:left="708"/>
        <w:rPr>
          <w:lang w:val="lv-LV"/>
        </w:rPr>
      </w:pPr>
    </w:p>
    <w:p w14:paraId="2820B476" w14:textId="77777777" w:rsidR="005F3A57" w:rsidRPr="009D2868" w:rsidRDefault="005F3A57" w:rsidP="005F3A57">
      <w:pPr>
        <w:spacing w:after="120"/>
        <w:jc w:val="center"/>
        <w:rPr>
          <w:lang w:val="lv-LV"/>
        </w:rPr>
      </w:pPr>
      <w:r w:rsidRPr="009D2868">
        <w:rPr>
          <w:b/>
          <w:sz w:val="32"/>
          <w:szCs w:val="32"/>
          <w:lang w:val="lv-LV"/>
        </w:rPr>
        <w:t>Paskaidrojuma raksts</w:t>
      </w:r>
    </w:p>
    <w:p w14:paraId="09B7DF5F" w14:textId="36A05A2F" w:rsidR="00792435" w:rsidRPr="004F68DC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9D2868">
        <w:rPr>
          <w:lang w:val="lv-LV"/>
        </w:rPr>
        <w:t>Ādažu novada pašvaldības domes budžeta grozījumi 202</w:t>
      </w:r>
      <w:r w:rsidR="009D2868" w:rsidRPr="009D2868">
        <w:rPr>
          <w:lang w:val="lv-LV"/>
        </w:rPr>
        <w:t>5</w:t>
      </w:r>
      <w:r w:rsidRPr="009D2868">
        <w:rPr>
          <w:lang w:val="lv-LV"/>
        </w:rPr>
        <w:t>.gadam apstiprināti 202</w:t>
      </w:r>
      <w:r w:rsidR="009D2868" w:rsidRPr="009D2868">
        <w:rPr>
          <w:lang w:val="lv-LV"/>
        </w:rPr>
        <w:t>5</w:t>
      </w:r>
      <w:r w:rsidRPr="009D2868">
        <w:rPr>
          <w:lang w:val="lv-LV"/>
        </w:rPr>
        <w:t xml:space="preserve">.gada </w:t>
      </w:r>
      <w:r w:rsidR="005C4E2D" w:rsidRPr="009D2868">
        <w:rPr>
          <w:lang w:val="lv-LV"/>
        </w:rPr>
        <w:t>2</w:t>
      </w:r>
      <w:r w:rsidR="009654E0" w:rsidRPr="009D2868">
        <w:rPr>
          <w:lang w:val="lv-LV"/>
        </w:rPr>
        <w:t>7</w:t>
      </w:r>
      <w:r w:rsidR="003D18E3" w:rsidRPr="009D2868">
        <w:rPr>
          <w:lang w:val="lv-LV"/>
        </w:rPr>
        <w:t>.</w:t>
      </w:r>
      <w:r w:rsidR="009D2868" w:rsidRPr="009D2868">
        <w:rPr>
          <w:lang w:val="lv-LV"/>
        </w:rPr>
        <w:t>martā</w:t>
      </w:r>
      <w:r w:rsidR="001B70D4" w:rsidRPr="009D2868">
        <w:rPr>
          <w:lang w:val="lv-LV"/>
        </w:rPr>
        <w:t>. Budžeta grozījumi</w:t>
      </w:r>
      <w:r w:rsidRPr="009D2868">
        <w:rPr>
          <w:lang w:val="lv-LV"/>
        </w:rPr>
        <w:t xml:space="preserve"> sastāv no pamatbudžeta, kuru veido ieņēmumu, izdevumu daļas un </w:t>
      </w:r>
      <w:r w:rsidRPr="004F68DC">
        <w:rPr>
          <w:lang w:val="lv-LV"/>
        </w:rPr>
        <w:t>aizņēmumu un citu ilgtermiņa saistību pārskat</w:t>
      </w:r>
      <w:r w:rsidR="003E2D1B" w:rsidRPr="004F68DC">
        <w:rPr>
          <w:lang w:val="lv-LV"/>
        </w:rPr>
        <w:t>a</w:t>
      </w:r>
      <w:r w:rsidRPr="004F68DC">
        <w:rPr>
          <w:lang w:val="lv-LV"/>
        </w:rPr>
        <w:t>. Pašvaldība ir ņēmusi vērā visu funkciju vajadzības un sabalansējusi pieejamos finanšu lī</w:t>
      </w:r>
      <w:r w:rsidR="00792435" w:rsidRPr="004F68DC">
        <w:rPr>
          <w:lang w:val="lv-LV"/>
        </w:rPr>
        <w:t>dzekļ</w:t>
      </w:r>
      <w:r w:rsidRPr="004F68DC">
        <w:rPr>
          <w:lang w:val="lv-LV"/>
        </w:rPr>
        <w:t>us t</w:t>
      </w:r>
      <w:r w:rsidR="00792435" w:rsidRPr="004F68DC">
        <w:rPr>
          <w:lang w:val="lv-LV"/>
        </w:rPr>
        <w:t>ā</w:t>
      </w:r>
      <w:r w:rsidRPr="004F68DC">
        <w:rPr>
          <w:lang w:val="lv-LV"/>
        </w:rPr>
        <w:t>, lai nodro</w:t>
      </w:r>
      <w:r w:rsidR="00792435" w:rsidRPr="004F68DC">
        <w:rPr>
          <w:lang w:val="lv-LV"/>
        </w:rPr>
        <w:t>šinātu uzlabojumus sabiedrī</w:t>
      </w:r>
      <w:r w:rsidRPr="004F68DC">
        <w:rPr>
          <w:lang w:val="lv-LV"/>
        </w:rPr>
        <w:t>bai sva</w:t>
      </w:r>
      <w:r w:rsidR="00792435" w:rsidRPr="004F68DC">
        <w:rPr>
          <w:lang w:val="lv-LV"/>
        </w:rPr>
        <w:t>rīgā</w:t>
      </w:r>
      <w:r w:rsidRPr="004F68DC">
        <w:rPr>
          <w:lang w:val="lv-LV"/>
        </w:rPr>
        <w:t>s jom</w:t>
      </w:r>
      <w:r w:rsidR="00792435" w:rsidRPr="004F68DC">
        <w:rPr>
          <w:lang w:val="lv-LV"/>
        </w:rPr>
        <w:t>ā</w:t>
      </w:r>
      <w:r w:rsidRPr="004F68DC">
        <w:rPr>
          <w:lang w:val="lv-LV"/>
        </w:rPr>
        <w:t>s saska</w:t>
      </w:r>
      <w:r w:rsidR="00792435" w:rsidRPr="004F68DC">
        <w:rPr>
          <w:lang w:val="lv-LV"/>
        </w:rPr>
        <w:t>ņā ar pašvaldī</w:t>
      </w:r>
      <w:r w:rsidRPr="004F68DC">
        <w:rPr>
          <w:lang w:val="lv-LV"/>
        </w:rPr>
        <w:t>bas at</w:t>
      </w:r>
      <w:r w:rsidR="00792435" w:rsidRPr="004F68DC">
        <w:rPr>
          <w:lang w:val="lv-LV"/>
        </w:rPr>
        <w:t>tīstī</w:t>
      </w:r>
      <w:r w:rsidRPr="004F68DC">
        <w:rPr>
          <w:lang w:val="lv-LV"/>
        </w:rPr>
        <w:t>bas pl</w:t>
      </w:r>
      <w:r w:rsidR="00792435" w:rsidRPr="004F68DC">
        <w:rPr>
          <w:lang w:val="lv-LV"/>
        </w:rPr>
        <w:t>ānoš</w:t>
      </w:r>
      <w:r w:rsidRPr="004F68DC">
        <w:rPr>
          <w:lang w:val="lv-LV"/>
        </w:rPr>
        <w:t>anas dokumentos noteiktajiem m</w:t>
      </w:r>
      <w:r w:rsidR="00792435" w:rsidRPr="004F68DC">
        <w:rPr>
          <w:lang w:val="lv-LV"/>
        </w:rPr>
        <w:t>ērķi</w:t>
      </w:r>
      <w:r w:rsidRPr="004F68DC">
        <w:rPr>
          <w:lang w:val="lv-LV"/>
        </w:rPr>
        <w:t xml:space="preserve">em. </w:t>
      </w:r>
    </w:p>
    <w:p w14:paraId="6E010471" w14:textId="39D64A94" w:rsidR="00792435" w:rsidRPr="004F68DC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4F68DC">
        <w:rPr>
          <w:lang w:val="lv-LV"/>
        </w:rPr>
        <w:t>Saistoš</w:t>
      </w:r>
      <w:r w:rsidR="005F3A57" w:rsidRPr="004F68DC">
        <w:rPr>
          <w:lang w:val="lv-LV"/>
        </w:rPr>
        <w:t xml:space="preserve">ie noteikumi paredz </w:t>
      </w:r>
      <w:r w:rsidR="00FC0A8C" w:rsidRPr="004F68DC">
        <w:rPr>
          <w:lang w:val="lv-LV"/>
        </w:rPr>
        <w:t xml:space="preserve">šādus </w:t>
      </w:r>
      <w:r w:rsidR="005F3A57" w:rsidRPr="004F68DC">
        <w:rPr>
          <w:lang w:val="lv-LV"/>
        </w:rPr>
        <w:t>groz</w:t>
      </w:r>
      <w:r w:rsidRPr="004F68DC">
        <w:rPr>
          <w:lang w:val="lv-LV"/>
        </w:rPr>
        <w:t>ī</w:t>
      </w:r>
      <w:r w:rsidR="005F3A57" w:rsidRPr="004F68DC">
        <w:rPr>
          <w:lang w:val="lv-LV"/>
        </w:rPr>
        <w:t>jumus bud</w:t>
      </w:r>
      <w:r w:rsidRPr="004F68DC">
        <w:rPr>
          <w:lang w:val="lv-LV"/>
        </w:rPr>
        <w:t>ž</w:t>
      </w:r>
      <w:r w:rsidR="005F3A57" w:rsidRPr="004F68DC">
        <w:rPr>
          <w:lang w:val="lv-LV"/>
        </w:rPr>
        <w:t>et</w:t>
      </w:r>
      <w:r w:rsidR="00FC0A8C" w:rsidRPr="004F68DC">
        <w:rPr>
          <w:lang w:val="lv-LV"/>
        </w:rPr>
        <w:t>ā</w:t>
      </w:r>
      <w:r w:rsidR="005F3A57" w:rsidRPr="004F68DC">
        <w:rPr>
          <w:lang w:val="lv-LV"/>
        </w:rPr>
        <w:t xml:space="preserve">: </w:t>
      </w:r>
    </w:p>
    <w:p w14:paraId="7CFA176B" w14:textId="0E450014" w:rsidR="008E56EE" w:rsidRPr="004F68DC" w:rsidRDefault="00E75191" w:rsidP="008E56EE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p</w:t>
      </w:r>
      <w:r w:rsidR="005C4E2D" w:rsidRPr="004F68DC">
        <w:rPr>
          <w:lang w:val="lv-LV"/>
        </w:rPr>
        <w:t>recizēt</w:t>
      </w:r>
      <w:r w:rsidR="008E56EE" w:rsidRPr="004F68DC">
        <w:rPr>
          <w:lang w:val="lv-LV"/>
        </w:rPr>
        <w:t>s</w:t>
      </w:r>
      <w:r w:rsidR="005C4E2D" w:rsidRPr="004F68DC">
        <w:rPr>
          <w:lang w:val="lv-LV"/>
        </w:rPr>
        <w:t xml:space="preserve"> </w:t>
      </w:r>
      <w:r w:rsidR="008E56EE" w:rsidRPr="004F68DC">
        <w:rPr>
          <w:lang w:val="lv-LV"/>
        </w:rPr>
        <w:t>valsts piešķirtās dotācijas apjoms interešu izglītības īstenošanai</w:t>
      </w:r>
      <w:r w:rsidR="007245FB" w:rsidRPr="004F68DC">
        <w:rPr>
          <w:lang w:val="lv-LV"/>
        </w:rPr>
        <w:t xml:space="preserve"> un tās sadalījums starp izglītības iestādēm.</w:t>
      </w:r>
      <w:r w:rsidR="00A267A6" w:rsidRPr="004F68DC">
        <w:rPr>
          <w:lang w:val="lv-LV"/>
        </w:rPr>
        <w:t xml:space="preserve">. Ieņēmumu sadaļā palielināta par 15’760 </w:t>
      </w:r>
      <w:proofErr w:type="spellStart"/>
      <w:r w:rsidR="00A267A6" w:rsidRPr="004F68DC">
        <w:rPr>
          <w:i/>
          <w:iCs/>
          <w:lang w:val="lv-LV"/>
        </w:rPr>
        <w:t>euro</w:t>
      </w:r>
      <w:proofErr w:type="spellEnd"/>
      <w:r w:rsidR="00A267A6" w:rsidRPr="004F68DC">
        <w:rPr>
          <w:lang w:val="lv-LV"/>
        </w:rPr>
        <w:t xml:space="preserve">. </w:t>
      </w:r>
      <w:r w:rsidR="008E56EE" w:rsidRPr="004F68DC">
        <w:rPr>
          <w:lang w:val="lv-LV"/>
        </w:rPr>
        <w:t xml:space="preserve"> </w:t>
      </w:r>
      <w:r w:rsidR="00126391" w:rsidRPr="004F68DC">
        <w:rPr>
          <w:lang w:val="lv-LV"/>
        </w:rPr>
        <w:t xml:space="preserve">Izdevumu sadaļā samazināts interešu izglītības dotācijas apjoms Ādažu Brīvajai </w:t>
      </w:r>
      <w:proofErr w:type="spellStart"/>
      <w:r w:rsidR="00126391" w:rsidRPr="004F68DC">
        <w:rPr>
          <w:lang w:val="lv-LV"/>
        </w:rPr>
        <w:t>Valdorfa</w:t>
      </w:r>
      <w:proofErr w:type="spellEnd"/>
      <w:r w:rsidR="00126391" w:rsidRPr="004F68DC">
        <w:rPr>
          <w:lang w:val="lv-LV"/>
        </w:rPr>
        <w:t xml:space="preserve"> skolai par 7’573 </w:t>
      </w:r>
      <w:proofErr w:type="spellStart"/>
      <w:r w:rsidR="00126391" w:rsidRPr="004F68DC">
        <w:rPr>
          <w:i/>
          <w:iCs/>
          <w:lang w:val="lv-LV"/>
        </w:rPr>
        <w:t>euro</w:t>
      </w:r>
      <w:proofErr w:type="spellEnd"/>
      <w:r w:rsidR="00126391" w:rsidRPr="004F68DC">
        <w:rPr>
          <w:lang w:val="lv-LV"/>
        </w:rPr>
        <w:t xml:space="preserve">, Carnikavas vidusskolai par 45’468 </w:t>
      </w:r>
      <w:proofErr w:type="spellStart"/>
      <w:r w:rsidR="00126391" w:rsidRPr="004F68DC">
        <w:rPr>
          <w:i/>
          <w:iCs/>
          <w:lang w:val="lv-LV"/>
        </w:rPr>
        <w:t>euro</w:t>
      </w:r>
      <w:proofErr w:type="spellEnd"/>
      <w:r w:rsidR="00126391" w:rsidRPr="004F68DC">
        <w:rPr>
          <w:lang w:val="lv-LV"/>
        </w:rPr>
        <w:t xml:space="preserve"> un Ādažu vidusskolas mērķdotācijas apjoms palielinās par 68’801 </w:t>
      </w:r>
      <w:proofErr w:type="spellStart"/>
      <w:r w:rsidR="00126391" w:rsidRPr="004F68DC">
        <w:rPr>
          <w:i/>
          <w:iCs/>
          <w:lang w:val="lv-LV"/>
        </w:rPr>
        <w:t>euro</w:t>
      </w:r>
      <w:proofErr w:type="spellEnd"/>
      <w:r w:rsidR="00126391" w:rsidRPr="004F68DC">
        <w:rPr>
          <w:lang w:val="lv-LV"/>
        </w:rPr>
        <w:t>.</w:t>
      </w:r>
    </w:p>
    <w:p w14:paraId="3561AE4D" w14:textId="684019B6" w:rsidR="00197484" w:rsidRPr="004F68DC" w:rsidRDefault="00887276" w:rsidP="008E56EE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 xml:space="preserve">paredzēti 7’500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Labklājības ministrijas līdzfinansējums ieņēmumu daļā un izdevumu daļā projekta realizācijai 7’500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, </w:t>
      </w:r>
      <w:r w:rsidR="00E75191" w:rsidRPr="004F68DC">
        <w:rPr>
          <w:lang w:val="lv-LV"/>
        </w:rPr>
        <w:t>saskaņā ar 2025.gada 14.februārī parakstīto līgumu ar Labklājības ministriju par projekta "Labklājības nozares un pašvaldību sociālās sfēras platformas "</w:t>
      </w:r>
      <w:proofErr w:type="spellStart"/>
      <w:r w:rsidR="00E75191" w:rsidRPr="004F68DC">
        <w:rPr>
          <w:lang w:val="lv-LV"/>
        </w:rPr>
        <w:t>DigiSoc</w:t>
      </w:r>
      <w:proofErr w:type="spellEnd"/>
      <w:r w:rsidR="00E75191" w:rsidRPr="004F68DC">
        <w:rPr>
          <w:lang w:val="lv-LV"/>
        </w:rPr>
        <w:t>" izstrāde un ieviešana” realizāciju</w:t>
      </w:r>
      <w:r w:rsidR="005C4E2D" w:rsidRPr="004F68DC">
        <w:rPr>
          <w:lang w:val="lv-LV"/>
        </w:rPr>
        <w:t>.</w:t>
      </w:r>
    </w:p>
    <w:p w14:paraId="739E8FD1" w14:textId="3F6E5527" w:rsidR="00DC6614" w:rsidRPr="004F68DC" w:rsidRDefault="00FB1459" w:rsidP="00DC6614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p</w:t>
      </w:r>
      <w:r w:rsidR="00887276" w:rsidRPr="004F68DC">
        <w:rPr>
          <w:lang w:val="lv-LV"/>
        </w:rPr>
        <w:t xml:space="preserve">aredzēts </w:t>
      </w:r>
      <w:proofErr w:type="spellStart"/>
      <w:r w:rsidR="00887276" w:rsidRPr="004F68DC">
        <w:rPr>
          <w:lang w:val="lv-LV"/>
        </w:rPr>
        <w:t>ārfinansējums</w:t>
      </w:r>
      <w:proofErr w:type="spellEnd"/>
      <w:r w:rsidR="00887276" w:rsidRPr="004F68DC">
        <w:rPr>
          <w:lang w:val="lv-LV"/>
        </w:rPr>
        <w:t xml:space="preserve"> 30’428 </w:t>
      </w:r>
      <w:proofErr w:type="spellStart"/>
      <w:r w:rsidR="00887276" w:rsidRPr="004F68DC">
        <w:rPr>
          <w:i/>
          <w:iCs/>
          <w:lang w:val="lv-LV"/>
        </w:rPr>
        <w:t>euro</w:t>
      </w:r>
      <w:proofErr w:type="spellEnd"/>
      <w:r w:rsidR="00887276" w:rsidRPr="004F68DC">
        <w:rPr>
          <w:lang w:val="lv-LV"/>
        </w:rPr>
        <w:t xml:space="preserve"> </w:t>
      </w:r>
      <w:r w:rsidRPr="004F68DC">
        <w:rPr>
          <w:lang w:val="lv-LV"/>
        </w:rPr>
        <w:t xml:space="preserve">ieņēmumu daļā </w:t>
      </w:r>
      <w:r w:rsidR="00887276" w:rsidRPr="004F68DC">
        <w:rPr>
          <w:lang w:val="lv-LV"/>
        </w:rPr>
        <w:t xml:space="preserve">un izdevumu daļā projekta realizācijai izdevumos 30’428 </w:t>
      </w:r>
      <w:proofErr w:type="spellStart"/>
      <w:r w:rsidR="00887276" w:rsidRPr="004F68DC">
        <w:rPr>
          <w:i/>
          <w:iCs/>
          <w:lang w:val="lv-LV"/>
        </w:rPr>
        <w:t>euro</w:t>
      </w:r>
      <w:proofErr w:type="spellEnd"/>
      <w:r w:rsidR="00887276" w:rsidRPr="004F68DC">
        <w:rPr>
          <w:lang w:val="lv-LV"/>
        </w:rPr>
        <w:t xml:space="preserve"> </w:t>
      </w:r>
      <w:r w:rsidR="00DC6614" w:rsidRPr="004F68DC">
        <w:rPr>
          <w:lang w:val="lv-LV"/>
        </w:rPr>
        <w:t xml:space="preserve">saskaņā ar 2025.gada 19.martā parakstīto līgumu ar Jaunatnes starptautisko programmu aģentūra par projekta </w:t>
      </w:r>
      <w:r w:rsidR="00887276" w:rsidRPr="004F68DC">
        <w:rPr>
          <w:lang w:val="lv-LV"/>
        </w:rPr>
        <w:t>“Digitālā darba ar jaunatni sistēmas attīstība pašvaldībās”</w:t>
      </w:r>
      <w:r w:rsidR="00DC6614" w:rsidRPr="004F68DC">
        <w:rPr>
          <w:lang w:val="lv-LV"/>
        </w:rPr>
        <w:t xml:space="preserve"> realizāciju.</w:t>
      </w:r>
    </w:p>
    <w:p w14:paraId="16CA35D7" w14:textId="06C59C90" w:rsidR="00FB1459" w:rsidRPr="004F68DC" w:rsidRDefault="00FB1459" w:rsidP="00FB1459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 xml:space="preserve">paredzēts </w:t>
      </w:r>
      <w:proofErr w:type="spellStart"/>
      <w:r w:rsidRPr="004F68DC">
        <w:rPr>
          <w:lang w:val="lv-LV"/>
        </w:rPr>
        <w:t>ārfinansējums</w:t>
      </w:r>
      <w:proofErr w:type="spellEnd"/>
      <w:r w:rsidRPr="004F68DC">
        <w:rPr>
          <w:lang w:val="lv-LV"/>
        </w:rPr>
        <w:t xml:space="preserve"> 1’500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ieņēmumu daļā un izdevumu daļā projekta realizācijai izdevumos 1’500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ERASMUS programmas projekta "Nacionālie koordinatori dalības pieaugušo izglītībā veicināšanai Latvijā", ko realizēs Izglītības nodaļa.</w:t>
      </w:r>
    </w:p>
    <w:p w14:paraId="6C32A519" w14:textId="5FFAFDB3" w:rsidR="006F4C14" w:rsidRPr="004F68DC" w:rsidRDefault="00FB1459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 xml:space="preserve">izdevumu sadaļā 2'000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ir novirzīts no ekonomijas plānošanas programmas iegādei iniciatīvu projektu finansējuma palielinājumam</w:t>
      </w:r>
      <w:r w:rsidR="00A305B7" w:rsidRPr="004F68DC">
        <w:rPr>
          <w:lang w:val="lv-LV"/>
        </w:rPr>
        <w:t>.</w:t>
      </w:r>
    </w:p>
    <w:p w14:paraId="744666C8" w14:textId="77221B56" w:rsidR="00FB1459" w:rsidRPr="004F68DC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i</w:t>
      </w:r>
      <w:r w:rsidR="00FB1459" w:rsidRPr="004F68DC">
        <w:rPr>
          <w:lang w:val="lv-LV"/>
        </w:rPr>
        <w:t xml:space="preserve">zdevumu sadaļā 4'000 </w:t>
      </w:r>
      <w:proofErr w:type="spellStart"/>
      <w:r w:rsidR="00FB1459" w:rsidRPr="004F68DC">
        <w:rPr>
          <w:i/>
          <w:iCs/>
          <w:lang w:val="lv-LV"/>
        </w:rPr>
        <w:t>euro</w:t>
      </w:r>
      <w:proofErr w:type="spellEnd"/>
      <w:r w:rsidR="00FB1459" w:rsidRPr="004F68DC">
        <w:rPr>
          <w:lang w:val="lv-LV"/>
        </w:rPr>
        <w:t xml:space="preserve"> pārcelts no P/A "Carnikavas komunālserviss" teritorijas un īpašumu apsaimniekošanas sadaļas (ietaupījumu no Carnikavas stadiona vārtu uzstādīšanas)  uz Ādažu vidusskolas apsaimniekošanas sadaļu (kanalizācijas un ūdens cauruļvadu remontam). </w:t>
      </w:r>
    </w:p>
    <w:p w14:paraId="6B4D78E1" w14:textId="289FC925" w:rsidR="0081546B" w:rsidRPr="004F68DC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i</w:t>
      </w:r>
      <w:r w:rsidR="00FB1459" w:rsidRPr="004F68DC">
        <w:rPr>
          <w:lang w:val="lv-LV"/>
        </w:rPr>
        <w:t xml:space="preserve">zdevumu sadaļā 1'600 </w:t>
      </w:r>
      <w:proofErr w:type="spellStart"/>
      <w:r w:rsidR="00FB1459" w:rsidRPr="004F68DC">
        <w:rPr>
          <w:i/>
          <w:iCs/>
          <w:lang w:val="lv-LV"/>
        </w:rPr>
        <w:t>euro</w:t>
      </w:r>
      <w:proofErr w:type="spellEnd"/>
      <w:r w:rsidR="00FB1459" w:rsidRPr="004F68DC">
        <w:rPr>
          <w:lang w:val="lv-LV"/>
        </w:rPr>
        <w:t xml:space="preserve"> pārcelts no P/A "Carnikavas komunālserviss" teritorijas un īpašumu apsaimniekošanas sadaļas (ietaupījums no Carnikavas stadiona vārtu uzstādīšanas) uz Ādažu vidusskolas sākumskolas apsaimniekošan</w:t>
      </w:r>
      <w:r w:rsidRPr="004F68DC">
        <w:rPr>
          <w:lang w:val="lv-LV"/>
        </w:rPr>
        <w:t>as sadaļu</w:t>
      </w:r>
      <w:r w:rsidR="00FB1459" w:rsidRPr="004F68DC">
        <w:rPr>
          <w:lang w:val="lv-LV"/>
        </w:rPr>
        <w:t xml:space="preserve"> (UPS nomaiņa</w:t>
      </w:r>
      <w:r w:rsidRPr="004F68DC">
        <w:rPr>
          <w:lang w:val="lv-LV"/>
        </w:rPr>
        <w:t>i</w:t>
      </w:r>
      <w:r w:rsidR="00FB1459" w:rsidRPr="004F68DC">
        <w:rPr>
          <w:lang w:val="lv-LV"/>
        </w:rPr>
        <w:t xml:space="preserve"> un signalizācijas sistēmas programmēšana</w:t>
      </w:r>
      <w:r w:rsidRPr="004F68DC">
        <w:rPr>
          <w:lang w:val="lv-LV"/>
        </w:rPr>
        <w:t>i</w:t>
      </w:r>
      <w:r w:rsidR="00FB1459" w:rsidRPr="004F68DC">
        <w:rPr>
          <w:lang w:val="lv-LV"/>
        </w:rPr>
        <w:t xml:space="preserve">). </w:t>
      </w:r>
    </w:p>
    <w:p w14:paraId="0BBB8154" w14:textId="1635DCD5" w:rsidR="0081546B" w:rsidRPr="004F68DC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 xml:space="preserve">izdevumu sadaļā 78'842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pārcelts no Baltezera kapu atmežotās daļas ceļu un celiņu izveidošanai plānotajiem līdzekļiem, kas tiek novirzīts Ķiršu ielas pārbūves 4.kārtas realizācijai.</w:t>
      </w:r>
    </w:p>
    <w:p w14:paraId="66775F2F" w14:textId="7C55F4BE" w:rsidR="0081546B" w:rsidRPr="004F68DC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saskaņā ar lēmumprojektu par izmaiņām P/A "Carnikavas komunālserviss"  struktūrā daļa tehnisko darbinieku (atalgojums) tiek pārcelts uz izglītības iestādes budžetiem.</w:t>
      </w:r>
    </w:p>
    <w:p w14:paraId="2485051F" w14:textId="32C95658" w:rsidR="0081546B" w:rsidRPr="004F68DC" w:rsidRDefault="0081546B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lastRenderedPageBreak/>
        <w:t xml:space="preserve">izdevumu sadaļā 4'000 </w:t>
      </w:r>
      <w:proofErr w:type="spellStart"/>
      <w:r w:rsidRPr="004F68DC">
        <w:rPr>
          <w:i/>
          <w:iCs/>
          <w:lang w:val="lv-LV"/>
        </w:rPr>
        <w:t>euro</w:t>
      </w:r>
      <w:proofErr w:type="spellEnd"/>
      <w:r w:rsidRPr="004F68DC">
        <w:rPr>
          <w:lang w:val="lv-LV"/>
        </w:rPr>
        <w:t xml:space="preserve"> no Ādažu vidusskolas sākumskolas apsaimniekošanas budžeta (ietaupījumu no atalgojuma ēku uzraugiem) novirzīts uz Ādažu vidusskolas apsaimniekošanas budžetu (signalizācijas sistēmas uzstādīšanai).</w:t>
      </w:r>
    </w:p>
    <w:p w14:paraId="551F7F4F" w14:textId="1539173F" w:rsidR="00DD638C" w:rsidRPr="004F68DC" w:rsidRDefault="00421D1C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4F68DC">
        <w:rPr>
          <w:lang w:val="lv-LV"/>
        </w:rPr>
        <w:t>Budžeta grozījumu ietvaros ir veikti nepieciešamie grozījumi, kas saistīti ar finansējuma iekšējo pārdali pa klasifikācijas kodiem, apstiprināto tāmju ietvaros nodaļu un iestāžu darbības nodrošināšanai.</w:t>
      </w:r>
      <w:r w:rsidR="00DD638C" w:rsidRPr="004F68DC">
        <w:rPr>
          <w:lang w:val="lv-LV"/>
        </w:rPr>
        <w:t xml:space="preserve"> Šie grozījumi atspoguļo budžeta pielāgošanu, pamatojoties uz faktisko izpildi un domes lēmumiem, nodrošinot labāku atbilstību plānotajiem mērķiem.</w:t>
      </w:r>
    </w:p>
    <w:p w14:paraId="72EFF556" w14:textId="73D4E621" w:rsidR="00421D1C" w:rsidRPr="004F68DC" w:rsidRDefault="00421D1C" w:rsidP="00522EAB">
      <w:pPr>
        <w:ind w:left="1276" w:firstLine="567"/>
        <w:jc w:val="both"/>
        <w:rPr>
          <w:lang w:val="lv-LV"/>
        </w:rPr>
      </w:pPr>
      <w:r w:rsidRPr="004F68DC">
        <w:rPr>
          <w:lang w:val="lv-LV"/>
        </w:rPr>
        <w:t xml:space="preserve">Kopumā Ādažu novada pašvaldības domes budžeta grozījumi paredz ieņēmumu </w:t>
      </w:r>
      <w:r w:rsidR="0081546B" w:rsidRPr="004F68DC">
        <w:rPr>
          <w:lang w:val="lv-LV"/>
        </w:rPr>
        <w:t>palielin</w:t>
      </w:r>
      <w:r w:rsidRPr="004F68DC">
        <w:rPr>
          <w:lang w:val="lv-LV"/>
        </w:rPr>
        <w:t xml:space="preserve">ājumu par </w:t>
      </w:r>
      <w:r w:rsidR="0081546B" w:rsidRPr="004F68DC">
        <w:rPr>
          <w:lang w:val="lv-LV"/>
        </w:rPr>
        <w:t>55’188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D62E58" w:rsidRPr="004F68DC">
        <w:rPr>
          <w:lang w:val="lv-LV"/>
        </w:rPr>
        <w:t>,</w:t>
      </w:r>
      <w:r w:rsidR="00AE4FBE" w:rsidRPr="004F68DC">
        <w:rPr>
          <w:lang w:val="lv-LV"/>
        </w:rPr>
        <w:t xml:space="preserve"> nosakot budžeta ieņēmumus </w:t>
      </w:r>
      <w:r w:rsidR="0081546B" w:rsidRPr="004F68DC">
        <w:rPr>
          <w:lang w:val="lv-LV"/>
        </w:rPr>
        <w:t>61’849’590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AE3885" w:rsidRPr="004F68DC">
        <w:rPr>
          <w:lang w:val="lv-LV"/>
        </w:rPr>
        <w:t xml:space="preserve"> </w:t>
      </w:r>
      <w:r w:rsidR="0081546B" w:rsidRPr="004F68DC">
        <w:rPr>
          <w:lang w:val="lv-LV"/>
        </w:rPr>
        <w:t>apmērā</w:t>
      </w:r>
      <w:r w:rsidR="0043658A" w:rsidRPr="004F68DC">
        <w:rPr>
          <w:lang w:val="lv-LV"/>
        </w:rPr>
        <w:t>.</w:t>
      </w:r>
      <w:r w:rsidR="00AE3885" w:rsidRPr="004F68DC">
        <w:rPr>
          <w:lang w:val="lv-LV"/>
        </w:rPr>
        <w:t xml:space="preserve"> </w:t>
      </w:r>
      <w:r w:rsidR="00F746E1" w:rsidRPr="004F68DC">
        <w:rPr>
          <w:lang w:val="lv-LV"/>
        </w:rPr>
        <w:t xml:space="preserve"> </w:t>
      </w:r>
      <w:r w:rsidR="0043658A" w:rsidRPr="004F68DC">
        <w:rPr>
          <w:lang w:val="lv-LV"/>
        </w:rPr>
        <w:t>Saskaņā ar šiem Ādažu novada pašvaldības domes budžeta grozījumi paredz i</w:t>
      </w:r>
      <w:r w:rsidR="00AE4FBE" w:rsidRPr="004F68DC">
        <w:rPr>
          <w:lang w:val="lv-LV"/>
        </w:rPr>
        <w:t xml:space="preserve">zdevumu daļas </w:t>
      </w:r>
      <w:r w:rsidR="0081546B" w:rsidRPr="004F68DC">
        <w:rPr>
          <w:lang w:val="lv-LV"/>
        </w:rPr>
        <w:t>paliel</w:t>
      </w:r>
      <w:r w:rsidR="00AE4FBE" w:rsidRPr="004F68DC">
        <w:rPr>
          <w:lang w:val="lv-LV"/>
        </w:rPr>
        <w:t xml:space="preserve">inājumu par </w:t>
      </w:r>
      <w:r w:rsidR="0081546B" w:rsidRPr="004F68DC">
        <w:rPr>
          <w:lang w:val="lv-LV"/>
        </w:rPr>
        <w:t>55’188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AE4FBE" w:rsidRPr="004F68DC">
        <w:rPr>
          <w:lang w:val="lv-LV"/>
        </w:rPr>
        <w:t xml:space="preserve">, nosakot budžeta izdevumus </w:t>
      </w:r>
      <w:r w:rsidR="0081546B" w:rsidRPr="004F68DC">
        <w:rPr>
          <w:lang w:val="lv-LV"/>
        </w:rPr>
        <w:t>71’620’101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522EAB" w:rsidRPr="004F68DC">
        <w:rPr>
          <w:lang w:val="lv-LV"/>
        </w:rPr>
        <w:t>.</w:t>
      </w:r>
      <w:r w:rsidR="00D62E58" w:rsidRPr="004F68DC">
        <w:rPr>
          <w:lang w:val="lv-LV"/>
        </w:rPr>
        <w:t xml:space="preserve"> </w:t>
      </w:r>
      <w:r w:rsidR="00522EAB" w:rsidRPr="004F68DC">
        <w:rPr>
          <w:lang w:val="lv-LV"/>
        </w:rPr>
        <w:t>P</w:t>
      </w:r>
      <w:r w:rsidR="00D62E58" w:rsidRPr="004F68DC">
        <w:rPr>
          <w:lang w:val="lv-LV"/>
        </w:rPr>
        <w:t>lānoto aizņēmumu</w:t>
      </w:r>
      <w:r w:rsidR="00522EAB" w:rsidRPr="004F68DC">
        <w:rPr>
          <w:lang w:val="lv-LV"/>
        </w:rPr>
        <w:t xml:space="preserve"> apjoms </w:t>
      </w:r>
      <w:r w:rsidR="00D62E58" w:rsidRPr="004F68DC">
        <w:rPr>
          <w:lang w:val="lv-LV"/>
        </w:rPr>
        <w:t>202</w:t>
      </w:r>
      <w:r w:rsidR="0081546B" w:rsidRPr="004F68DC">
        <w:rPr>
          <w:lang w:val="lv-LV"/>
        </w:rPr>
        <w:t>5</w:t>
      </w:r>
      <w:r w:rsidR="008634A8" w:rsidRPr="004F68DC">
        <w:rPr>
          <w:lang w:val="lv-LV"/>
        </w:rPr>
        <w:t>.</w:t>
      </w:r>
      <w:r w:rsidR="00D62E58" w:rsidRPr="004F68DC">
        <w:rPr>
          <w:lang w:val="lv-LV"/>
        </w:rPr>
        <w:t xml:space="preserve"> gadā</w:t>
      </w:r>
      <w:r w:rsidR="0081546B" w:rsidRPr="004F68DC">
        <w:rPr>
          <w:lang w:val="lv-LV"/>
        </w:rPr>
        <w:t xml:space="preserve"> plānots</w:t>
      </w:r>
      <w:r w:rsidR="00D62E58" w:rsidRPr="004F68DC">
        <w:rPr>
          <w:lang w:val="lv-LV"/>
        </w:rPr>
        <w:t xml:space="preserve"> </w:t>
      </w:r>
      <w:r w:rsidR="004F68DC" w:rsidRPr="004F68DC">
        <w:rPr>
          <w:lang w:val="lv-LV"/>
        </w:rPr>
        <w:t>6’608’118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D62E58" w:rsidRPr="004F68DC">
        <w:rPr>
          <w:lang w:val="lv-LV"/>
        </w:rPr>
        <w:t xml:space="preserve"> apmērā,</w:t>
      </w:r>
      <w:r w:rsidR="005A61B0" w:rsidRPr="004F68DC">
        <w:rPr>
          <w:lang w:val="lv-LV"/>
        </w:rPr>
        <w:t xml:space="preserve"> un aizņēmumu pamatsummas atmaks</w:t>
      </w:r>
      <w:r w:rsidR="00800439" w:rsidRPr="004F68DC">
        <w:rPr>
          <w:lang w:val="lv-LV"/>
        </w:rPr>
        <w:t>a</w:t>
      </w:r>
      <w:r w:rsidR="005A61B0" w:rsidRPr="004F68DC">
        <w:rPr>
          <w:lang w:val="lv-LV"/>
        </w:rPr>
        <w:t xml:space="preserve"> 202</w:t>
      </w:r>
      <w:r w:rsidR="004F68DC" w:rsidRPr="004F68DC">
        <w:rPr>
          <w:lang w:val="lv-LV"/>
        </w:rPr>
        <w:t>5</w:t>
      </w:r>
      <w:r w:rsidR="005A61B0" w:rsidRPr="004F68DC">
        <w:rPr>
          <w:lang w:val="lv-LV"/>
        </w:rPr>
        <w:t xml:space="preserve">. gadā </w:t>
      </w:r>
      <w:r w:rsidR="004F68DC" w:rsidRPr="004F68DC">
        <w:rPr>
          <w:lang w:val="lv-LV"/>
        </w:rPr>
        <w:t xml:space="preserve">plānota </w:t>
      </w:r>
      <w:r w:rsidR="007809DF" w:rsidRPr="004F68DC">
        <w:rPr>
          <w:lang w:val="lv-LV"/>
        </w:rPr>
        <w:t>3’</w:t>
      </w:r>
      <w:r w:rsidR="004F68DC" w:rsidRPr="004F68DC">
        <w:rPr>
          <w:lang w:val="lv-LV"/>
        </w:rPr>
        <w:t>46</w:t>
      </w:r>
      <w:r w:rsidR="007809DF" w:rsidRPr="004F68DC">
        <w:rPr>
          <w:lang w:val="lv-LV"/>
        </w:rPr>
        <w:t>7’</w:t>
      </w:r>
      <w:r w:rsidR="004F68DC" w:rsidRPr="004F68DC">
        <w:rPr>
          <w:lang w:val="lv-LV"/>
        </w:rPr>
        <w:t>035</w:t>
      </w:r>
      <w:r w:rsidR="00A02433" w:rsidRPr="004F68DC">
        <w:rPr>
          <w:lang w:val="lv-LV"/>
        </w:rPr>
        <w:t xml:space="preserve"> </w:t>
      </w:r>
      <w:proofErr w:type="spellStart"/>
      <w:r w:rsidR="00A02433" w:rsidRPr="004F68DC">
        <w:rPr>
          <w:i/>
          <w:iCs/>
          <w:lang w:val="lv-LV"/>
        </w:rPr>
        <w:t>euro</w:t>
      </w:r>
      <w:proofErr w:type="spellEnd"/>
      <w:r w:rsidR="00740B22" w:rsidRPr="004F68DC">
        <w:rPr>
          <w:lang w:val="lv-LV"/>
        </w:rPr>
        <w:t xml:space="preserve"> </w:t>
      </w:r>
      <w:r w:rsidR="004A4E99" w:rsidRPr="004F68DC">
        <w:rPr>
          <w:lang w:val="lv-LV"/>
        </w:rPr>
        <w:t>apmērā</w:t>
      </w:r>
      <w:r w:rsidR="005A61B0" w:rsidRPr="004F68DC">
        <w:rPr>
          <w:lang w:val="lv-LV"/>
        </w:rPr>
        <w:t>.</w:t>
      </w:r>
    </w:p>
    <w:p w14:paraId="207854D7" w14:textId="77777777" w:rsidR="00DD638C" w:rsidRPr="004F68DC" w:rsidRDefault="00DD638C" w:rsidP="00623763">
      <w:pPr>
        <w:jc w:val="both"/>
        <w:rPr>
          <w:lang w:val="lv-LV"/>
        </w:rPr>
      </w:pPr>
    </w:p>
    <w:p w14:paraId="7AA3E03F" w14:textId="6B9CD568" w:rsidR="00194562" w:rsidRPr="004F68DC" w:rsidRDefault="00194562" w:rsidP="00623763">
      <w:pPr>
        <w:jc w:val="both"/>
        <w:rPr>
          <w:lang w:val="lv-LV"/>
        </w:rPr>
      </w:pPr>
    </w:p>
    <w:p w14:paraId="3C7546AC" w14:textId="77777777" w:rsidR="008821B1" w:rsidRPr="004F68DC" w:rsidRDefault="008821B1" w:rsidP="00623763">
      <w:pPr>
        <w:jc w:val="both"/>
        <w:rPr>
          <w:lang w:val="lv-LV"/>
        </w:rPr>
      </w:pPr>
    </w:p>
    <w:p w14:paraId="7BDEC266" w14:textId="56924A78" w:rsidR="00194562" w:rsidRDefault="00194562" w:rsidP="00692AD4">
      <w:pPr>
        <w:rPr>
          <w:lang w:val="lv-LV" w:eastAsia="lv-LV"/>
        </w:rPr>
      </w:pPr>
      <w:r w:rsidRPr="004F68DC">
        <w:rPr>
          <w:lang w:val="lv-LV" w:eastAsia="lv-LV"/>
        </w:rPr>
        <w:t>Pašvaldības domes priekšsēdētāj</w:t>
      </w:r>
      <w:r w:rsidR="00326293" w:rsidRPr="004F68DC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26293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326293" w:rsidRPr="006F76E5">
        <w:rPr>
          <w:lang w:val="lv-LV" w:eastAsia="lv-LV"/>
        </w:rPr>
        <w:t>Miķelsone</w:t>
      </w:r>
      <w:r w:rsidRPr="006F76E5">
        <w:rPr>
          <w:lang w:val="lv-LV" w:eastAsia="lv-LV"/>
        </w:rPr>
        <w:t xml:space="preserve">  </w:t>
      </w:r>
    </w:p>
    <w:p w14:paraId="3FD8052B" w14:textId="77777777" w:rsidR="00623763" w:rsidRDefault="00623763" w:rsidP="00692AD4">
      <w:pPr>
        <w:rPr>
          <w:lang w:val="lv-LV" w:eastAsia="lv-LV"/>
        </w:rPr>
      </w:pPr>
    </w:p>
    <w:p w14:paraId="78F715A3" w14:textId="3A05F970" w:rsidR="00623763" w:rsidRPr="006F76E5" w:rsidRDefault="00623763" w:rsidP="00623763">
      <w:pPr>
        <w:jc w:val="center"/>
        <w:rPr>
          <w:lang w:val="lv-LV" w:eastAsia="lv-LV"/>
        </w:rPr>
      </w:pPr>
      <w:r>
        <w:rPr>
          <w:rFonts w:eastAsia="Calibri"/>
        </w:rPr>
        <w:t>ŠIS DOKUMENTS IR ELEKTRONISKI PARAKSTĪTS AR DROŠU ELEKTRONISKO PARAKSTU UN SATUR LAIKA ZĪMOGU</w:t>
      </w:r>
    </w:p>
    <w:sectPr w:rsidR="00623763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11DC" w14:textId="77777777" w:rsidR="002F2D97" w:rsidRDefault="002F2D97">
      <w:r>
        <w:separator/>
      </w:r>
    </w:p>
  </w:endnote>
  <w:endnote w:type="continuationSeparator" w:id="0">
    <w:p w14:paraId="5BCD91CE" w14:textId="77777777" w:rsidR="002F2D97" w:rsidRDefault="002F2D97">
      <w:r>
        <w:continuationSeparator/>
      </w:r>
    </w:p>
  </w:endnote>
  <w:endnote w:type="continuationNotice" w:id="1">
    <w:p w14:paraId="7F286B61" w14:textId="77777777" w:rsidR="002F2D97" w:rsidRDefault="002F2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2E92" w14:textId="77777777" w:rsidR="002F2D97" w:rsidRDefault="002F2D97">
      <w:r>
        <w:separator/>
      </w:r>
    </w:p>
  </w:footnote>
  <w:footnote w:type="continuationSeparator" w:id="0">
    <w:p w14:paraId="4A267470" w14:textId="77777777" w:rsidR="002F2D97" w:rsidRDefault="002F2D97">
      <w:r>
        <w:continuationSeparator/>
      </w:r>
    </w:p>
  </w:footnote>
  <w:footnote w:type="continuationNotice" w:id="1">
    <w:p w14:paraId="054CBD9F" w14:textId="77777777" w:rsidR="002F2D97" w:rsidRDefault="002F2D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6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0"/>
  </w:num>
  <w:num w:numId="5" w16cid:durableId="1402942956">
    <w:abstractNumId w:val="27"/>
  </w:num>
  <w:num w:numId="6" w16cid:durableId="1447693726">
    <w:abstractNumId w:val="25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3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2"/>
  </w:num>
  <w:num w:numId="21" w16cid:durableId="1934313843">
    <w:abstractNumId w:val="24"/>
  </w:num>
  <w:num w:numId="22" w16cid:durableId="1922447626">
    <w:abstractNumId w:val="21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6"/>
  </w:num>
  <w:num w:numId="27" w16cid:durableId="378365530">
    <w:abstractNumId w:val="16"/>
  </w:num>
  <w:num w:numId="28" w16cid:durableId="20695241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A18"/>
    <w:rsid w:val="002B7E13"/>
    <w:rsid w:val="002C0102"/>
    <w:rsid w:val="002C02F6"/>
    <w:rsid w:val="002C1036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A5E"/>
    <w:rsid w:val="002F3F8A"/>
    <w:rsid w:val="002F5405"/>
    <w:rsid w:val="002F629F"/>
    <w:rsid w:val="002F7FD3"/>
    <w:rsid w:val="00300060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546C"/>
    <w:rsid w:val="0039569B"/>
    <w:rsid w:val="003971CD"/>
    <w:rsid w:val="003A0BD2"/>
    <w:rsid w:val="003A19E3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621D"/>
    <w:rsid w:val="005E6355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3763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25AC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403B"/>
    <w:rsid w:val="006D4E63"/>
    <w:rsid w:val="006D4F2A"/>
    <w:rsid w:val="006D5411"/>
    <w:rsid w:val="006D54AC"/>
    <w:rsid w:val="006D5A3E"/>
    <w:rsid w:val="006D5B9A"/>
    <w:rsid w:val="006D609A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7FE"/>
    <w:rsid w:val="00757598"/>
    <w:rsid w:val="00757A1B"/>
    <w:rsid w:val="00761382"/>
    <w:rsid w:val="00764478"/>
    <w:rsid w:val="0076548E"/>
    <w:rsid w:val="00765845"/>
    <w:rsid w:val="00766063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90C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53D"/>
    <w:rsid w:val="00A05930"/>
    <w:rsid w:val="00A05C4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60D1"/>
    <w:rsid w:val="00C263A2"/>
    <w:rsid w:val="00C272BF"/>
    <w:rsid w:val="00C3018D"/>
    <w:rsid w:val="00C305E0"/>
    <w:rsid w:val="00C30CD0"/>
    <w:rsid w:val="00C30D90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29AE"/>
    <w:rsid w:val="00CC3998"/>
    <w:rsid w:val="00CC431F"/>
    <w:rsid w:val="00CC53B0"/>
    <w:rsid w:val="00CC647A"/>
    <w:rsid w:val="00CC78BF"/>
    <w:rsid w:val="00CC7F35"/>
    <w:rsid w:val="00CD149E"/>
    <w:rsid w:val="00CD202A"/>
    <w:rsid w:val="00CD22A5"/>
    <w:rsid w:val="00CD33E0"/>
    <w:rsid w:val="00CD3C21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243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506F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0">
    <w:name w:val="xl90"/>
    <w:basedOn w:val="Normal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2">
    <w:name w:val="xl92"/>
    <w:basedOn w:val="Normal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3">
    <w:name w:val="xl93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val="lv-LV" w:eastAsia="lv-LV"/>
    </w:rPr>
  </w:style>
  <w:style w:type="paragraph" w:customStyle="1" w:styleId="xl94">
    <w:name w:val="xl94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17</Pages>
  <Words>17922</Words>
  <Characters>10217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28083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Jevgēnija Sviridenkova</cp:lastModifiedBy>
  <cp:revision>11</cp:revision>
  <cp:lastPrinted>2024-03-26T11:25:00Z</cp:lastPrinted>
  <dcterms:created xsi:type="dcterms:W3CDTF">2025-03-26T09:02:00Z</dcterms:created>
  <dcterms:modified xsi:type="dcterms:W3CDTF">2025-03-28T12:08:00Z</dcterms:modified>
</cp:coreProperties>
</file>