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BD41B7"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BD41B7"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BD41B7"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BD41B7"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6AA4385" w14:textId="3F0C91B6" w:rsidR="00564CA6" w:rsidRPr="00564CA6" w:rsidRDefault="00BD41B7" w:rsidP="00564CA6">
      <w:pPr>
        <w:rPr>
          <w:rFonts w:ascii="Times New Roman" w:hAnsi="Times New Roman" w:cs="Times New Roman"/>
          <w:b/>
        </w:rPr>
      </w:pPr>
      <w:r w:rsidRPr="00C44A0E">
        <w:rPr>
          <w:rFonts w:ascii="Times New Roman" w:hAnsi="Times New Roman" w:cs="Times New Roman"/>
        </w:rPr>
        <w:t>2025. gada 27. martā</w:t>
      </w:r>
      <w:r w:rsidRPr="00C44A0E">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BD41B7">
        <w:rPr>
          <w:rFonts w:ascii="Times New Roman" w:hAnsi="Times New Roman" w:cs="Times New Roman"/>
          <w:b/>
          <w:bCs/>
          <w:noProof/>
        </w:rPr>
        <w:t>104</w:t>
      </w:r>
    </w:p>
    <w:p w14:paraId="5CED2A65" w14:textId="77777777" w:rsidR="00564CA6" w:rsidRPr="00564CA6" w:rsidRDefault="00564CA6" w:rsidP="00564CA6">
      <w:pPr>
        <w:rPr>
          <w:rFonts w:ascii="Times New Roman" w:hAnsi="Times New Roman" w:cs="Times New Roman"/>
        </w:rPr>
      </w:pPr>
    </w:p>
    <w:p w14:paraId="17719129" w14:textId="77777777" w:rsidR="00C44A0E" w:rsidRPr="00C44A0E" w:rsidRDefault="00BD41B7" w:rsidP="00C44A0E">
      <w:pPr>
        <w:jc w:val="center"/>
        <w:rPr>
          <w:rFonts w:ascii="Times New Roman" w:eastAsia="Times New Roman" w:hAnsi="Times New Roman" w:cs="Times New Roman"/>
          <w:b/>
          <w:bCs/>
        </w:rPr>
      </w:pPr>
      <w:r w:rsidRPr="00C44A0E">
        <w:rPr>
          <w:rFonts w:ascii="Times New Roman" w:eastAsia="Times New Roman" w:hAnsi="Times New Roman" w:cs="Times New Roman"/>
          <w:b/>
          <w:bCs/>
        </w:rPr>
        <w:t xml:space="preserve">Par zemes vienību Austrumu ielā 20, </w:t>
      </w:r>
      <w:proofErr w:type="spellStart"/>
      <w:r w:rsidRPr="00C44A0E">
        <w:rPr>
          <w:rFonts w:ascii="Times New Roman" w:eastAsia="Times New Roman" w:hAnsi="Times New Roman" w:cs="Times New Roman"/>
          <w:b/>
          <w:bCs/>
        </w:rPr>
        <w:t>Kadagā</w:t>
      </w:r>
      <w:proofErr w:type="spellEnd"/>
      <w:r w:rsidRPr="00C44A0E">
        <w:rPr>
          <w:rFonts w:ascii="Times New Roman" w:eastAsia="Times New Roman" w:hAnsi="Times New Roman" w:cs="Times New Roman"/>
          <w:b/>
          <w:bCs/>
        </w:rPr>
        <w:t>, lietošanas mērķu noteikšanu privatizācijai</w:t>
      </w:r>
    </w:p>
    <w:p w14:paraId="001C96E2" w14:textId="77777777" w:rsidR="00564CA6" w:rsidRPr="00BD41B7" w:rsidRDefault="00564CA6" w:rsidP="00564CA6">
      <w:pPr>
        <w:rPr>
          <w:rFonts w:ascii="Times New Roman" w:hAnsi="Times New Roman" w:cs="Times New Roman"/>
          <w:b/>
          <w:iCs/>
          <w:color w:val="FF0000"/>
        </w:rPr>
      </w:pPr>
    </w:p>
    <w:p w14:paraId="0F048EA9" w14:textId="77777777" w:rsidR="00C44A0E" w:rsidRPr="00C44A0E" w:rsidRDefault="00BD41B7" w:rsidP="00C44A0E">
      <w:pPr>
        <w:spacing w:after="120"/>
        <w:jc w:val="both"/>
        <w:rPr>
          <w:rFonts w:ascii="Times New Roman" w:eastAsia="Calibri" w:hAnsi="Times New Roman" w:cs="Times New Roman"/>
        </w:rPr>
      </w:pPr>
      <w:r w:rsidRPr="00C44A0E">
        <w:rPr>
          <w:rFonts w:ascii="Times New Roman" w:eastAsia="Calibri" w:hAnsi="Times New Roman" w:cs="Times New Roman"/>
        </w:rPr>
        <w:t xml:space="preserve">Ādažu novada pašvaldības dome izskatīja SIA “Publisko aktīvu pārvaldītājs </w:t>
      </w:r>
      <w:proofErr w:type="spellStart"/>
      <w:r w:rsidRPr="00C44A0E">
        <w:rPr>
          <w:rFonts w:ascii="Times New Roman" w:eastAsia="Calibri" w:hAnsi="Times New Roman" w:cs="Times New Roman"/>
        </w:rPr>
        <w:t>Prossessor</w:t>
      </w:r>
      <w:proofErr w:type="spellEnd"/>
      <w:r w:rsidRPr="00C44A0E">
        <w:rPr>
          <w:rFonts w:ascii="Times New Roman" w:eastAsia="Calibri" w:hAnsi="Times New Roman" w:cs="Times New Roman"/>
        </w:rPr>
        <w:t>” 20.02.2025. vēstuli Nr. 1.17/497 “Par privatizācijas lietošanas mērķiem zemesgabalam “</w:t>
      </w:r>
      <w:proofErr w:type="spellStart"/>
      <w:r w:rsidRPr="00C44A0E">
        <w:rPr>
          <w:rFonts w:ascii="Times New Roman" w:eastAsia="Calibri" w:hAnsi="Times New Roman" w:cs="Times New Roman"/>
        </w:rPr>
        <w:t>Jaunieļi</w:t>
      </w:r>
      <w:proofErr w:type="spellEnd"/>
      <w:r w:rsidRPr="00C44A0E">
        <w:rPr>
          <w:rFonts w:ascii="Times New Roman" w:eastAsia="Calibri" w:hAnsi="Times New Roman" w:cs="Times New Roman"/>
        </w:rPr>
        <w:t xml:space="preserve">” Austrumu ielā 20, </w:t>
      </w:r>
      <w:proofErr w:type="spellStart"/>
      <w:r w:rsidRPr="00C44A0E">
        <w:rPr>
          <w:rFonts w:ascii="Times New Roman" w:eastAsia="Calibri" w:hAnsi="Times New Roman" w:cs="Times New Roman"/>
        </w:rPr>
        <w:t>Kadagā</w:t>
      </w:r>
      <w:proofErr w:type="spellEnd"/>
      <w:r w:rsidRPr="00C44A0E">
        <w:rPr>
          <w:rFonts w:ascii="Times New Roman" w:eastAsia="Calibri" w:hAnsi="Times New Roman" w:cs="Times New Roman"/>
        </w:rPr>
        <w:t xml:space="preserve">, Ādažu pagastā, Ādažu novadā” (pašvaldības </w:t>
      </w:r>
      <w:proofErr w:type="spellStart"/>
      <w:r w:rsidRPr="00C44A0E">
        <w:rPr>
          <w:rFonts w:ascii="Times New Roman" w:eastAsia="Calibri" w:hAnsi="Times New Roman" w:cs="Times New Roman"/>
        </w:rPr>
        <w:t>reģ</w:t>
      </w:r>
      <w:proofErr w:type="spellEnd"/>
      <w:r w:rsidRPr="00C44A0E">
        <w:rPr>
          <w:rFonts w:ascii="Times New Roman" w:eastAsia="Calibri" w:hAnsi="Times New Roman" w:cs="Times New Roman"/>
        </w:rPr>
        <w:t xml:space="preserve">. Nr. ĀNP/1-11-1/25/1234), kurā lūgts </w:t>
      </w:r>
      <w:r w:rsidRPr="00C44A0E">
        <w:rPr>
          <w:rFonts w:ascii="Times New Roman" w:eastAsia="Calibri" w:hAnsi="Times New Roman" w:cs="Times New Roman"/>
          <w:snapToGrid w:val="0"/>
        </w:rPr>
        <w:t xml:space="preserve">sagatavot un atsūtīt izziņas par </w:t>
      </w:r>
      <w:r w:rsidRPr="00C44A0E">
        <w:rPr>
          <w:rFonts w:ascii="Times New Roman" w:eastAsia="Calibri" w:hAnsi="Times New Roman" w:cs="Times New Roman"/>
        </w:rPr>
        <w:t xml:space="preserve">zemes </w:t>
      </w:r>
      <w:r w:rsidRPr="00C44A0E">
        <w:rPr>
          <w:rFonts w:ascii="Times New Roman" w:eastAsia="Calibri" w:hAnsi="Times New Roman" w:cs="Times New Roman"/>
          <w:snapToGrid w:val="0"/>
        </w:rPr>
        <w:t xml:space="preserve">vienību privatizācijas lietošanas mērķiem atbilstoši Ministru kabineta 2009. gada 18. augusta noteikumu Nr. 946 “Noteikumi par apbūvēta zemesgabala vērtības noteikšanu privatizācijas vajadzībām” prasībām un </w:t>
      </w:r>
      <w:r w:rsidRPr="00C44A0E">
        <w:rPr>
          <w:rFonts w:ascii="Times New Roman" w:eastAsia="Calibri" w:hAnsi="Times New Roman" w:cs="Times New Roman"/>
        </w:rPr>
        <w:t>Ministru kabineta 2006. gada 20. jūnija noteikumos Nr. 496 “Nekustamā īpašuma lietošanas mērķu klasifikācija un nekustamā īpašuma lietošanas mērķu noteikšanas un maiņas kārtība” noteiktajai nekustamā īpašuma lietošanas mērķu klasifikācijai.</w:t>
      </w:r>
    </w:p>
    <w:p w14:paraId="3CE1A6FC" w14:textId="77777777" w:rsidR="00C44A0E" w:rsidRPr="00C44A0E" w:rsidRDefault="00BD41B7" w:rsidP="00C44A0E">
      <w:pPr>
        <w:spacing w:after="120"/>
        <w:jc w:val="both"/>
        <w:rPr>
          <w:rFonts w:ascii="Times New Roman" w:eastAsia="Times New Roman" w:hAnsi="Times New Roman" w:cs="Times New Roman"/>
          <w:lang w:eastAsia="x-none"/>
        </w:rPr>
      </w:pPr>
      <w:r w:rsidRPr="00C44A0E">
        <w:rPr>
          <w:rFonts w:ascii="Times New Roman" w:eastAsia="Times New Roman" w:hAnsi="Times New Roman" w:cs="Times New Roman"/>
          <w:lang w:eastAsia="x-none"/>
        </w:rPr>
        <w:t>Izvērtējot pašvaldības rīcībā esošo informāciju un ar lietu saistītos apstākļus, tika konstatēts:</w:t>
      </w:r>
    </w:p>
    <w:p w14:paraId="37CFF73A" w14:textId="77777777" w:rsidR="00C44A0E" w:rsidRPr="00C44A0E" w:rsidRDefault="00BD41B7" w:rsidP="00C44A0E">
      <w:pPr>
        <w:widowControl w:val="0"/>
        <w:numPr>
          <w:ilvl w:val="0"/>
          <w:numId w:val="3"/>
        </w:numPr>
        <w:tabs>
          <w:tab w:val="left" w:pos="-1620"/>
        </w:tabs>
        <w:suppressAutoHyphens/>
        <w:spacing w:after="120"/>
        <w:ind w:left="357" w:hanging="357"/>
        <w:jc w:val="both"/>
        <w:rPr>
          <w:rFonts w:ascii="Times New Roman" w:eastAsia="Calibri" w:hAnsi="Times New Roman" w:cs="Times New Roman"/>
        </w:rPr>
      </w:pPr>
      <w:r w:rsidRPr="00C44A0E">
        <w:rPr>
          <w:rFonts w:ascii="Times New Roman" w:eastAsia="Calibri" w:hAnsi="Times New Roman" w:cs="Times New Roman"/>
        </w:rPr>
        <w:t xml:space="preserve">Nekustamais īpašums </w:t>
      </w:r>
      <w:bookmarkStart w:id="0" w:name="_Hlk191986432"/>
      <w:r w:rsidRPr="00C44A0E">
        <w:rPr>
          <w:rFonts w:ascii="Times New Roman" w:eastAsia="Calibri" w:hAnsi="Times New Roman" w:cs="Times New Roman"/>
        </w:rPr>
        <w:t>“</w:t>
      </w:r>
      <w:proofErr w:type="spellStart"/>
      <w:r w:rsidRPr="00C44A0E">
        <w:rPr>
          <w:rFonts w:ascii="Times New Roman" w:eastAsia="Calibri" w:hAnsi="Times New Roman" w:cs="Times New Roman"/>
        </w:rPr>
        <w:t>Jaunieļi</w:t>
      </w:r>
      <w:proofErr w:type="spellEnd"/>
      <w:r w:rsidRPr="00C44A0E">
        <w:rPr>
          <w:rFonts w:ascii="Times New Roman" w:eastAsia="Calibri" w:hAnsi="Times New Roman" w:cs="Times New Roman"/>
        </w:rPr>
        <w:t xml:space="preserve">”, </w:t>
      </w:r>
      <w:proofErr w:type="spellStart"/>
      <w:r w:rsidRPr="00C44A0E">
        <w:rPr>
          <w:rFonts w:ascii="Times New Roman" w:eastAsia="Calibri" w:hAnsi="Times New Roman" w:cs="Times New Roman"/>
        </w:rPr>
        <w:t>Kadagā</w:t>
      </w:r>
      <w:proofErr w:type="spellEnd"/>
      <w:r w:rsidRPr="00C44A0E">
        <w:rPr>
          <w:rFonts w:ascii="Times New Roman" w:eastAsia="Calibri" w:hAnsi="Times New Roman" w:cs="Times New Roman"/>
        </w:rPr>
        <w:t xml:space="preserve">, Ādažu pagastā, </w:t>
      </w:r>
      <w:bookmarkEnd w:id="0"/>
      <w:r w:rsidRPr="00C44A0E">
        <w:rPr>
          <w:rFonts w:ascii="Times New Roman" w:eastAsia="Calibri" w:hAnsi="Times New Roman" w:cs="Times New Roman"/>
        </w:rPr>
        <w:t xml:space="preserve">Ādažu novadā, kadastra Nr. 80440050055, sastāv no zemes </w:t>
      </w:r>
      <w:bookmarkStart w:id="1" w:name="_Hlk191986556"/>
      <w:r w:rsidRPr="00C44A0E">
        <w:rPr>
          <w:rFonts w:ascii="Times New Roman" w:eastAsia="Calibri" w:hAnsi="Times New Roman" w:cs="Times New Roman"/>
        </w:rPr>
        <w:t xml:space="preserve">vienības 4,1795 ha platībā ar kadastra apzīmējumu 80440050055 un adresi Austrumu iela 20, </w:t>
      </w:r>
      <w:proofErr w:type="spellStart"/>
      <w:r w:rsidRPr="00C44A0E">
        <w:rPr>
          <w:rFonts w:ascii="Times New Roman" w:eastAsia="Calibri" w:hAnsi="Times New Roman" w:cs="Times New Roman"/>
        </w:rPr>
        <w:t>Kadaga</w:t>
      </w:r>
      <w:proofErr w:type="spellEnd"/>
      <w:r w:rsidRPr="00C44A0E">
        <w:rPr>
          <w:rFonts w:ascii="Times New Roman" w:eastAsia="Calibri" w:hAnsi="Times New Roman" w:cs="Times New Roman"/>
        </w:rPr>
        <w:t xml:space="preserve">, Ādažu pag., Ādažu nov., un zemes vienības 0,0299 ha platībā ar kadastra apzīmējumu 80440050126 bez adreses </w:t>
      </w:r>
      <w:bookmarkEnd w:id="1"/>
      <w:r w:rsidRPr="00C44A0E">
        <w:rPr>
          <w:rFonts w:ascii="Times New Roman" w:eastAsia="Calibri" w:hAnsi="Times New Roman" w:cs="Times New Roman"/>
        </w:rPr>
        <w:t xml:space="preserve">(turpmāk - Īpašums). </w:t>
      </w:r>
    </w:p>
    <w:p w14:paraId="404C3234" w14:textId="77777777" w:rsidR="00C44A0E" w:rsidRPr="00C44A0E" w:rsidRDefault="00BD41B7" w:rsidP="00C44A0E">
      <w:pPr>
        <w:numPr>
          <w:ilvl w:val="0"/>
          <w:numId w:val="3"/>
        </w:numPr>
        <w:spacing w:after="120"/>
        <w:jc w:val="both"/>
        <w:outlineLvl w:val="0"/>
        <w:rPr>
          <w:rFonts w:ascii="Times New Roman" w:eastAsia="Calibri" w:hAnsi="Times New Roman" w:cs="Times New Roman"/>
          <w:noProof/>
        </w:rPr>
      </w:pPr>
      <w:r w:rsidRPr="00C44A0E">
        <w:rPr>
          <w:rFonts w:ascii="Times New Roman" w:eastAsia="Calibri" w:hAnsi="Times New Roman" w:cs="Times New Roman"/>
        </w:rPr>
        <w:t>Īpašuma tiesība uz Īpašumu Ādažu pagasta zemesgrāmatas nodalījumā Nr. 100000054560 nostiprināta valsts īpašumu privatizāciju veicošajai institūcijai.</w:t>
      </w:r>
    </w:p>
    <w:p w14:paraId="462ECF54" w14:textId="77777777" w:rsidR="00C44A0E" w:rsidRPr="00C44A0E" w:rsidRDefault="00BD41B7" w:rsidP="00C44A0E">
      <w:pPr>
        <w:numPr>
          <w:ilvl w:val="0"/>
          <w:numId w:val="3"/>
        </w:numPr>
        <w:spacing w:after="120"/>
        <w:ind w:left="357" w:hanging="357"/>
        <w:jc w:val="both"/>
        <w:rPr>
          <w:rFonts w:ascii="Times New Roman" w:eastAsia="Calibri" w:hAnsi="Times New Roman" w:cs="Times New Roman"/>
        </w:rPr>
      </w:pPr>
      <w:r w:rsidRPr="00C44A0E">
        <w:rPr>
          <w:rFonts w:ascii="Times New Roman" w:eastAsia="Calibri" w:hAnsi="Times New Roman" w:cs="Times New Roman"/>
        </w:rPr>
        <w:t xml:space="preserve">Saskaņā ar Ministru kabineta 2019. gada 26. novembra noteikumiem Nr. 557 “Noteikumi par valsts īpašumu privatizāciju veicošās institūcijas pārvaldes uzdevuma deleģēšanu” SIA “Publisko aktīvu pārvaldītājs </w:t>
      </w:r>
      <w:proofErr w:type="spellStart"/>
      <w:r w:rsidRPr="00C44A0E">
        <w:rPr>
          <w:rFonts w:ascii="Times New Roman" w:eastAsia="Calibri" w:hAnsi="Times New Roman" w:cs="Times New Roman"/>
        </w:rPr>
        <w:t>Prossessor</w:t>
      </w:r>
      <w:proofErr w:type="spellEnd"/>
      <w:r w:rsidRPr="00C44A0E">
        <w:rPr>
          <w:rFonts w:ascii="Times New Roman" w:eastAsia="Calibri" w:hAnsi="Times New Roman" w:cs="Times New Roman"/>
        </w:rPr>
        <w:t>” veic valsts īpašumu privatizāciju veicošās institūcijas pienākumus.</w:t>
      </w:r>
    </w:p>
    <w:p w14:paraId="0CD4AC93" w14:textId="77777777" w:rsidR="00C44A0E" w:rsidRPr="00C44A0E" w:rsidRDefault="00BD41B7" w:rsidP="00C44A0E">
      <w:pPr>
        <w:numPr>
          <w:ilvl w:val="0"/>
          <w:numId w:val="3"/>
        </w:numPr>
        <w:tabs>
          <w:tab w:val="left" w:pos="4860"/>
          <w:tab w:val="left" w:leader="underscore" w:pos="8505"/>
        </w:tabs>
        <w:spacing w:after="120"/>
        <w:jc w:val="both"/>
        <w:rPr>
          <w:rFonts w:ascii="Times New Roman" w:eastAsia="Calibri" w:hAnsi="Times New Roman" w:cs="Times New Roman"/>
          <w:noProof/>
        </w:rPr>
      </w:pPr>
      <w:r w:rsidRPr="00C44A0E">
        <w:rPr>
          <w:rFonts w:ascii="Times New Roman" w:eastAsia="Calibri" w:hAnsi="Times New Roman" w:cs="Times New Roman"/>
          <w:noProof/>
        </w:rPr>
        <w:t>Īpašuma apbūvētās zemes vienības, atbilstoši Ādažu novada domes 2018. gada 27. marta saistošo noteikumu Nr.7/2018 „Ādažu novada teritorijas plānojuma grafiskā daļa un teritorijas izmantošanas un apbūves noteikumi” funkcionālā zonējuma kartē noteiktajam, atrodas Jauktas centra apbūves teritorijā (JC1), kur saskaņā ar apbūves noteikumiem rūpnieciskās</w:t>
      </w:r>
      <w:r w:rsidRPr="00C44A0E">
        <w:rPr>
          <w:rFonts w:ascii="Times New Roman" w:eastAsia="Calibri" w:hAnsi="Times New Roman" w:cs="Times New Roman"/>
        </w:rPr>
        <w:t xml:space="preserve"> ražošanas uzņēmumu apbūve nav atļauta.</w:t>
      </w:r>
    </w:p>
    <w:p w14:paraId="55ED3BD3" w14:textId="65AC4909" w:rsidR="00C44A0E" w:rsidRPr="00C44A0E" w:rsidRDefault="00BD41B7" w:rsidP="00C44A0E">
      <w:pPr>
        <w:numPr>
          <w:ilvl w:val="0"/>
          <w:numId w:val="3"/>
        </w:numPr>
        <w:tabs>
          <w:tab w:val="left" w:pos="4860"/>
          <w:tab w:val="left" w:leader="underscore" w:pos="8505"/>
        </w:tabs>
        <w:spacing w:after="120"/>
        <w:jc w:val="both"/>
        <w:rPr>
          <w:rFonts w:ascii="Times New Roman" w:eastAsia="Calibri" w:hAnsi="Times New Roman" w:cs="Times New Roman"/>
          <w:noProof/>
        </w:rPr>
      </w:pPr>
      <w:r w:rsidRPr="00C44A0E">
        <w:rPr>
          <w:rFonts w:ascii="Times New Roman" w:eastAsia="Calibri" w:hAnsi="Times New Roman" w:cs="Times New Roman"/>
        </w:rPr>
        <w:t>Ministru kabineta 2009. gada 18. augusta noteikumu Nr. 946 “Noteikumi par apbūvēta zemesgabala vērtības noteikšanu privatizācijas vajadzībām” (turpmāk – Noteikumi Nr. 946) 2. punkt</w:t>
      </w:r>
      <w:r w:rsidR="006B7E22">
        <w:rPr>
          <w:rFonts w:ascii="Times New Roman" w:eastAsia="Calibri" w:hAnsi="Times New Roman" w:cs="Times New Roman"/>
        </w:rPr>
        <w:t>ā</w:t>
      </w:r>
      <w:r w:rsidRPr="00C44A0E">
        <w:rPr>
          <w:rFonts w:ascii="Times New Roman" w:eastAsia="Calibri" w:hAnsi="Times New Roman" w:cs="Times New Roman"/>
        </w:rPr>
        <w:t xml:space="preserve"> no</w:t>
      </w:r>
      <w:r w:rsidR="006B7E22">
        <w:rPr>
          <w:rFonts w:ascii="Times New Roman" w:eastAsia="Calibri" w:hAnsi="Times New Roman" w:cs="Times New Roman"/>
        </w:rPr>
        <w:t>teikts</w:t>
      </w:r>
      <w:r w:rsidRPr="00C44A0E">
        <w:rPr>
          <w:rFonts w:ascii="Times New Roman" w:eastAsia="Calibri" w:hAnsi="Times New Roman" w:cs="Times New Roman"/>
        </w:rPr>
        <w:t>, ka privatizācijas lietošanas mērķi pēc privatizāciju veicošās institūcijas pieprasījuma nosaka pašvaldība, kuras teritorijā atrodas attiecīgais zemesgabals, pamatojoties uz vietējās pašvaldības teritorijas plānojumā norādīto atļauto zemes izmantošanu.</w:t>
      </w:r>
    </w:p>
    <w:p w14:paraId="091CDEE1" w14:textId="77777777" w:rsidR="00C44A0E" w:rsidRPr="00C44A0E" w:rsidRDefault="00BD41B7" w:rsidP="00C44A0E">
      <w:pPr>
        <w:numPr>
          <w:ilvl w:val="0"/>
          <w:numId w:val="3"/>
        </w:numPr>
        <w:tabs>
          <w:tab w:val="left" w:pos="4860"/>
          <w:tab w:val="left" w:leader="underscore" w:pos="8505"/>
        </w:tabs>
        <w:spacing w:after="120"/>
        <w:jc w:val="both"/>
        <w:rPr>
          <w:rFonts w:ascii="Times New Roman" w:eastAsia="Calibri" w:hAnsi="Times New Roman" w:cs="Times New Roman"/>
          <w:noProof/>
        </w:rPr>
      </w:pPr>
      <w:r w:rsidRPr="00C44A0E">
        <w:rPr>
          <w:rFonts w:ascii="Times New Roman" w:eastAsia="Calibri" w:hAnsi="Times New Roman" w:cs="Times New Roman"/>
        </w:rPr>
        <w:t xml:space="preserve">Noteikumu Nr. 946 6.2. apakšpunkts nosaka, ka, ja pašvaldībā ir stājies spēkā vietējās pašvaldības teritorijas plānojums, kas izstrādāts saskaņā ar Teritorijas plānošanas likumu, </w:t>
      </w:r>
      <w:r w:rsidRPr="00C44A0E">
        <w:rPr>
          <w:rFonts w:ascii="Times New Roman" w:eastAsia="Calibri" w:hAnsi="Times New Roman" w:cs="Times New Roman"/>
        </w:rPr>
        <w:lastRenderedPageBreak/>
        <w:t>un zemesgabala kadastrā reģistrētais lietošanas mērķis</w:t>
      </w:r>
      <w:r w:rsidRPr="00C44A0E">
        <w:rPr>
          <w:rFonts w:ascii="Times New Roman" w:eastAsia="Calibri" w:hAnsi="Times New Roman" w:cs="Times New Roman"/>
          <w:shd w:val="clear" w:color="auto" w:fill="FFFFFF"/>
        </w:rPr>
        <w:t> nesakrīt ar teritorijas plānojumā norādīto atļauto izmantošanu, – par zemesgabala privatizācijas lietošanas mērķi nosaka teritorijas plānojumā norādīto atļauto izmantošanu.</w:t>
      </w:r>
    </w:p>
    <w:p w14:paraId="339F0D52" w14:textId="77777777" w:rsidR="00C44A0E" w:rsidRPr="00C44A0E" w:rsidRDefault="00BD41B7" w:rsidP="00C44A0E">
      <w:pPr>
        <w:numPr>
          <w:ilvl w:val="0"/>
          <w:numId w:val="3"/>
        </w:numPr>
        <w:tabs>
          <w:tab w:val="left" w:pos="4860"/>
          <w:tab w:val="left" w:leader="underscore" w:pos="8505"/>
        </w:tabs>
        <w:spacing w:after="120"/>
        <w:jc w:val="both"/>
        <w:rPr>
          <w:rFonts w:ascii="Times New Roman" w:eastAsia="Calibri" w:hAnsi="Times New Roman" w:cs="Times New Roman"/>
          <w:noProof/>
        </w:rPr>
      </w:pPr>
      <w:r w:rsidRPr="00C44A0E">
        <w:rPr>
          <w:rFonts w:ascii="Times New Roman" w:eastAsia="Calibri" w:hAnsi="Times New Roman" w:cs="Times New Roman"/>
        </w:rPr>
        <w:t xml:space="preserve">Nekustamā īpašuma valsts kadastra informācijas sistēmā (turpmāk – Kadastra reģistrs) Īpašuma zemes vienībām reģistrēts </w:t>
      </w:r>
      <w:r w:rsidRPr="00C44A0E">
        <w:rPr>
          <w:rFonts w:ascii="Times New Roman" w:eastAsia="Calibri" w:hAnsi="Times New Roman" w:cs="Times New Roman"/>
          <w:snapToGrid w:val="0"/>
        </w:rPr>
        <w:t>nekustamā īpašuma lietošanas mērķis:</w:t>
      </w:r>
      <w:r w:rsidRPr="00C44A0E">
        <w:rPr>
          <w:rFonts w:ascii="Times New Roman" w:eastAsia="Calibri" w:hAnsi="Times New Roman" w:cs="Times New Roman"/>
        </w:rPr>
        <w:t xml:space="preserve"> “Rūpnieciskās ražošanas uzņēmumu apbūve”, lietošanas mērķa kods 1001.</w:t>
      </w:r>
    </w:p>
    <w:p w14:paraId="77CEC360" w14:textId="77777777" w:rsidR="00C44A0E" w:rsidRPr="00C44A0E" w:rsidRDefault="00BD41B7" w:rsidP="00C44A0E">
      <w:pPr>
        <w:numPr>
          <w:ilvl w:val="0"/>
          <w:numId w:val="3"/>
        </w:numPr>
        <w:spacing w:after="120"/>
        <w:jc w:val="both"/>
        <w:rPr>
          <w:rFonts w:ascii="Times New Roman" w:eastAsia="Calibri" w:hAnsi="Times New Roman" w:cs="Times New Roman"/>
          <w:noProof/>
        </w:rPr>
      </w:pPr>
      <w:r w:rsidRPr="00C44A0E">
        <w:rPr>
          <w:rFonts w:ascii="Times New Roman" w:eastAsia="Calibri" w:hAnsi="Times New Roman" w:cs="Times New Roman"/>
        </w:rPr>
        <w:t xml:space="preserve">Īpašuma zemes vienībām Kadastra reģistrā noteiktais lietošanas mērķis neatbilst </w:t>
      </w:r>
      <w:r w:rsidRPr="00C44A0E">
        <w:rPr>
          <w:rFonts w:ascii="Times New Roman" w:eastAsia="Calibri" w:hAnsi="Times New Roman" w:cs="Times New Roman"/>
          <w:shd w:val="clear" w:color="auto" w:fill="FFFFFF"/>
        </w:rPr>
        <w:t>teritorijas plānojumā norādītajai atļautajai izmantošanai.</w:t>
      </w:r>
    </w:p>
    <w:p w14:paraId="522A29BE" w14:textId="77777777" w:rsidR="00C44A0E" w:rsidRPr="00C44A0E" w:rsidRDefault="00BD41B7" w:rsidP="00C44A0E">
      <w:pPr>
        <w:numPr>
          <w:ilvl w:val="0"/>
          <w:numId w:val="3"/>
        </w:numPr>
        <w:spacing w:after="120"/>
        <w:jc w:val="both"/>
        <w:rPr>
          <w:rFonts w:ascii="Times New Roman" w:eastAsia="Calibri" w:hAnsi="Times New Roman" w:cs="Times New Roman"/>
          <w:noProof/>
        </w:rPr>
      </w:pPr>
      <w:r w:rsidRPr="00C44A0E">
        <w:rPr>
          <w:rFonts w:ascii="Times New Roman" w:eastAsia="Calibri" w:hAnsi="Times New Roman" w:cs="Times New Roman"/>
        </w:rPr>
        <w:t>Īpašuma zemes vienībām</w:t>
      </w:r>
      <w:r w:rsidRPr="00C44A0E">
        <w:rPr>
          <w:rFonts w:ascii="Times New Roman" w:eastAsia="Calibri" w:hAnsi="Times New Roman" w:cs="Times New Roman"/>
          <w:noProof/>
        </w:rPr>
        <w:t xml:space="preserve"> privatizācijas lietošanas mērķi nosakāmi saskaņā ar Ministru kabineta 2006. gada 20. jūnija noteikumu Nr. 496 “Nekustamā īpašuma lietošanas mērķu klasifikācija un nekustamā īpašuma lietošanas mērķu noteikšanas un maiņas kārtība” 1. pielikumu, atbilstoši pašvaldības </w:t>
      </w:r>
      <w:r w:rsidRPr="00C44A0E">
        <w:rPr>
          <w:rFonts w:ascii="Times New Roman" w:eastAsia="Calibri" w:hAnsi="Times New Roman" w:cs="Times New Roman"/>
          <w:shd w:val="clear" w:color="auto" w:fill="FFFFFF"/>
        </w:rPr>
        <w:t>teritorijas plānojumā norādītajai atļautajai izmantošanai</w:t>
      </w:r>
      <w:r w:rsidRPr="00C44A0E">
        <w:rPr>
          <w:rFonts w:ascii="Times New Roman" w:eastAsia="Calibri" w:hAnsi="Times New Roman" w:cs="Times New Roman"/>
          <w:noProof/>
        </w:rPr>
        <w:t>.</w:t>
      </w:r>
    </w:p>
    <w:p w14:paraId="36903F35" w14:textId="2947499C" w:rsidR="00C44A0E" w:rsidRPr="00C44A0E" w:rsidRDefault="00BD41B7" w:rsidP="00C44A0E">
      <w:pPr>
        <w:numPr>
          <w:ilvl w:val="0"/>
          <w:numId w:val="3"/>
        </w:numPr>
        <w:spacing w:after="120"/>
        <w:ind w:left="357" w:hanging="357"/>
        <w:jc w:val="both"/>
        <w:rPr>
          <w:rFonts w:ascii="Times New Roman" w:eastAsia="Calibri" w:hAnsi="Times New Roman" w:cs="Times New Roman"/>
          <w:noProof/>
        </w:rPr>
      </w:pPr>
      <w:r w:rsidRPr="00C44A0E">
        <w:rPr>
          <w:rFonts w:ascii="Times New Roman" w:eastAsia="Calibri" w:hAnsi="Times New Roman" w:cs="Times New Roman"/>
        </w:rPr>
        <w:t>Noteikumu Nr. 946 10. punkt</w:t>
      </w:r>
      <w:r w:rsidR="006B7E22">
        <w:rPr>
          <w:rFonts w:ascii="Times New Roman" w:eastAsia="Calibri" w:hAnsi="Times New Roman" w:cs="Times New Roman"/>
        </w:rPr>
        <w:t>ā</w:t>
      </w:r>
      <w:r w:rsidRPr="00C44A0E">
        <w:rPr>
          <w:rFonts w:ascii="Times New Roman" w:eastAsia="Calibri" w:hAnsi="Times New Roman" w:cs="Times New Roman"/>
        </w:rPr>
        <w:t xml:space="preserve"> no</w:t>
      </w:r>
      <w:r w:rsidR="006B7E22">
        <w:rPr>
          <w:rFonts w:ascii="Times New Roman" w:eastAsia="Calibri" w:hAnsi="Times New Roman" w:cs="Times New Roman"/>
        </w:rPr>
        <w:t>teikts</w:t>
      </w:r>
      <w:r w:rsidRPr="00C44A0E">
        <w:rPr>
          <w:rFonts w:ascii="Times New Roman" w:eastAsia="Calibri" w:hAnsi="Times New Roman" w:cs="Times New Roman"/>
        </w:rPr>
        <w:t>, ka, ja</w:t>
      </w:r>
      <w:r w:rsidRPr="00C44A0E">
        <w:rPr>
          <w:rFonts w:ascii="Times New Roman" w:eastAsia="Calibri" w:hAnsi="Times New Roman" w:cs="Times New Roman"/>
          <w:shd w:val="clear" w:color="auto" w:fill="FFFFFF"/>
        </w:rPr>
        <w:t xml:space="preserve"> par zemesgabala privatizācijas lietošanas mērķi nenosaka kadastrā reģistrēto lietošanas mērķi, pašvaldība mēneša laikā zemesgabalam nosaka privatizācijas lietošanas mērķi, sagatavo attiecīgu izziņu un </w:t>
      </w:r>
      <w:proofErr w:type="spellStart"/>
      <w:r w:rsidRPr="00C44A0E">
        <w:rPr>
          <w:rFonts w:ascii="Times New Roman" w:eastAsia="Calibri" w:hAnsi="Times New Roman" w:cs="Times New Roman"/>
          <w:shd w:val="clear" w:color="auto" w:fill="FFFFFF"/>
        </w:rPr>
        <w:t>nosūta</w:t>
      </w:r>
      <w:proofErr w:type="spellEnd"/>
      <w:r w:rsidRPr="00C44A0E">
        <w:rPr>
          <w:rFonts w:ascii="Times New Roman" w:eastAsia="Calibri" w:hAnsi="Times New Roman" w:cs="Times New Roman"/>
          <w:shd w:val="clear" w:color="auto" w:fill="FFFFFF"/>
        </w:rPr>
        <w:t xml:space="preserve"> to privatizāciju veicošajai institūcijai.</w:t>
      </w:r>
    </w:p>
    <w:p w14:paraId="639C4E39" w14:textId="56D59E48" w:rsidR="00564CA6" w:rsidRPr="00564CA6" w:rsidRDefault="00BD41B7" w:rsidP="00C44A0E">
      <w:pPr>
        <w:spacing w:after="120"/>
        <w:jc w:val="both"/>
        <w:rPr>
          <w:rFonts w:ascii="Times New Roman" w:hAnsi="Times New Roman" w:cs="Times New Roman"/>
        </w:rPr>
      </w:pPr>
      <w:r w:rsidRPr="00C44A0E">
        <w:rPr>
          <w:rFonts w:ascii="Times New Roman" w:eastAsia="Calibri" w:hAnsi="Times New Roman" w:cs="Times New Roman"/>
          <w:bCs/>
        </w:rPr>
        <w:t xml:space="preserve">Pamatojoties uz </w:t>
      </w:r>
      <w:r w:rsidRPr="00C44A0E">
        <w:rPr>
          <w:rFonts w:ascii="Times New Roman" w:eastAsia="Calibri" w:hAnsi="Times New Roman" w:cs="Times New Roman"/>
        </w:rPr>
        <w:t xml:space="preserve">Ministru kabineta 2009. gada 18. augusta noteikumu Nr. 946 “Noteikumi par apbūvēta zemesgabala vērtības noteikšanu privatizācijas </w:t>
      </w:r>
      <w:r w:rsidRPr="00C44A0E">
        <w:rPr>
          <w:rFonts w:ascii="Times New Roman" w:eastAsia="Calibri" w:hAnsi="Times New Roman" w:cs="Times New Roman"/>
        </w:rPr>
        <w:t>vajadzībām” 2. punktu un 6.2. apakšpunktu,</w:t>
      </w:r>
      <w:r w:rsidRPr="00C44A0E">
        <w:rPr>
          <w:rFonts w:ascii="Times New Roman" w:eastAsia="Calibri" w:hAnsi="Times New Roman" w:cs="Times New Roman"/>
          <w:bCs/>
        </w:rPr>
        <w:t xml:space="preserve"> Ministru kabineta 2006. gada 20. jūnija noteikumu Nr. 496 “Nekustamā īpašuma lietošanas mērķu klasifikācija un nekustamā īpašuma lietošanas mērķu noteikšanas un maiņas  kārtība” 1. pielikumu,</w:t>
      </w:r>
      <w:r w:rsidRPr="00C44A0E">
        <w:rPr>
          <w:rFonts w:ascii="Times New Roman" w:eastAsia="Calibri" w:hAnsi="Times New Roman" w:cs="Times New Roman"/>
          <w:noProof/>
        </w:rPr>
        <w:t xml:space="preserve"> Ādažu novada domes 2018. gada 27. marta saistošo noteikumu Nr. 7/2018 „Ādažu novada teritorijas plānojuma grafiskā daļa un teritorijas izmantošanas un apbūves noteikumi” funkcionālā zonējuma kartē noteikto,</w:t>
      </w:r>
      <w:r w:rsidRPr="00C44A0E">
        <w:rPr>
          <w:rFonts w:ascii="Times New Roman" w:eastAsia="Calibri" w:hAnsi="Times New Roman" w:cs="Times New Roman"/>
          <w:bCs/>
        </w:rPr>
        <w:t xml:space="preserve"> un saskaņā ar domes </w:t>
      </w:r>
      <w:r w:rsidRPr="00C44A0E">
        <w:rPr>
          <w:rFonts w:ascii="Times New Roman" w:eastAsia="Calibri" w:hAnsi="Times New Roman" w:cs="Times New Roman"/>
        </w:rPr>
        <w:t>Attīstības komitejas 12.03.2025.</w:t>
      </w:r>
      <w:r w:rsidRPr="00C44A0E">
        <w:rPr>
          <w:rFonts w:ascii="Times New Roman" w:eastAsia="Calibri" w:hAnsi="Times New Roman" w:cs="Times New Roman"/>
          <w:bCs/>
        </w:rPr>
        <w:t xml:space="preserve"> atzinumu, Ādažu n</w:t>
      </w:r>
      <w:r w:rsidRPr="00C44A0E">
        <w:rPr>
          <w:rFonts w:ascii="Times New Roman" w:eastAsia="Calibri" w:hAnsi="Times New Roman" w:cs="Times New Roman"/>
          <w:bCs/>
        </w:rPr>
        <w:t>ovada pašvaldības dome</w:t>
      </w:r>
    </w:p>
    <w:p w14:paraId="7E71C6D5" w14:textId="77777777" w:rsidR="00564CA6" w:rsidRPr="00564CA6" w:rsidRDefault="00BD41B7" w:rsidP="00BB16A4">
      <w:pPr>
        <w:spacing w:after="120"/>
        <w:jc w:val="center"/>
        <w:rPr>
          <w:rFonts w:ascii="Times New Roman" w:hAnsi="Times New Roman" w:cs="Times New Roman"/>
          <w:b/>
        </w:rPr>
      </w:pPr>
      <w:r w:rsidRPr="00564CA6">
        <w:rPr>
          <w:rFonts w:ascii="Times New Roman" w:hAnsi="Times New Roman" w:cs="Times New Roman"/>
          <w:b/>
        </w:rPr>
        <w:t>NOLEMJ:</w:t>
      </w:r>
    </w:p>
    <w:p w14:paraId="4AECC3C0" w14:textId="15BBB93C" w:rsidR="00C44A0E" w:rsidRPr="00C44A0E" w:rsidRDefault="00BD41B7" w:rsidP="00C44A0E">
      <w:pPr>
        <w:numPr>
          <w:ilvl w:val="0"/>
          <w:numId w:val="5"/>
        </w:numPr>
        <w:spacing w:after="120"/>
        <w:ind w:left="284" w:hanging="284"/>
        <w:jc w:val="both"/>
        <w:rPr>
          <w:rFonts w:ascii="Times New Roman" w:eastAsia="Calibri" w:hAnsi="Times New Roman" w:cs="Times New Roman"/>
          <w:noProof/>
        </w:rPr>
      </w:pPr>
      <w:r w:rsidRPr="00C44A0E">
        <w:rPr>
          <w:rFonts w:ascii="Times New Roman" w:eastAsia="Calibri" w:hAnsi="Times New Roman" w:cs="Times New Roman"/>
        </w:rPr>
        <w:t>Noteikt nekustamā īpašuma “</w:t>
      </w:r>
      <w:proofErr w:type="spellStart"/>
      <w:r w:rsidRPr="00C44A0E">
        <w:rPr>
          <w:rFonts w:ascii="Times New Roman" w:eastAsia="Calibri" w:hAnsi="Times New Roman" w:cs="Times New Roman"/>
        </w:rPr>
        <w:t>Jaunieļi</w:t>
      </w:r>
      <w:proofErr w:type="spellEnd"/>
      <w:r w:rsidRPr="00C44A0E">
        <w:rPr>
          <w:rFonts w:ascii="Times New Roman" w:eastAsia="Calibri" w:hAnsi="Times New Roman" w:cs="Times New Roman"/>
        </w:rPr>
        <w:t xml:space="preserve">”, </w:t>
      </w:r>
      <w:proofErr w:type="spellStart"/>
      <w:r w:rsidRPr="00C44A0E">
        <w:rPr>
          <w:rFonts w:ascii="Times New Roman" w:eastAsia="Calibri" w:hAnsi="Times New Roman" w:cs="Times New Roman"/>
        </w:rPr>
        <w:t>Kadagā</w:t>
      </w:r>
      <w:proofErr w:type="spellEnd"/>
      <w:r w:rsidRPr="00C44A0E">
        <w:rPr>
          <w:rFonts w:ascii="Times New Roman" w:eastAsia="Calibri" w:hAnsi="Times New Roman" w:cs="Times New Roman"/>
        </w:rPr>
        <w:t>, Ādažu pagastā, Ādažu novadā, zemes vienībām</w:t>
      </w:r>
      <w:r w:rsidRPr="00C44A0E">
        <w:rPr>
          <w:rFonts w:ascii="Times New Roman" w:eastAsia="Calibri" w:hAnsi="Times New Roman" w:cs="Times New Roman"/>
          <w:noProof/>
        </w:rPr>
        <w:t xml:space="preserve"> šādus lietošanas mērķus</w:t>
      </w:r>
      <w:r w:rsidR="006B7E22">
        <w:rPr>
          <w:rFonts w:ascii="Times New Roman" w:eastAsia="Calibri" w:hAnsi="Times New Roman" w:cs="Times New Roman"/>
          <w:noProof/>
        </w:rPr>
        <w:t xml:space="preserve"> privatizācijai</w:t>
      </w:r>
      <w:r w:rsidRPr="00C44A0E">
        <w:rPr>
          <w:rFonts w:ascii="Times New Roman" w:eastAsia="Calibri" w:hAnsi="Times New Roman" w:cs="Times New Roman"/>
          <w:noProof/>
        </w:rPr>
        <w:t>:</w:t>
      </w:r>
    </w:p>
    <w:p w14:paraId="781E73F7" w14:textId="77777777" w:rsidR="00C44A0E" w:rsidRPr="00C44A0E" w:rsidRDefault="00BD41B7" w:rsidP="00C44A0E">
      <w:pPr>
        <w:numPr>
          <w:ilvl w:val="1"/>
          <w:numId w:val="5"/>
        </w:numPr>
        <w:spacing w:after="120"/>
        <w:ind w:left="1077" w:hanging="357"/>
        <w:jc w:val="both"/>
        <w:rPr>
          <w:rFonts w:ascii="Times New Roman" w:eastAsia="Calibri" w:hAnsi="Times New Roman" w:cs="Times New Roman"/>
          <w:b/>
          <w:i/>
        </w:rPr>
      </w:pPr>
      <w:r w:rsidRPr="00C44A0E">
        <w:rPr>
          <w:rFonts w:ascii="Times New Roman" w:eastAsia="Calibri" w:hAnsi="Times New Roman" w:cs="Times New Roman"/>
        </w:rPr>
        <w:t xml:space="preserve">zemes vienībai 4,1795 ha platībā ar kadastra apzīmējumu 80440050055 un adresi Austrumu iela </w:t>
      </w:r>
      <w:r w:rsidRPr="00C44A0E">
        <w:rPr>
          <w:rFonts w:ascii="Times New Roman" w:eastAsia="Calibri" w:hAnsi="Times New Roman" w:cs="Times New Roman"/>
        </w:rPr>
        <w:t xml:space="preserve">20, </w:t>
      </w:r>
      <w:proofErr w:type="spellStart"/>
      <w:r w:rsidRPr="00C44A0E">
        <w:rPr>
          <w:rFonts w:ascii="Times New Roman" w:eastAsia="Calibri" w:hAnsi="Times New Roman" w:cs="Times New Roman"/>
        </w:rPr>
        <w:t>Kadaga</w:t>
      </w:r>
      <w:proofErr w:type="spellEnd"/>
      <w:r w:rsidRPr="00C44A0E">
        <w:rPr>
          <w:rFonts w:ascii="Times New Roman" w:eastAsia="Calibri" w:hAnsi="Times New Roman" w:cs="Times New Roman"/>
        </w:rPr>
        <w:t>, Ādažu pag., Ādažu nov.:</w:t>
      </w:r>
    </w:p>
    <w:p w14:paraId="4353B50E" w14:textId="77777777" w:rsidR="00C44A0E" w:rsidRPr="00C44A0E" w:rsidRDefault="00BD41B7" w:rsidP="00C44A0E">
      <w:pPr>
        <w:numPr>
          <w:ilvl w:val="2"/>
          <w:numId w:val="5"/>
        </w:numPr>
        <w:spacing w:after="120"/>
        <w:ind w:left="1797"/>
        <w:jc w:val="both"/>
        <w:rPr>
          <w:rFonts w:ascii="Times New Roman" w:eastAsia="Calibri" w:hAnsi="Times New Roman" w:cs="Times New Roman"/>
          <w:b/>
          <w:i/>
        </w:rPr>
      </w:pPr>
      <w:r w:rsidRPr="00C44A0E">
        <w:rPr>
          <w:rFonts w:ascii="Times New Roman" w:eastAsia="Calibri" w:hAnsi="Times New Roman" w:cs="Times New Roman"/>
        </w:rPr>
        <w:t xml:space="preserve">lietošanas mērķi privatizācijai – </w:t>
      </w:r>
      <w:r w:rsidRPr="00C44A0E">
        <w:rPr>
          <w:rFonts w:ascii="Times New Roman" w:eastAsia="Calibri" w:hAnsi="Times New Roman" w:cs="Times New Roman"/>
          <w:bdr w:val="none" w:sz="0" w:space="0" w:color="auto" w:frame="1"/>
          <w:shd w:val="clear" w:color="auto" w:fill="FFFFFF"/>
        </w:rPr>
        <w:t xml:space="preserve">“Komercdarbības objektu apbūve” </w:t>
      </w:r>
      <w:r w:rsidRPr="00C44A0E">
        <w:rPr>
          <w:rFonts w:ascii="Times New Roman" w:eastAsia="Calibri" w:hAnsi="Times New Roman" w:cs="Times New Roman"/>
        </w:rPr>
        <w:t xml:space="preserve">(kods 0801) 2,6057 ha platībā, </w:t>
      </w:r>
    </w:p>
    <w:p w14:paraId="7D55AA55" w14:textId="77777777" w:rsidR="00C44A0E" w:rsidRPr="00C44A0E" w:rsidRDefault="00BD41B7" w:rsidP="00C44A0E">
      <w:pPr>
        <w:numPr>
          <w:ilvl w:val="2"/>
          <w:numId w:val="5"/>
        </w:numPr>
        <w:spacing w:after="120"/>
        <w:ind w:left="1797"/>
        <w:jc w:val="both"/>
        <w:rPr>
          <w:rFonts w:ascii="Times New Roman" w:eastAsia="Calibri" w:hAnsi="Times New Roman" w:cs="Times New Roman"/>
          <w:b/>
          <w:i/>
        </w:rPr>
      </w:pPr>
      <w:r w:rsidRPr="00C44A0E">
        <w:rPr>
          <w:rFonts w:ascii="Times New Roman" w:eastAsia="Calibri" w:hAnsi="Times New Roman" w:cs="Times New Roman"/>
        </w:rPr>
        <w:t>lietošanas mērķi privatizācijai – “Pārējo sabiedriskās nozīmes objektu apbūve” (kods 0908) 1,5738 ha platībā;</w:t>
      </w:r>
    </w:p>
    <w:p w14:paraId="5A746D52" w14:textId="77777777" w:rsidR="00C44A0E" w:rsidRPr="00C44A0E" w:rsidRDefault="00BD41B7" w:rsidP="00C44A0E">
      <w:pPr>
        <w:numPr>
          <w:ilvl w:val="1"/>
          <w:numId w:val="5"/>
        </w:numPr>
        <w:spacing w:after="120"/>
        <w:ind w:left="1077" w:hanging="357"/>
        <w:jc w:val="both"/>
        <w:rPr>
          <w:rFonts w:ascii="Times New Roman" w:eastAsia="Calibri" w:hAnsi="Times New Roman" w:cs="Times New Roman"/>
        </w:rPr>
      </w:pPr>
      <w:r w:rsidRPr="00C44A0E">
        <w:rPr>
          <w:rFonts w:ascii="Times New Roman" w:eastAsia="Calibri" w:hAnsi="Times New Roman" w:cs="Times New Roman"/>
        </w:rPr>
        <w:t xml:space="preserve">zemes vienībai 0,0299 ha platībā ar kadastra apzīmējumu 80440050126 bez adreses - </w:t>
      </w:r>
      <w:r w:rsidRPr="00C44A0E">
        <w:rPr>
          <w:rFonts w:ascii="Times New Roman" w:eastAsia="Calibri" w:hAnsi="Times New Roman" w:cs="Times New Roman"/>
          <w:bdr w:val="none" w:sz="0" w:space="0" w:color="auto" w:frame="1"/>
          <w:shd w:val="clear" w:color="auto" w:fill="FFFFFF"/>
        </w:rPr>
        <w:t xml:space="preserve">“Komercdarbības objektu apbūve” </w:t>
      </w:r>
      <w:r w:rsidRPr="00C44A0E">
        <w:rPr>
          <w:rFonts w:ascii="Times New Roman" w:eastAsia="Calibri" w:hAnsi="Times New Roman" w:cs="Times New Roman"/>
        </w:rPr>
        <w:t>(kods 0801) visā tās platībā.</w:t>
      </w:r>
    </w:p>
    <w:p w14:paraId="3F92D91A" w14:textId="3A361D2E" w:rsidR="00C44A0E" w:rsidRPr="00C44A0E" w:rsidRDefault="00BD41B7" w:rsidP="00C44A0E">
      <w:pPr>
        <w:spacing w:after="120"/>
        <w:ind w:left="284" w:hanging="284"/>
        <w:jc w:val="both"/>
        <w:rPr>
          <w:rFonts w:ascii="Times New Roman" w:eastAsia="Calibri" w:hAnsi="Times New Roman" w:cs="Times New Roman"/>
          <w:bCs/>
          <w:iCs/>
        </w:rPr>
      </w:pPr>
      <w:r w:rsidRPr="00C44A0E">
        <w:rPr>
          <w:rFonts w:ascii="Times New Roman" w:eastAsia="Calibri" w:hAnsi="Times New Roman" w:cs="Times New Roman"/>
          <w:bCs/>
          <w:iCs/>
        </w:rPr>
        <w:t xml:space="preserve">2. </w:t>
      </w:r>
      <w:r w:rsidRPr="00C44A0E">
        <w:rPr>
          <w:rFonts w:ascii="Times New Roman" w:eastAsia="Calibri" w:hAnsi="Times New Roman" w:cs="Times New Roman"/>
        </w:rPr>
        <w:t>Pašvaldības Centrālās pārvaldes Teritorijas plānošanas nodaļai sagatavot normatīvajos aktos noteiktās izziņas</w:t>
      </w:r>
      <w:r w:rsidRPr="00C44A0E">
        <w:rPr>
          <w:rFonts w:ascii="Times New Roman" w:eastAsia="Calibri" w:hAnsi="Times New Roman" w:cs="Times New Roman"/>
          <w:shd w:val="clear" w:color="auto" w:fill="FFFFFF"/>
        </w:rPr>
        <w:t xml:space="preserve"> par 1. punktā noteiktajām zemes vienībām nosūtīšan</w:t>
      </w:r>
      <w:r w:rsidR="006B7E22">
        <w:rPr>
          <w:rFonts w:ascii="Times New Roman" w:eastAsia="Calibri" w:hAnsi="Times New Roman" w:cs="Times New Roman"/>
          <w:shd w:val="clear" w:color="auto" w:fill="FFFFFF"/>
        </w:rPr>
        <w:t>ai</w:t>
      </w:r>
      <w:r w:rsidRPr="00C44A0E">
        <w:rPr>
          <w:rFonts w:ascii="Times New Roman" w:eastAsia="Calibri" w:hAnsi="Times New Roman" w:cs="Times New Roman"/>
          <w:shd w:val="clear" w:color="auto" w:fill="FFFFFF"/>
        </w:rPr>
        <w:t xml:space="preserve"> </w:t>
      </w:r>
      <w:r w:rsidRPr="00C44A0E">
        <w:rPr>
          <w:rFonts w:ascii="Times New Roman" w:eastAsia="Calibri" w:hAnsi="Times New Roman" w:cs="Times New Roman"/>
        </w:rPr>
        <w:t xml:space="preserve">SIA “Publisko aktīvu pārvaldītājs </w:t>
      </w:r>
      <w:proofErr w:type="spellStart"/>
      <w:r w:rsidRPr="00C44A0E">
        <w:rPr>
          <w:rFonts w:ascii="Times New Roman" w:eastAsia="Calibri" w:hAnsi="Times New Roman" w:cs="Times New Roman"/>
        </w:rPr>
        <w:t>Prossessor</w:t>
      </w:r>
      <w:proofErr w:type="spellEnd"/>
      <w:r w:rsidRPr="00C44A0E">
        <w:rPr>
          <w:rFonts w:ascii="Times New Roman" w:eastAsia="Calibri" w:hAnsi="Times New Roman" w:cs="Times New Roman"/>
        </w:rPr>
        <w:t>” uz e-adresi</w:t>
      </w:r>
      <w:r w:rsidRPr="00C44A0E">
        <w:rPr>
          <w:rFonts w:ascii="Times New Roman" w:eastAsia="Calibri" w:hAnsi="Times New Roman" w:cs="Times New Roman"/>
          <w:shd w:val="clear" w:color="auto" w:fill="FFFFFF"/>
        </w:rPr>
        <w:t>.</w:t>
      </w:r>
    </w:p>
    <w:p w14:paraId="7F9F8D03" w14:textId="77777777" w:rsidR="00C44A0E" w:rsidRPr="00C44A0E" w:rsidRDefault="00BD41B7" w:rsidP="00C44A0E">
      <w:pPr>
        <w:numPr>
          <w:ilvl w:val="0"/>
          <w:numId w:val="4"/>
        </w:numPr>
        <w:suppressAutoHyphens/>
        <w:spacing w:after="120"/>
        <w:ind w:left="284" w:hanging="284"/>
        <w:jc w:val="both"/>
        <w:rPr>
          <w:rFonts w:ascii="Times New Roman" w:eastAsia="Calibri" w:hAnsi="Times New Roman" w:cs="Times New Roman"/>
        </w:rPr>
      </w:pPr>
      <w:r w:rsidRPr="00C44A0E">
        <w:rPr>
          <w:rFonts w:ascii="Times New Roman" w:eastAsia="Calibri" w:hAnsi="Times New Roman" w:cs="Times New Roman"/>
        </w:rPr>
        <w:t>Lēmumu var pārsūdzēt Administratīvajā rajona tiesā, Baldones ielā 1A, Rīgā, viena mēneša laikā no tā spēkā stāšanās dienas (paziņošanas dienas adresātam).</w:t>
      </w:r>
    </w:p>
    <w:p w14:paraId="7FFC9A6B" w14:textId="784162F1" w:rsidR="00564CA6" w:rsidRPr="00C44A0E" w:rsidRDefault="00BD41B7" w:rsidP="00C44A0E">
      <w:pPr>
        <w:pStyle w:val="ListParagraph"/>
        <w:numPr>
          <w:ilvl w:val="0"/>
          <w:numId w:val="4"/>
        </w:numPr>
        <w:tabs>
          <w:tab w:val="left" w:pos="426"/>
        </w:tabs>
        <w:ind w:left="284" w:hanging="284"/>
        <w:jc w:val="both"/>
        <w:rPr>
          <w:rFonts w:ascii="Times New Roman" w:hAnsi="Times New Roman" w:cs="Times New Roman"/>
          <w:color w:val="FF0000"/>
        </w:rPr>
      </w:pPr>
      <w:r w:rsidRPr="00C44A0E">
        <w:rPr>
          <w:rFonts w:ascii="Times New Roman" w:eastAsia="Calibri" w:hAnsi="Times New Roman" w:cs="Times New Roman"/>
        </w:rPr>
        <w:t>Lēmuma izpildes kontroli veic pašvaldības izpilddirektora vietniece.</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3EE40704" w14:textId="12C84266" w:rsidR="00564CA6" w:rsidRDefault="00BD41B7" w:rsidP="00BD41B7">
      <w:pPr>
        <w:spacing w:after="120"/>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6955A864" w14:textId="196814B5" w:rsidR="00564CA6" w:rsidRPr="00B47C10" w:rsidRDefault="00BD41B7" w:rsidP="00BD41B7">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009DF" w14:textId="77777777" w:rsidR="00BD41B7" w:rsidRDefault="00BD41B7">
      <w:r>
        <w:separator/>
      </w:r>
    </w:p>
  </w:endnote>
  <w:endnote w:type="continuationSeparator" w:id="0">
    <w:p w14:paraId="50E5C67B" w14:textId="77777777" w:rsidR="00BD41B7" w:rsidRDefault="00BD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716129"/>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BD41B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B521B" w14:textId="77777777" w:rsidR="00BD41B7" w:rsidRDefault="00BD41B7">
      <w:r>
        <w:separator/>
      </w:r>
    </w:p>
  </w:footnote>
  <w:footnote w:type="continuationSeparator" w:id="0">
    <w:p w14:paraId="1F51AFB5" w14:textId="77777777" w:rsidR="00BD41B7" w:rsidRDefault="00BD4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929CF632">
      <w:start w:val="1"/>
      <w:numFmt w:val="decimal"/>
      <w:lvlText w:val="%1."/>
      <w:lvlJc w:val="left"/>
      <w:pPr>
        <w:ind w:left="720" w:hanging="360"/>
      </w:pPr>
      <w:rPr>
        <w:rFonts w:hint="default"/>
      </w:rPr>
    </w:lvl>
    <w:lvl w:ilvl="1" w:tplc="7D12BF24" w:tentative="1">
      <w:start w:val="1"/>
      <w:numFmt w:val="lowerLetter"/>
      <w:lvlText w:val="%2."/>
      <w:lvlJc w:val="left"/>
      <w:pPr>
        <w:ind w:left="1440" w:hanging="360"/>
      </w:pPr>
    </w:lvl>
    <w:lvl w:ilvl="2" w:tplc="467EA74E" w:tentative="1">
      <w:start w:val="1"/>
      <w:numFmt w:val="lowerRoman"/>
      <w:lvlText w:val="%3."/>
      <w:lvlJc w:val="right"/>
      <w:pPr>
        <w:ind w:left="2160" w:hanging="180"/>
      </w:pPr>
    </w:lvl>
    <w:lvl w:ilvl="3" w:tplc="C512F98C" w:tentative="1">
      <w:start w:val="1"/>
      <w:numFmt w:val="decimal"/>
      <w:lvlText w:val="%4."/>
      <w:lvlJc w:val="left"/>
      <w:pPr>
        <w:ind w:left="2880" w:hanging="360"/>
      </w:pPr>
    </w:lvl>
    <w:lvl w:ilvl="4" w:tplc="F33E316A" w:tentative="1">
      <w:start w:val="1"/>
      <w:numFmt w:val="lowerLetter"/>
      <w:lvlText w:val="%5."/>
      <w:lvlJc w:val="left"/>
      <w:pPr>
        <w:ind w:left="3600" w:hanging="360"/>
      </w:pPr>
    </w:lvl>
    <w:lvl w:ilvl="5" w:tplc="23FA8ADC" w:tentative="1">
      <w:start w:val="1"/>
      <w:numFmt w:val="lowerRoman"/>
      <w:lvlText w:val="%6."/>
      <w:lvlJc w:val="right"/>
      <w:pPr>
        <w:ind w:left="4320" w:hanging="180"/>
      </w:pPr>
    </w:lvl>
    <w:lvl w:ilvl="6" w:tplc="7F4C217E" w:tentative="1">
      <w:start w:val="1"/>
      <w:numFmt w:val="decimal"/>
      <w:lvlText w:val="%7."/>
      <w:lvlJc w:val="left"/>
      <w:pPr>
        <w:ind w:left="5040" w:hanging="360"/>
      </w:pPr>
    </w:lvl>
    <w:lvl w:ilvl="7" w:tplc="42C04B7C" w:tentative="1">
      <w:start w:val="1"/>
      <w:numFmt w:val="lowerLetter"/>
      <w:lvlText w:val="%8."/>
      <w:lvlJc w:val="left"/>
      <w:pPr>
        <w:ind w:left="5760" w:hanging="360"/>
      </w:pPr>
    </w:lvl>
    <w:lvl w:ilvl="8" w:tplc="3B661426" w:tentative="1">
      <w:start w:val="1"/>
      <w:numFmt w:val="lowerRoman"/>
      <w:lvlText w:val="%9."/>
      <w:lvlJc w:val="right"/>
      <w:pPr>
        <w:ind w:left="6480" w:hanging="180"/>
      </w:pPr>
    </w:lvl>
  </w:abstractNum>
  <w:abstractNum w:abstractNumId="1" w15:restartNumberingAfterBreak="0">
    <w:nsid w:val="29D4759C"/>
    <w:multiLevelType w:val="hybridMultilevel"/>
    <w:tmpl w:val="F6860E58"/>
    <w:lvl w:ilvl="0" w:tplc="CF22C508">
      <w:start w:val="1"/>
      <w:numFmt w:val="decimal"/>
      <w:lvlText w:val="%1."/>
      <w:lvlJc w:val="left"/>
      <w:pPr>
        <w:ind w:left="360" w:hanging="360"/>
      </w:pPr>
      <w:rPr>
        <w:rFonts w:ascii="Times New Roman" w:eastAsia="Times New Roman" w:hAnsi="Times New Roman" w:cs="Times New Roman"/>
      </w:rPr>
    </w:lvl>
    <w:lvl w:ilvl="1" w:tplc="61C425DA">
      <w:start w:val="1"/>
      <w:numFmt w:val="lowerLetter"/>
      <w:lvlText w:val="%2)"/>
      <w:lvlJc w:val="left"/>
      <w:pPr>
        <w:ind w:left="1080" w:hanging="360"/>
      </w:pPr>
      <w:rPr>
        <w:rFonts w:ascii="Times New Roman" w:eastAsia="Times New Roman" w:hAnsi="Times New Roman" w:cs="Times New Roman"/>
      </w:rPr>
    </w:lvl>
    <w:lvl w:ilvl="2" w:tplc="721AC704">
      <w:start w:val="1"/>
      <w:numFmt w:val="lowerRoman"/>
      <w:lvlText w:val="%3."/>
      <w:lvlJc w:val="right"/>
      <w:pPr>
        <w:ind w:left="1800" w:hanging="180"/>
      </w:pPr>
    </w:lvl>
    <w:lvl w:ilvl="3" w:tplc="665C3902">
      <w:start w:val="1"/>
      <w:numFmt w:val="decimal"/>
      <w:lvlText w:val="%4."/>
      <w:lvlJc w:val="left"/>
      <w:pPr>
        <w:ind w:left="2520" w:hanging="360"/>
      </w:pPr>
    </w:lvl>
    <w:lvl w:ilvl="4" w:tplc="5896076A">
      <w:start w:val="1"/>
      <w:numFmt w:val="lowerLetter"/>
      <w:lvlText w:val="%5."/>
      <w:lvlJc w:val="left"/>
      <w:pPr>
        <w:ind w:left="3240" w:hanging="360"/>
      </w:pPr>
    </w:lvl>
    <w:lvl w:ilvl="5" w:tplc="B748B5F4">
      <w:start w:val="1"/>
      <w:numFmt w:val="lowerRoman"/>
      <w:lvlText w:val="%6."/>
      <w:lvlJc w:val="right"/>
      <w:pPr>
        <w:ind w:left="3960" w:hanging="180"/>
      </w:pPr>
    </w:lvl>
    <w:lvl w:ilvl="6" w:tplc="C9CE8B00">
      <w:start w:val="1"/>
      <w:numFmt w:val="decimal"/>
      <w:lvlText w:val="%7."/>
      <w:lvlJc w:val="left"/>
      <w:pPr>
        <w:ind w:left="4680" w:hanging="360"/>
      </w:pPr>
    </w:lvl>
    <w:lvl w:ilvl="7" w:tplc="22A6C084">
      <w:start w:val="1"/>
      <w:numFmt w:val="lowerLetter"/>
      <w:lvlText w:val="%8."/>
      <w:lvlJc w:val="left"/>
      <w:pPr>
        <w:ind w:left="5400" w:hanging="360"/>
      </w:pPr>
    </w:lvl>
    <w:lvl w:ilvl="8" w:tplc="0D060D50">
      <w:start w:val="1"/>
      <w:numFmt w:val="lowerRoman"/>
      <w:lvlText w:val="%9."/>
      <w:lvlJc w:val="right"/>
      <w:pPr>
        <w:ind w:left="6120" w:hanging="180"/>
      </w:pPr>
    </w:lvl>
  </w:abstractNum>
  <w:abstractNum w:abstractNumId="2" w15:restartNumberingAfterBreak="0">
    <w:nsid w:val="3C3A2AC9"/>
    <w:multiLevelType w:val="multilevel"/>
    <w:tmpl w:val="781C6F84"/>
    <w:lvl w:ilvl="0">
      <w:start w:val="1"/>
      <w:numFmt w:val="decimal"/>
      <w:lvlText w:val="%1."/>
      <w:lvlJc w:val="left"/>
      <w:pPr>
        <w:ind w:left="720" w:hanging="360"/>
      </w:pPr>
      <w:rPr>
        <w:rFonts w:ascii="Times New Roman" w:eastAsia="Calibri" w:hAnsi="Times New Roman" w:cs="Times New Roman"/>
        <w:b w:val="0"/>
        <w:bCs/>
        <w:i w:val="0"/>
        <w:iCs/>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b w:val="0"/>
        <w:i w:val="0"/>
      </w:rPr>
    </w:lvl>
    <w:lvl w:ilvl="4">
      <w:start w:val="1"/>
      <w:numFmt w:val="decimal"/>
      <w:isLgl/>
      <w:lvlText w:val="%1.%2.%3.%4.%5."/>
      <w:lvlJc w:val="left"/>
      <w:pPr>
        <w:ind w:left="2880" w:hanging="1080"/>
      </w:pPr>
      <w:rPr>
        <w:rFonts w:hint="default"/>
        <w:b w:val="0"/>
        <w:i w:val="0"/>
      </w:rPr>
    </w:lvl>
    <w:lvl w:ilvl="5">
      <w:start w:val="1"/>
      <w:numFmt w:val="decimal"/>
      <w:isLgl/>
      <w:lvlText w:val="%1.%2.%3.%4.%5.%6."/>
      <w:lvlJc w:val="left"/>
      <w:pPr>
        <w:ind w:left="3240" w:hanging="1080"/>
      </w:pPr>
      <w:rPr>
        <w:rFonts w:hint="default"/>
        <w:b w:val="0"/>
        <w:i w:val="0"/>
      </w:rPr>
    </w:lvl>
    <w:lvl w:ilvl="6">
      <w:start w:val="1"/>
      <w:numFmt w:val="decimal"/>
      <w:isLgl/>
      <w:lvlText w:val="%1.%2.%3.%4.%5.%6.%7."/>
      <w:lvlJc w:val="left"/>
      <w:pPr>
        <w:ind w:left="3960" w:hanging="1440"/>
      </w:pPr>
      <w:rPr>
        <w:rFonts w:hint="default"/>
        <w:b w:val="0"/>
        <w:i w:val="0"/>
      </w:rPr>
    </w:lvl>
    <w:lvl w:ilvl="7">
      <w:start w:val="1"/>
      <w:numFmt w:val="decimal"/>
      <w:isLgl/>
      <w:lvlText w:val="%1.%2.%3.%4.%5.%6.%7.%8."/>
      <w:lvlJc w:val="left"/>
      <w:pPr>
        <w:ind w:left="4320" w:hanging="1440"/>
      </w:pPr>
      <w:rPr>
        <w:rFonts w:hint="default"/>
        <w:b w:val="0"/>
        <w:i w:val="0"/>
      </w:rPr>
    </w:lvl>
    <w:lvl w:ilvl="8">
      <w:start w:val="1"/>
      <w:numFmt w:val="decimal"/>
      <w:isLgl/>
      <w:lvlText w:val="%1.%2.%3.%4.%5.%6.%7.%8.%9."/>
      <w:lvlJc w:val="left"/>
      <w:pPr>
        <w:ind w:left="5040" w:hanging="1800"/>
      </w:pPr>
      <w:rPr>
        <w:rFonts w:hint="default"/>
        <w:b w:val="0"/>
        <w:i w:val="0"/>
      </w:rPr>
    </w:lvl>
  </w:abstractNum>
  <w:abstractNum w:abstractNumId="3" w15:restartNumberingAfterBreak="0">
    <w:nsid w:val="650F427C"/>
    <w:multiLevelType w:val="hybridMultilevel"/>
    <w:tmpl w:val="CC602168"/>
    <w:lvl w:ilvl="0" w:tplc="12FE01B8">
      <w:start w:val="3"/>
      <w:numFmt w:val="decimal"/>
      <w:lvlText w:val="%1."/>
      <w:lvlJc w:val="left"/>
      <w:pPr>
        <w:ind w:left="786" w:hanging="360"/>
      </w:pPr>
      <w:rPr>
        <w:rFonts w:hint="default"/>
        <w:color w:val="auto"/>
      </w:rPr>
    </w:lvl>
    <w:lvl w:ilvl="1" w:tplc="5E928FCE" w:tentative="1">
      <w:start w:val="1"/>
      <w:numFmt w:val="lowerLetter"/>
      <w:lvlText w:val="%2."/>
      <w:lvlJc w:val="left"/>
      <w:pPr>
        <w:ind w:left="1506" w:hanging="360"/>
      </w:pPr>
    </w:lvl>
    <w:lvl w:ilvl="2" w:tplc="53D2276C" w:tentative="1">
      <w:start w:val="1"/>
      <w:numFmt w:val="lowerRoman"/>
      <w:lvlText w:val="%3."/>
      <w:lvlJc w:val="right"/>
      <w:pPr>
        <w:ind w:left="2226" w:hanging="180"/>
      </w:pPr>
    </w:lvl>
    <w:lvl w:ilvl="3" w:tplc="B5BEB8A8" w:tentative="1">
      <w:start w:val="1"/>
      <w:numFmt w:val="decimal"/>
      <w:lvlText w:val="%4."/>
      <w:lvlJc w:val="left"/>
      <w:pPr>
        <w:ind w:left="2946" w:hanging="360"/>
      </w:pPr>
    </w:lvl>
    <w:lvl w:ilvl="4" w:tplc="948C5B70" w:tentative="1">
      <w:start w:val="1"/>
      <w:numFmt w:val="lowerLetter"/>
      <w:lvlText w:val="%5."/>
      <w:lvlJc w:val="left"/>
      <w:pPr>
        <w:ind w:left="3666" w:hanging="360"/>
      </w:pPr>
    </w:lvl>
    <w:lvl w:ilvl="5" w:tplc="70D64E76" w:tentative="1">
      <w:start w:val="1"/>
      <w:numFmt w:val="lowerRoman"/>
      <w:lvlText w:val="%6."/>
      <w:lvlJc w:val="right"/>
      <w:pPr>
        <w:ind w:left="4386" w:hanging="180"/>
      </w:pPr>
    </w:lvl>
    <w:lvl w:ilvl="6" w:tplc="9A88C15A" w:tentative="1">
      <w:start w:val="1"/>
      <w:numFmt w:val="decimal"/>
      <w:lvlText w:val="%7."/>
      <w:lvlJc w:val="left"/>
      <w:pPr>
        <w:ind w:left="5106" w:hanging="360"/>
      </w:pPr>
    </w:lvl>
    <w:lvl w:ilvl="7" w:tplc="417A5630" w:tentative="1">
      <w:start w:val="1"/>
      <w:numFmt w:val="lowerLetter"/>
      <w:lvlText w:val="%8."/>
      <w:lvlJc w:val="left"/>
      <w:pPr>
        <w:ind w:left="5826" w:hanging="360"/>
      </w:pPr>
    </w:lvl>
    <w:lvl w:ilvl="8" w:tplc="D242DA9A" w:tentative="1">
      <w:start w:val="1"/>
      <w:numFmt w:val="lowerRoman"/>
      <w:lvlText w:val="%9."/>
      <w:lvlJc w:val="right"/>
      <w:pPr>
        <w:ind w:left="6546"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9303531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0009894">
    <w:abstractNumId w:val="3"/>
  </w:num>
  <w:num w:numId="5" w16cid:durableId="1692141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11FD"/>
    <w:rsid w:val="00195A73"/>
    <w:rsid w:val="001A297B"/>
    <w:rsid w:val="0025391B"/>
    <w:rsid w:val="00297558"/>
    <w:rsid w:val="002D53F6"/>
    <w:rsid w:val="00351D48"/>
    <w:rsid w:val="003C401E"/>
    <w:rsid w:val="004D516C"/>
    <w:rsid w:val="00521C00"/>
    <w:rsid w:val="0053073B"/>
    <w:rsid w:val="00543508"/>
    <w:rsid w:val="00564CA6"/>
    <w:rsid w:val="005C7FA1"/>
    <w:rsid w:val="00617AAC"/>
    <w:rsid w:val="00693F05"/>
    <w:rsid w:val="006B7E22"/>
    <w:rsid w:val="006D3451"/>
    <w:rsid w:val="006D513B"/>
    <w:rsid w:val="0074092B"/>
    <w:rsid w:val="0079484F"/>
    <w:rsid w:val="007B4DDB"/>
    <w:rsid w:val="008257F8"/>
    <w:rsid w:val="008E3846"/>
    <w:rsid w:val="009139A1"/>
    <w:rsid w:val="009254A8"/>
    <w:rsid w:val="00931891"/>
    <w:rsid w:val="00996740"/>
    <w:rsid w:val="009A3989"/>
    <w:rsid w:val="009B7F8F"/>
    <w:rsid w:val="00A254B5"/>
    <w:rsid w:val="00A52B04"/>
    <w:rsid w:val="00B36CD4"/>
    <w:rsid w:val="00B4014F"/>
    <w:rsid w:val="00B47C10"/>
    <w:rsid w:val="00B823B9"/>
    <w:rsid w:val="00BB16A4"/>
    <w:rsid w:val="00BD41B7"/>
    <w:rsid w:val="00BE75D1"/>
    <w:rsid w:val="00C44A0E"/>
    <w:rsid w:val="00C82360"/>
    <w:rsid w:val="00C9477C"/>
    <w:rsid w:val="00CC1B2F"/>
    <w:rsid w:val="00CF16C2"/>
    <w:rsid w:val="00D07C73"/>
    <w:rsid w:val="00D86969"/>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NoSpacing">
    <w:name w:val="No Spacing"/>
    <w:link w:val="NoSpacingChar"/>
    <w:uiPriority w:val="1"/>
    <w:qFormat/>
    <w:rsid w:val="00C44A0E"/>
    <w:rPr>
      <w:rFonts w:ascii="Calibri" w:eastAsia="Times New Roman" w:hAnsi="Calibri" w:cs="Calibri"/>
      <w:sz w:val="22"/>
      <w:szCs w:val="22"/>
      <w:lang w:val="en-US"/>
    </w:rPr>
  </w:style>
  <w:style w:type="character" w:customStyle="1" w:styleId="NoSpacingChar">
    <w:name w:val="No Spacing Char"/>
    <w:link w:val="NoSpacing"/>
    <w:uiPriority w:val="1"/>
    <w:locked/>
    <w:rsid w:val="00C44A0E"/>
    <w:rPr>
      <w:rFonts w:ascii="Calibri" w:eastAsia="Times New Roman" w:hAnsi="Calibri" w:cs="Calibri"/>
      <w:sz w:val="22"/>
      <w:szCs w:val="22"/>
      <w:lang w:val="en-US"/>
    </w:rPr>
  </w:style>
  <w:style w:type="paragraph" w:styleId="ListParagraph">
    <w:name w:val="List Paragraph"/>
    <w:basedOn w:val="Normal"/>
    <w:uiPriority w:val="34"/>
    <w:qFormat/>
    <w:rsid w:val="00C44A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3793</Words>
  <Characters>2163</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21</cp:revision>
  <dcterms:created xsi:type="dcterms:W3CDTF">2024-06-01T14:06:00Z</dcterms:created>
  <dcterms:modified xsi:type="dcterms:W3CDTF">2025-03-28T06:13:00Z</dcterms:modified>
</cp:coreProperties>
</file>