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406BAA" w:rsidRPr="00D506C1" w14:paraId="5E70743B" w14:textId="030FBC4B">
      <w:pPr>
        <w:rPr>
          <w:highlight w:val="yellow"/>
        </w:rPr>
      </w:pPr>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rsidR="00F140FC" w:rsidRPr="00D506C1" w:rsidP="003924DD" w14:paraId="40350A34" w14:textId="77777777">
      <w:pPr>
        <w:rPr>
          <w:noProof/>
          <w:highlight w:val="yellow"/>
        </w:rPr>
      </w:pPr>
    </w:p>
    <w:p w:rsidR="00E80E10" w:rsidP="00E80E10" w14:paraId="4F6AA80D" w14:textId="77777777">
      <w:pPr>
        <w:contextualSpacing/>
        <w:rPr>
          <w:lang w:val="en-GB"/>
        </w:rPr>
      </w:pPr>
      <w:r w:rsidRPr="007B31D5">
        <w:rPr>
          <w:noProof/>
          <w:lang w:val="en-GB"/>
        </w:rPr>
        <w:t>Datums skatāms laika zīmogā</w:t>
      </w:r>
      <w:r>
        <w:rPr>
          <w:lang w:val="en-GB"/>
        </w:rPr>
        <w:t xml:space="preserve"> </w:t>
      </w:r>
      <w:r>
        <w:rPr>
          <w:lang w:val="en-GB"/>
        </w:rPr>
        <w:tab/>
      </w:r>
      <w:r>
        <w:rPr>
          <w:lang w:val="en-GB"/>
        </w:rPr>
        <w:tab/>
      </w:r>
      <w:r>
        <w:rPr>
          <w:lang w:val="en-GB"/>
        </w:rPr>
        <w:tab/>
      </w:r>
      <w:r>
        <w:rPr>
          <w:lang w:val="en-GB"/>
        </w:rPr>
        <w:tab/>
      </w:r>
      <w:r>
        <w:rPr>
          <w:lang w:val="en-GB"/>
        </w:rPr>
        <w:tab/>
      </w:r>
      <w:r w:rsidRPr="009E0284">
        <w:rPr>
          <w:lang w:val="en-GB"/>
        </w:rPr>
        <w:t>Nr.</w:t>
      </w:r>
      <w:r w:rsidRPr="007B31D5">
        <w:t xml:space="preserve"> </w:t>
      </w:r>
      <w:r w:rsidRPr="007B31D5">
        <w:rPr>
          <w:noProof/>
          <w:lang w:val="en-GB"/>
        </w:rPr>
        <w:t>ĀNP/1-12-1/25/429</w:t>
      </w:r>
    </w:p>
    <w:p w:rsidR="00406BAA" w:rsidRPr="00D506C1" w:rsidP="00AF74E0" w14:paraId="50279081" w14:textId="77777777">
      <w:pPr>
        <w:jc w:val="both"/>
      </w:pPr>
      <w:r w:rsidRPr="00D506C1">
        <w:tab/>
      </w:r>
      <w:r w:rsidRPr="00D506C1">
        <w:tab/>
      </w:r>
    </w:p>
    <w:p w:rsidR="00294961" w:rsidRPr="00D506C1" w:rsidP="00294961" w14:paraId="18DF75A4" w14:textId="77777777">
      <w:pPr>
        <w:jc w:val="right"/>
        <w:rPr>
          <w:b/>
          <w:bCs/>
        </w:rPr>
      </w:pPr>
      <w:r w:rsidRPr="00D506C1">
        <w:rPr>
          <w:b/>
          <w:bCs/>
        </w:rPr>
        <w:t>Valsts kasei</w:t>
      </w:r>
    </w:p>
    <w:p w:rsidR="00294961" w:rsidRPr="00D506C1" w:rsidP="00294961" w14:paraId="4FB0C0B6" w14:textId="77777777">
      <w:pPr>
        <w:jc w:val="right"/>
      </w:pPr>
      <w:r w:rsidRPr="00D506C1">
        <w:t>Iesniegšanai e-Pārskatu sistēmā</w:t>
      </w:r>
    </w:p>
    <w:p w:rsidR="00294961" w:rsidRPr="00D506C1" w:rsidP="00294961" w14:paraId="4ADDDF6E" w14:textId="77777777">
      <w:pPr>
        <w:jc w:val="right"/>
      </w:pPr>
    </w:p>
    <w:p w:rsidR="00294961" w:rsidRPr="00D506C1" w:rsidP="00294961" w14:paraId="493F6001" w14:textId="3A697264">
      <w:pPr>
        <w:jc w:val="center"/>
        <w:rPr>
          <w:iCs/>
          <w:sz w:val="28"/>
          <w:szCs w:val="28"/>
        </w:rPr>
      </w:pPr>
      <w:r w:rsidRPr="00D506C1">
        <w:rPr>
          <w:b/>
          <w:iCs/>
          <w:sz w:val="28"/>
          <w:szCs w:val="28"/>
          <w:lang w:eastAsia="en-US"/>
        </w:rPr>
        <w:t>Vadības ziņojums par konsolidēto Ādažu novada pašvaldības</w:t>
      </w:r>
      <w:r w:rsidRPr="00D506C1">
        <w:rPr>
          <w:iCs/>
          <w:sz w:val="28"/>
          <w:szCs w:val="28"/>
        </w:rPr>
        <w:t xml:space="preserve"> </w:t>
      </w:r>
      <w:r w:rsidRPr="00D506C1">
        <w:rPr>
          <w:b/>
          <w:iCs/>
          <w:sz w:val="28"/>
          <w:szCs w:val="28"/>
          <w:lang w:eastAsia="en-US"/>
        </w:rPr>
        <w:t>202</w:t>
      </w:r>
      <w:r w:rsidR="003A771E">
        <w:rPr>
          <w:b/>
          <w:iCs/>
          <w:sz w:val="28"/>
          <w:szCs w:val="28"/>
          <w:lang w:eastAsia="en-US"/>
        </w:rPr>
        <w:t>4</w:t>
      </w:r>
      <w:r w:rsidRPr="00D506C1">
        <w:rPr>
          <w:b/>
          <w:iCs/>
          <w:sz w:val="28"/>
          <w:szCs w:val="28"/>
          <w:lang w:eastAsia="en-US"/>
        </w:rPr>
        <w:t>. gada</w:t>
      </w:r>
      <w:r w:rsidRPr="00D506C1">
        <w:rPr>
          <w:iCs/>
          <w:sz w:val="28"/>
          <w:szCs w:val="28"/>
        </w:rPr>
        <w:t xml:space="preserve"> </w:t>
      </w:r>
      <w:r w:rsidRPr="00D506C1">
        <w:rPr>
          <w:b/>
          <w:iCs/>
          <w:sz w:val="28"/>
          <w:szCs w:val="28"/>
          <w:lang w:eastAsia="en-US"/>
        </w:rPr>
        <w:t>pārskatu</w:t>
      </w:r>
    </w:p>
    <w:p w:rsidR="000A7527" w:rsidRPr="00D506C1" w:rsidP="000A7527" w14:paraId="70F25CBE" w14:textId="77777777">
      <w:pPr>
        <w:ind w:left="5040"/>
        <w:jc w:val="right"/>
        <w:rPr>
          <w:i/>
          <w:sz w:val="22"/>
          <w:szCs w:val="22"/>
          <w:lang w:eastAsia="en-US"/>
        </w:rPr>
      </w:pPr>
    </w:p>
    <w:p w:rsidR="00CB6C33" w:rsidRPr="00A13160" w:rsidP="00CB6C33" w14:paraId="2251D04D" w14:textId="77777777">
      <w:pPr>
        <w:ind w:left="5040"/>
        <w:jc w:val="right"/>
        <w:rPr>
          <w:i/>
          <w:sz w:val="22"/>
          <w:szCs w:val="22"/>
          <w:lang w:eastAsia="en-US"/>
        </w:rPr>
      </w:pPr>
      <w:r w:rsidRPr="00A13160">
        <w:rPr>
          <w:i/>
          <w:sz w:val="22"/>
          <w:szCs w:val="22"/>
          <w:lang w:eastAsia="en-US"/>
        </w:rPr>
        <w:t xml:space="preserve">Sagatavots pamatojoties uz </w:t>
      </w:r>
    </w:p>
    <w:p w:rsidR="00CB6C33" w:rsidRPr="00A13160" w:rsidP="00CB6C33" w14:paraId="37B0CFC6" w14:textId="77777777">
      <w:pPr>
        <w:ind w:left="5040"/>
        <w:jc w:val="right"/>
        <w:rPr>
          <w:i/>
          <w:sz w:val="22"/>
          <w:szCs w:val="22"/>
          <w:lang w:eastAsia="en-US"/>
        </w:rPr>
      </w:pPr>
      <w:r w:rsidRPr="00A13160">
        <w:rPr>
          <w:i/>
          <w:sz w:val="22"/>
          <w:szCs w:val="22"/>
          <w:lang w:eastAsia="en-US"/>
        </w:rPr>
        <w:t>Ministru kabineta 2021. gada 28. septembra noteikumu Nr. 652 „Gada pārskata sagatavošanas kārtība” 6.1. apakšpunktu</w:t>
      </w:r>
    </w:p>
    <w:p w:rsidR="000A7527" w:rsidRPr="00D506C1" w:rsidP="000A7527" w14:paraId="62A6A60F" w14:textId="77777777">
      <w:pPr>
        <w:ind w:left="5040"/>
        <w:jc w:val="both"/>
        <w:rPr>
          <w:i/>
          <w:sz w:val="20"/>
          <w:szCs w:val="20"/>
          <w:lang w:eastAsia="en-US"/>
        </w:rPr>
      </w:pPr>
    </w:p>
    <w:p w:rsidR="000A7527" w:rsidRPr="001E1828" w:rsidP="001E1828" w14:paraId="2E3D7933" w14:textId="77777777">
      <w:pPr>
        <w:numPr>
          <w:ilvl w:val="0"/>
          <w:numId w:val="2"/>
        </w:numPr>
        <w:spacing w:before="240" w:after="120"/>
        <w:ind w:left="714" w:hanging="357"/>
        <w:jc w:val="center"/>
        <w:rPr>
          <w:b/>
          <w:lang w:eastAsia="en-US"/>
        </w:rPr>
      </w:pPr>
      <w:r w:rsidRPr="001E1828">
        <w:rPr>
          <w:b/>
          <w:lang w:eastAsia="en-US"/>
        </w:rPr>
        <w:t xml:space="preserve">Normatīvie akti, kas regulē iestādes pamatdarbību un galvenās funkcijas </w:t>
      </w:r>
    </w:p>
    <w:p w:rsidR="001E1828" w:rsidRPr="001E1828" w:rsidP="001E1828" w14:paraId="0038B3D5" w14:textId="4D3E4304">
      <w:pPr>
        <w:spacing w:after="120"/>
        <w:jc w:val="both"/>
        <w:rPr>
          <w:lang w:eastAsia="en-US"/>
        </w:rPr>
      </w:pPr>
      <w:r w:rsidRPr="001E1828">
        <w:rPr>
          <w:lang w:eastAsia="en-US"/>
        </w:rPr>
        <w:t xml:space="preserve">Ādažu novada pašvaldība (juridiskais nosaukums “Ādažu novada pašvaldība” (turpmāk </w:t>
      </w:r>
      <w:r w:rsidR="009F246F">
        <w:rPr>
          <w:lang w:eastAsia="en-US"/>
        </w:rPr>
        <w:t>–</w:t>
      </w:r>
      <w:r w:rsidRPr="001E1828">
        <w:rPr>
          <w:lang w:eastAsia="en-US"/>
        </w:rPr>
        <w:t xml:space="preserve"> pašvaldība</w:t>
      </w:r>
      <w:r w:rsidR="009F246F">
        <w:rPr>
          <w:lang w:eastAsia="en-US"/>
        </w:rPr>
        <w:t>)</w:t>
      </w:r>
      <w:r w:rsidRPr="001E1828">
        <w:rPr>
          <w:lang w:eastAsia="en-US"/>
        </w:rPr>
        <w:t xml:space="preserve">) dibināta 2021. gadā un veic ārējos normatīvajos aktos pašvaldībai noteikto funkciju un brīvprātīgo iniciatīvu izpildi ar iedzīvotāju vēlētas pārstāvniecības – domes starpniecību un nodrošina tās izpildvaras - iestāžu un institūciju darbību saskaņā ar pašvaldības </w:t>
      </w:r>
      <w:r w:rsidR="009F246F">
        <w:rPr>
          <w:lang w:eastAsia="en-US"/>
        </w:rPr>
        <w:t xml:space="preserve">domes </w:t>
      </w:r>
      <w:r w:rsidRPr="001E1828">
        <w:rPr>
          <w:lang w:eastAsia="en-US"/>
        </w:rPr>
        <w:t>2023. gada 14. jūnija saistošajiem noteikumiem Nr. 18/2023 “Ādažu novada pašvaldības nolikums”.</w:t>
      </w:r>
    </w:p>
    <w:p w:rsidR="000A7527" w:rsidRPr="001E1828" w:rsidP="000A7527" w14:paraId="6F3F23D7" w14:textId="77777777">
      <w:pPr>
        <w:spacing w:after="120"/>
        <w:jc w:val="both"/>
        <w:rPr>
          <w:b/>
          <w:lang w:eastAsia="en-US"/>
        </w:rPr>
      </w:pPr>
      <w:r w:rsidRPr="001E1828">
        <w:rPr>
          <w:b/>
          <w:lang w:eastAsia="en-US"/>
        </w:rPr>
        <w:t>Pašvaldības būtiskākās funkcijas:</w:t>
      </w:r>
    </w:p>
    <w:p w:rsidR="001E1828" w:rsidRPr="001E1828" w:rsidP="001E1828" w14:paraId="2B36D5EB" w14:textId="77777777">
      <w:pPr>
        <w:numPr>
          <w:ilvl w:val="0"/>
          <w:numId w:val="3"/>
        </w:numPr>
        <w:spacing w:after="120"/>
        <w:jc w:val="both"/>
        <w:rPr>
          <w:lang w:eastAsia="en-US"/>
        </w:rPr>
      </w:pPr>
      <w:r w:rsidRPr="001E1828">
        <w:rPr>
          <w:lang w:eastAsia="en-US"/>
        </w:rPr>
        <w:t>Organizēt iedzīvotājiem ūdenssaimniecības, siltumapgādes un sadzīves atkritumu apsaimniekošanas pakalpojumus neatkarīgi no tā, kā īpašumā atrodas dzīvojamais fonds, nodrošināt iedzīvotājiem atbalstu sociālo problēmu risināšanā, kā arī iespēju saņemt sociālo palīdzību un sociālos pakalpojumus, veicināt sporta attīstību, tostarp uzturēt un attīstīt pašvaldības sporta bāzes, atbalstīt sportistu un sporta klubu, arī profesionālo sporta klubu, darbību un sniegt atbalstu sporta pasākumu organizēšanai.</w:t>
      </w:r>
    </w:p>
    <w:p w:rsidR="001E1828" w:rsidRPr="001E1828" w:rsidP="001E1828" w14:paraId="71B95955" w14:textId="77777777">
      <w:pPr>
        <w:numPr>
          <w:ilvl w:val="0"/>
          <w:numId w:val="3"/>
        </w:numPr>
        <w:spacing w:after="120"/>
        <w:jc w:val="both"/>
        <w:rPr>
          <w:lang w:eastAsia="en-US"/>
        </w:rPr>
      </w:pPr>
      <w:r w:rsidRPr="001E1828">
        <w:rPr>
          <w:lang w:eastAsia="en-US"/>
        </w:rPr>
        <w:t>Gādāt par pašvaldības administratīvās teritorijas labiekārtošanu un sanitāro tīrību,  pašvaldības īpašumā esošo ceļu būvniecību, uzturēšanu un pārvaldību, piedalīties sabiedriskās kārtības un drošības nodrošināšanā, tostarp izveidojot un finansējot pašvaldības policiju un veikt pasākumus civilās aizsardzības un katastrofu pārvaldīšanā, ugunsdrošības un ugunsdzēsības jomā.</w:t>
      </w:r>
    </w:p>
    <w:p w:rsidR="001E1828" w:rsidRPr="001E1828" w:rsidP="001E1828" w14:paraId="6EA4FE39" w14:textId="77777777">
      <w:pPr>
        <w:numPr>
          <w:ilvl w:val="0"/>
          <w:numId w:val="3"/>
        </w:numPr>
        <w:spacing w:after="120"/>
        <w:jc w:val="both"/>
        <w:rPr>
          <w:lang w:eastAsia="en-US"/>
        </w:rPr>
      </w:pPr>
      <w:r w:rsidRPr="001E1828">
        <w:rPr>
          <w:lang w:eastAsia="en-US"/>
        </w:rPr>
        <w:t>Gādāt par iedzīvotāju izglītību, tostarp nodrošināt iespēju iegūt obligāto izglītību un gādāt par pirmsskolas izglītības, vidējās izglītības, profesionālās ievirzes izglītības, interešu izglītības un pieaugušo izglītības pieejamību kā arī veikt darbu ar jaunatni.</w:t>
      </w:r>
    </w:p>
    <w:p w:rsidR="001E1828" w:rsidRPr="001E1828" w:rsidP="001E1828" w14:paraId="4AB9C3B9" w14:textId="77777777">
      <w:pPr>
        <w:numPr>
          <w:ilvl w:val="0"/>
          <w:numId w:val="3"/>
        </w:numPr>
        <w:spacing w:after="120"/>
        <w:jc w:val="both"/>
        <w:rPr>
          <w:lang w:eastAsia="en-US"/>
        </w:rPr>
      </w:pPr>
      <w:r w:rsidRPr="001E1828">
        <w:rPr>
          <w:lang w:eastAsia="en-US"/>
        </w:rPr>
        <w:t>Sniegt iedzīvotājiem daudzveidīgu kultūras piedāvājumu un iespēju piedalīties kultūras dzīvē, sekmēt pašvaldības teritorijā esošā kultūras mantojuma saglabāšanu un sniegt atbalstu kultūras norisēm.</w:t>
      </w:r>
    </w:p>
    <w:p w:rsidR="001E1828" w:rsidRPr="001E1828" w:rsidP="001E1828" w14:paraId="53966327" w14:textId="77777777">
      <w:pPr>
        <w:numPr>
          <w:ilvl w:val="0"/>
          <w:numId w:val="3"/>
        </w:numPr>
        <w:spacing w:after="120"/>
        <w:jc w:val="both"/>
        <w:rPr>
          <w:lang w:eastAsia="en-US"/>
        </w:rPr>
      </w:pPr>
      <w:r w:rsidRPr="001E1828">
        <w:rPr>
          <w:lang w:eastAsia="en-US"/>
        </w:rPr>
        <w:t>Gādāt par bērnu un aizgādnībā esošo personu tiesību un interešu aizsardzību, kā arī veikt civilstāvokļa aktu reģistrāciju.</w:t>
      </w:r>
    </w:p>
    <w:p w:rsidR="001E1828" w:rsidRPr="001E1828" w:rsidP="001E1828" w14:paraId="4B66ABEE" w14:textId="77777777">
      <w:pPr>
        <w:numPr>
          <w:ilvl w:val="0"/>
          <w:numId w:val="3"/>
        </w:numPr>
        <w:spacing w:after="120"/>
        <w:jc w:val="both"/>
        <w:rPr>
          <w:lang w:eastAsia="en-US"/>
        </w:rPr>
      </w:pPr>
      <w:r w:rsidRPr="001E1828">
        <w:rPr>
          <w:lang w:eastAsia="en-US"/>
        </w:rPr>
        <w:t xml:space="preserve">Saskaņā ar pašvaldības teritorijas plānojumu noteikt zemes izmantošanu un apbūvi, nodrošināt ar būvniecības procesu saistīta administratīvā procesa tiesiskumu un veicināt dabas kapitāla ilgtspējīgu pārvaldību un apsaimniekošanu, kā arī noteikt publiskā lietošanā esoša pašvaldības īpašuma izmantošanas kārtību, ja likumos nav noteikts citādi. </w:t>
      </w:r>
    </w:p>
    <w:p w:rsidR="001E1828" w:rsidRPr="001E1828" w:rsidP="001E1828" w14:paraId="3CDE9E5B" w14:textId="77777777">
      <w:pPr>
        <w:numPr>
          <w:ilvl w:val="0"/>
          <w:numId w:val="3"/>
        </w:numPr>
        <w:spacing w:after="120"/>
        <w:jc w:val="both"/>
        <w:rPr>
          <w:lang w:eastAsia="en-US"/>
        </w:rPr>
      </w:pPr>
      <w:r w:rsidRPr="001E1828">
        <w:rPr>
          <w:lang w:eastAsia="en-US"/>
        </w:rPr>
        <w:t>Sekmēt saimniecisko darbību pašvaldības administratīvajā teritorijā un sniegt tai atbalstu izsniedzot atļaujas un licences komercdarbībai.</w:t>
      </w:r>
    </w:p>
    <w:p w:rsidR="003A771E" w:rsidRPr="004A78D5" w:rsidP="003A771E" w14:paraId="489A2FB3" w14:textId="689DC6C5">
      <w:pPr>
        <w:spacing w:before="240" w:after="120"/>
        <w:jc w:val="center"/>
        <w:rPr>
          <w:b/>
          <w:sz w:val="23"/>
          <w:szCs w:val="23"/>
          <w:lang w:eastAsia="en-US"/>
        </w:rPr>
      </w:pPr>
      <w:r w:rsidRPr="004A78D5">
        <w:rPr>
          <w:b/>
          <w:sz w:val="23"/>
          <w:szCs w:val="23"/>
          <w:lang w:eastAsia="en-US"/>
        </w:rPr>
        <w:t>2. Galvenie notikumi, kas ietekmēja pašvaldības darbību 202</w:t>
      </w:r>
      <w:r w:rsidR="009F246F">
        <w:rPr>
          <w:b/>
          <w:sz w:val="23"/>
          <w:szCs w:val="23"/>
          <w:lang w:eastAsia="en-US"/>
        </w:rPr>
        <w:t>4</w:t>
      </w:r>
      <w:r w:rsidRPr="004A78D5">
        <w:rPr>
          <w:b/>
          <w:sz w:val="23"/>
          <w:szCs w:val="23"/>
          <w:lang w:eastAsia="en-US"/>
        </w:rPr>
        <w:t>. gadā</w:t>
      </w:r>
    </w:p>
    <w:p w:rsidR="003A771E" w:rsidP="003A771E" w14:paraId="5E24D140" w14:textId="50F3C761">
      <w:pPr>
        <w:spacing w:after="120"/>
        <w:jc w:val="both"/>
        <w:rPr>
          <w:sz w:val="23"/>
          <w:szCs w:val="23"/>
          <w:lang w:eastAsia="en-US"/>
        </w:rPr>
      </w:pPr>
      <w:r w:rsidRPr="00C17B15">
        <w:rPr>
          <w:sz w:val="23"/>
          <w:szCs w:val="23"/>
          <w:lang w:eastAsia="en-US"/>
        </w:rPr>
        <w:t>Ādažu novadā reģistrēto iedzīvotāju skaits bija 24 686  cilvēki (PMLP dati uz 01.01.202</w:t>
      </w:r>
      <w:r>
        <w:rPr>
          <w:sz w:val="23"/>
          <w:szCs w:val="23"/>
          <w:lang w:eastAsia="en-US"/>
        </w:rPr>
        <w:t>5</w:t>
      </w:r>
      <w:r w:rsidRPr="00C17B15">
        <w:rPr>
          <w:sz w:val="23"/>
          <w:szCs w:val="23"/>
          <w:lang w:eastAsia="en-US"/>
        </w:rPr>
        <w:t xml:space="preserve">.), un bija vērojams iedzīvotāju skaita pieaugums par </w:t>
      </w:r>
      <w:r>
        <w:rPr>
          <w:sz w:val="23"/>
          <w:szCs w:val="23"/>
          <w:lang w:eastAsia="en-US"/>
        </w:rPr>
        <w:t>322</w:t>
      </w:r>
      <w:r w:rsidRPr="00C17B15">
        <w:rPr>
          <w:sz w:val="23"/>
          <w:szCs w:val="23"/>
          <w:lang w:eastAsia="en-US"/>
        </w:rPr>
        <w:t xml:space="preserve"> (01.01.202</w:t>
      </w:r>
      <w:r>
        <w:rPr>
          <w:sz w:val="23"/>
          <w:szCs w:val="23"/>
          <w:lang w:eastAsia="en-US"/>
        </w:rPr>
        <w:t>4</w:t>
      </w:r>
      <w:r w:rsidRPr="00C17B15">
        <w:rPr>
          <w:sz w:val="23"/>
          <w:szCs w:val="23"/>
          <w:lang w:eastAsia="en-US"/>
        </w:rPr>
        <w:t>. – 24</w:t>
      </w:r>
      <w:r>
        <w:rPr>
          <w:sz w:val="23"/>
          <w:szCs w:val="23"/>
          <w:lang w:eastAsia="en-US"/>
        </w:rPr>
        <w:t xml:space="preserve"> </w:t>
      </w:r>
      <w:r w:rsidRPr="00C17B15">
        <w:rPr>
          <w:sz w:val="23"/>
          <w:szCs w:val="23"/>
          <w:lang w:eastAsia="en-US"/>
        </w:rPr>
        <w:t xml:space="preserve">364), </w:t>
      </w:r>
      <w:r w:rsidRPr="004A78D5">
        <w:rPr>
          <w:sz w:val="23"/>
          <w:szCs w:val="23"/>
          <w:lang w:eastAsia="en-US"/>
        </w:rPr>
        <w:t xml:space="preserve">kas ietekmēja </w:t>
      </w:r>
      <w:r>
        <w:rPr>
          <w:sz w:val="23"/>
          <w:szCs w:val="23"/>
          <w:lang w:eastAsia="en-US"/>
        </w:rPr>
        <w:t xml:space="preserve">arī </w:t>
      </w:r>
      <w:r w:rsidRPr="004A78D5">
        <w:rPr>
          <w:sz w:val="23"/>
          <w:szCs w:val="23"/>
          <w:lang w:eastAsia="en-US"/>
        </w:rPr>
        <w:t>iedzīvotāju ienākuma nodokļa pieaugumu par</w:t>
      </w:r>
      <w:r>
        <w:rPr>
          <w:sz w:val="23"/>
          <w:szCs w:val="23"/>
          <w:lang w:eastAsia="en-US"/>
        </w:rPr>
        <w:t xml:space="preserve"> </w:t>
      </w:r>
      <w:r w:rsidRPr="004A78D5">
        <w:rPr>
          <w:sz w:val="23"/>
          <w:szCs w:val="23"/>
          <w:lang w:eastAsia="en-US"/>
        </w:rPr>
        <w:t xml:space="preserve"> </w:t>
      </w:r>
      <w:r>
        <w:rPr>
          <w:sz w:val="23"/>
          <w:szCs w:val="23"/>
          <w:lang w:eastAsia="en-US"/>
        </w:rPr>
        <w:t>6 816 356</w:t>
      </w:r>
      <w:r w:rsidRPr="009A4952">
        <w:t xml:space="preserve"> </w:t>
      </w:r>
      <w:r w:rsidRPr="00343E1E">
        <w:rPr>
          <w:i/>
          <w:iCs/>
        </w:rPr>
        <w:t>euro</w:t>
      </w:r>
      <w:r w:rsidRPr="004A78D5">
        <w:rPr>
          <w:sz w:val="23"/>
          <w:szCs w:val="23"/>
          <w:lang w:eastAsia="en-US"/>
        </w:rPr>
        <w:t>. Saņemtais iedzīvotāju ienākuma nodoklis pašvaldības budžetā 2023. gadā bija</w:t>
      </w:r>
      <w:r w:rsidR="00BE7A62">
        <w:rPr>
          <w:sz w:val="23"/>
          <w:szCs w:val="23"/>
          <w:lang w:eastAsia="en-US"/>
        </w:rPr>
        <w:t xml:space="preserve"> 30 345 932 </w:t>
      </w:r>
      <w:r w:rsidRPr="00E22C32" w:rsidR="00BE7A62">
        <w:rPr>
          <w:i/>
          <w:iCs/>
          <w:sz w:val="23"/>
          <w:szCs w:val="23"/>
          <w:lang w:eastAsia="en-US"/>
        </w:rPr>
        <w:t>euro</w:t>
      </w:r>
      <w:r w:rsidRPr="004A78D5">
        <w:rPr>
          <w:sz w:val="23"/>
          <w:szCs w:val="23"/>
          <w:lang w:eastAsia="en-US"/>
        </w:rPr>
        <w:t xml:space="preserve"> </w:t>
      </w:r>
      <w:r w:rsidR="002C412C">
        <w:rPr>
          <w:sz w:val="23"/>
          <w:szCs w:val="23"/>
          <w:lang w:eastAsia="en-US"/>
        </w:rPr>
        <w:t xml:space="preserve">, bet 2024.gadā </w:t>
      </w:r>
      <w:r>
        <w:rPr>
          <w:sz w:val="23"/>
          <w:szCs w:val="23"/>
          <w:lang w:eastAsia="en-US"/>
        </w:rPr>
        <w:t>37 162 288</w:t>
      </w:r>
      <w:r w:rsidRPr="009A4952">
        <w:rPr>
          <w:i/>
          <w:iCs/>
        </w:rPr>
        <w:t xml:space="preserve"> </w:t>
      </w:r>
      <w:r w:rsidRPr="00AA0BC1">
        <w:rPr>
          <w:i/>
          <w:iCs/>
        </w:rPr>
        <w:t>euro</w:t>
      </w:r>
      <w:r w:rsidRPr="004A78D5">
        <w:rPr>
          <w:sz w:val="23"/>
          <w:szCs w:val="23"/>
          <w:lang w:eastAsia="en-US"/>
        </w:rPr>
        <w:t xml:space="preserve"> (202</w:t>
      </w:r>
      <w:r>
        <w:rPr>
          <w:sz w:val="23"/>
          <w:szCs w:val="23"/>
          <w:lang w:eastAsia="en-US"/>
        </w:rPr>
        <w:t>3</w:t>
      </w:r>
      <w:r w:rsidRPr="004A78D5">
        <w:rPr>
          <w:sz w:val="23"/>
          <w:szCs w:val="23"/>
          <w:lang w:eastAsia="en-US"/>
        </w:rPr>
        <w:t xml:space="preserve">.g. – </w:t>
      </w:r>
      <w:r>
        <w:rPr>
          <w:sz w:val="23"/>
          <w:szCs w:val="23"/>
          <w:lang w:eastAsia="en-US"/>
        </w:rPr>
        <w:t>30 345 932</w:t>
      </w:r>
      <w:r w:rsidRPr="009A4952">
        <w:rPr>
          <w:i/>
          <w:iCs/>
        </w:rPr>
        <w:t xml:space="preserve"> </w:t>
      </w:r>
      <w:r w:rsidRPr="00AA0BC1">
        <w:rPr>
          <w:i/>
          <w:iCs/>
        </w:rPr>
        <w:t>euro</w:t>
      </w:r>
      <w:r w:rsidRPr="004A78D5">
        <w:rPr>
          <w:sz w:val="23"/>
          <w:szCs w:val="23"/>
          <w:lang w:eastAsia="en-US"/>
        </w:rPr>
        <w:t>).</w:t>
      </w:r>
    </w:p>
    <w:p w:rsidR="003A771E" w:rsidRPr="00E26658" w:rsidP="003A771E" w14:paraId="457C5B51" w14:textId="77777777">
      <w:pPr>
        <w:spacing w:before="120" w:after="120"/>
        <w:jc w:val="both"/>
        <w:rPr>
          <w:b/>
          <w:lang w:eastAsia="en-US"/>
        </w:rPr>
      </w:pPr>
      <w:bookmarkStart w:id="0" w:name="_Hlk160104057"/>
      <w:r w:rsidRPr="00E26658">
        <w:rPr>
          <w:b/>
          <w:lang w:eastAsia="en-US"/>
        </w:rPr>
        <w:t xml:space="preserve">ES fondu 2014.-2020. gada plānošanas perioda projekti, kuri tika pabeigti 2024. gadā </w:t>
      </w:r>
    </w:p>
    <w:p w:rsidR="003A771E" w:rsidRPr="00E26658" w:rsidP="003A771E" w14:paraId="4EC80ED0" w14:textId="77777777">
      <w:pPr>
        <w:numPr>
          <w:ilvl w:val="0"/>
          <w:numId w:val="4"/>
        </w:numPr>
        <w:spacing w:after="120"/>
        <w:jc w:val="both"/>
        <w:rPr>
          <w:rFonts w:eastAsia="Calibri"/>
          <w:lang w:eastAsia="en-US"/>
        </w:rPr>
      </w:pPr>
      <w:bookmarkStart w:id="1" w:name="_Hlk160104087"/>
      <w:r w:rsidRPr="00E26658">
        <w:rPr>
          <w:rFonts w:eastAsia="Calibri"/>
          <w:lang w:eastAsia="en-US"/>
        </w:rPr>
        <w:t xml:space="preserve">Projekts “Novērst plūdu un krasta erozijas risku apdraudējumu Ādažu novadā, 1.daļa”, veicot Gaujas kreisā krasta stiprinājumu izbūvi. Tā mērķis bija samazināt plūdu un krasta erozijas riskus Ādažu novadā, atjaunot Ādažu centra poldera esošo dambi </w:t>
      </w:r>
      <w:r w:rsidRPr="00E26658">
        <w:rPr>
          <w:rFonts w:eastAsia="Calibri"/>
          <w:lang w:eastAsia="en-US"/>
        </w:rPr>
        <w:t>pik</w:t>
      </w:r>
      <w:r w:rsidRPr="00E26658">
        <w:rPr>
          <w:rFonts w:eastAsia="Calibri"/>
          <w:lang w:eastAsia="en-US"/>
        </w:rPr>
        <w:t xml:space="preserve">. 00/00-15/57 un </w:t>
      </w:r>
      <w:r w:rsidRPr="00E26658">
        <w:rPr>
          <w:rFonts w:eastAsia="Calibri"/>
          <w:lang w:eastAsia="en-US"/>
        </w:rPr>
        <w:t>krājbaseinu</w:t>
      </w:r>
      <w:r w:rsidRPr="00E26658">
        <w:rPr>
          <w:rFonts w:eastAsia="Calibri"/>
          <w:lang w:eastAsia="en-US"/>
        </w:rPr>
        <w:t xml:space="preserve">, pārbūvējot centra poldera sūkņu staciju, kā arī veicot krastu stiprinājumu izbūvi posmā no A-1 līdz </w:t>
      </w:r>
      <w:r w:rsidRPr="00E26658">
        <w:rPr>
          <w:rFonts w:eastAsia="Calibri"/>
          <w:lang w:eastAsia="en-US"/>
        </w:rPr>
        <w:t>Kadagas</w:t>
      </w:r>
      <w:r w:rsidRPr="00E26658">
        <w:rPr>
          <w:rFonts w:eastAsia="Calibri"/>
          <w:lang w:eastAsia="en-US"/>
        </w:rPr>
        <w:t xml:space="preserve"> tiltam, izskalojuma vietās. Kopējās projekta izmaksas 2 508 716,60 </w:t>
      </w:r>
      <w:r w:rsidRPr="00E26658">
        <w:rPr>
          <w:rFonts w:eastAsia="Calibri"/>
          <w:lang w:eastAsia="en-US"/>
        </w:rPr>
        <w:t>euro</w:t>
      </w:r>
      <w:r w:rsidRPr="00E26658">
        <w:rPr>
          <w:rFonts w:eastAsia="Calibri"/>
          <w:lang w:eastAsia="en-US"/>
        </w:rPr>
        <w:t>;</w:t>
      </w:r>
    </w:p>
    <w:p w:rsidR="003A771E" w:rsidRPr="00285129" w:rsidP="003A771E" w14:paraId="6BED19FA" w14:textId="1651890D">
      <w:pPr>
        <w:numPr>
          <w:ilvl w:val="0"/>
          <w:numId w:val="4"/>
        </w:numPr>
        <w:spacing w:before="120"/>
        <w:jc w:val="both"/>
      </w:pPr>
      <w:r w:rsidRPr="00E26658">
        <w:rPr>
          <w:rFonts w:eastAsia="Calibri"/>
          <w:lang w:eastAsia="en-US"/>
        </w:rPr>
        <w:t xml:space="preserve">LAD projekts “Ādažu novada Mākslu skolas Carnikavas mācību punkta publiskās </w:t>
      </w:r>
      <w:r w:rsidRPr="00E26658">
        <w:rPr>
          <w:rFonts w:eastAsia="Calibri"/>
          <w:lang w:eastAsia="en-US"/>
        </w:rPr>
        <w:t>ārtelpas</w:t>
      </w:r>
      <w:r w:rsidRPr="00E26658">
        <w:rPr>
          <w:rFonts w:eastAsia="Calibri"/>
          <w:lang w:eastAsia="en-US"/>
        </w:rPr>
        <w:t xml:space="preserve"> labiekārtošana, palielinot </w:t>
      </w:r>
      <w:r w:rsidRPr="00E26658">
        <w:rPr>
          <w:rFonts w:eastAsia="Calibri"/>
          <w:lang w:eastAsia="en-US"/>
        </w:rPr>
        <w:t>ārtelpas</w:t>
      </w:r>
      <w:r w:rsidRPr="00E26658">
        <w:rPr>
          <w:rFonts w:eastAsia="Calibri"/>
          <w:lang w:eastAsia="en-US"/>
        </w:rPr>
        <w:t xml:space="preserve"> pievilcību”. Projekts tika īstenots biedrības “Jūras Zeme” sabiedrības virzītas vietējās attīstības stratēģijas ELFLA Rīcībā 3 “Atbalstīt ciemu un apkaimju publiskās infrastruktūras attīstību”. Projekta ietvaros labiekārtota Ādažu novada Mākslu skolas Carnikavas mācību punkta publiskā </w:t>
      </w:r>
      <w:r w:rsidRPr="00E26658">
        <w:rPr>
          <w:rFonts w:eastAsia="Calibri"/>
          <w:lang w:eastAsia="en-US"/>
        </w:rPr>
        <w:t>ārtelpa</w:t>
      </w:r>
      <w:r w:rsidRPr="00E26658">
        <w:rPr>
          <w:rFonts w:eastAsia="Calibri"/>
          <w:lang w:eastAsia="en-US"/>
        </w:rPr>
        <w:t xml:space="preserve">, izveidojot savienojošu gājēju celiņu vietā, kur gājēji šobrīd šķērso zālienu, padarīta pievilcīga skolas galvenā ieeja, izveidota koka terase, uzstādīti soliņi, atkritumu urna un ierīkoti norobežojoši apstādījumi. Projekta kopējās izmaksas 19 868 </w:t>
      </w:r>
      <w:r w:rsidRPr="00E26658">
        <w:rPr>
          <w:rFonts w:eastAsia="Calibri"/>
          <w:lang w:eastAsia="en-US"/>
        </w:rPr>
        <w:t>euro</w:t>
      </w:r>
      <w:r w:rsidRPr="00E26658">
        <w:rPr>
          <w:rFonts w:eastAsia="Calibri"/>
          <w:lang w:eastAsia="en-US"/>
        </w:rPr>
        <w:t xml:space="preserve">, no kuriem 12 660 </w:t>
      </w:r>
      <w:r w:rsidRPr="00E26658">
        <w:rPr>
          <w:rFonts w:eastAsia="Calibri"/>
          <w:lang w:eastAsia="en-US"/>
        </w:rPr>
        <w:t>euro</w:t>
      </w:r>
      <w:r w:rsidRPr="00E26658">
        <w:rPr>
          <w:rFonts w:eastAsia="Calibri"/>
          <w:lang w:eastAsia="en-US"/>
        </w:rPr>
        <w:t xml:space="preserve"> ir ELFLA finansējums, bet  Pašvaldības </w:t>
      </w:r>
      <w:r w:rsidRPr="00D30138">
        <w:rPr>
          <w:rFonts w:eastAsia="Calibri"/>
          <w:lang w:eastAsia="en-US"/>
        </w:rPr>
        <w:t>finansējums – 7 20</w:t>
      </w:r>
      <w:r w:rsidRPr="00D30138" w:rsidR="00810162">
        <w:rPr>
          <w:rFonts w:eastAsia="Calibri"/>
          <w:lang w:eastAsia="en-US"/>
        </w:rPr>
        <w:t>8</w:t>
      </w:r>
      <w:r w:rsidRPr="00D30138">
        <w:rPr>
          <w:rFonts w:eastAsia="Calibri"/>
          <w:lang w:eastAsia="en-US"/>
        </w:rPr>
        <w:t xml:space="preserve"> </w:t>
      </w:r>
      <w:r w:rsidRPr="00D30138">
        <w:rPr>
          <w:rFonts w:eastAsia="Calibri"/>
          <w:lang w:eastAsia="en-US"/>
        </w:rPr>
        <w:t>euro</w:t>
      </w:r>
      <w:r w:rsidRPr="00E26658">
        <w:rPr>
          <w:rFonts w:eastAsia="Calibri"/>
          <w:lang w:eastAsia="en-US"/>
        </w:rPr>
        <w:t xml:space="preserve">.  </w:t>
      </w:r>
    </w:p>
    <w:p w:rsidR="003A771E" w:rsidRPr="00607B1D" w:rsidP="003A771E" w14:paraId="020A728D" w14:textId="77777777">
      <w:pPr>
        <w:numPr>
          <w:ilvl w:val="0"/>
          <w:numId w:val="4"/>
        </w:numPr>
        <w:spacing w:before="120"/>
        <w:jc w:val="both"/>
      </w:pPr>
      <w:r w:rsidRPr="00E26658">
        <w:rPr>
          <w:rFonts w:eastAsia="Calibri"/>
          <w:lang w:eastAsia="en-US"/>
        </w:rPr>
        <w:t xml:space="preserve">Projekts “Pakalpojumu infrastruktūras attīstība </w:t>
      </w:r>
      <w:r w:rsidRPr="00E26658">
        <w:rPr>
          <w:rFonts w:eastAsia="Calibri"/>
          <w:lang w:eastAsia="en-US"/>
        </w:rPr>
        <w:t>deinstitucionalizācijas</w:t>
      </w:r>
      <w:r w:rsidRPr="00E26658">
        <w:rPr>
          <w:rFonts w:eastAsia="Calibri"/>
          <w:lang w:eastAsia="en-US"/>
        </w:rPr>
        <w:t xml:space="preserve"> plāna īstenošanai Ādažu novadā” Nr.9.3.1.1/19/I/016. Projekta mērķis – izveidot un attīstīt sabiedrībā balstītu sociālo pakalpojumu infrastruktūru Ādažu novadā, būvējot dienas aprūpes centru pilngadīgām personām ar garīga rakstura traucējumiem un sociālās rehabilitācijas pakalpojumu centru bērniem ar funkcionāliem traucējumiem. Projekta kopējās izmaksas 1 203 969,81 </w:t>
      </w:r>
      <w:r w:rsidRPr="00E26658">
        <w:rPr>
          <w:rFonts w:eastAsia="Calibri"/>
          <w:lang w:eastAsia="en-US"/>
        </w:rPr>
        <w:t>euro</w:t>
      </w:r>
      <w:r w:rsidRPr="00E26658">
        <w:rPr>
          <w:rFonts w:eastAsia="Calibri"/>
          <w:lang w:eastAsia="en-US"/>
        </w:rPr>
        <w:t xml:space="preserve">, t.sk. ERAF finansējums 967 508,70 </w:t>
      </w:r>
      <w:r w:rsidRPr="00E26658">
        <w:rPr>
          <w:rFonts w:eastAsia="Calibri"/>
          <w:lang w:eastAsia="en-US"/>
        </w:rPr>
        <w:t>euro</w:t>
      </w:r>
      <w:r w:rsidRPr="00E26658">
        <w:rPr>
          <w:rFonts w:eastAsia="Calibri"/>
          <w:lang w:eastAsia="en-US"/>
        </w:rPr>
        <w:t>.</w:t>
      </w:r>
    </w:p>
    <w:p w:rsidR="003A771E" w:rsidRPr="00E26658" w:rsidP="002A2925" w14:paraId="65D93FE5" w14:textId="77777777">
      <w:pPr>
        <w:spacing w:before="120" w:after="120"/>
        <w:jc w:val="both"/>
        <w:rPr>
          <w:lang w:eastAsia="en-US"/>
        </w:rPr>
      </w:pPr>
      <w:r w:rsidRPr="00E26658">
        <w:rPr>
          <w:b/>
          <w:lang w:eastAsia="en-US"/>
        </w:rPr>
        <w:t>ES fondu 2021.-2027. gada plānošanas perioda projekti, kuri tika uzsākti vai turpināti 2024. gadā</w:t>
      </w:r>
    </w:p>
    <w:bookmarkEnd w:id="1"/>
    <w:p w:rsidR="003A771E" w:rsidRPr="00E26658" w:rsidP="003A771E" w14:paraId="5A7528A2" w14:textId="77777777">
      <w:pPr>
        <w:numPr>
          <w:ilvl w:val="0"/>
          <w:numId w:val="6"/>
        </w:numPr>
        <w:spacing w:before="120"/>
        <w:ind w:left="714" w:hanging="357"/>
        <w:jc w:val="both"/>
        <w:rPr>
          <w:lang w:eastAsia="en-US"/>
        </w:rPr>
      </w:pPr>
      <w:r w:rsidRPr="00E26658">
        <w:rPr>
          <w:rFonts w:eastAsia="Calibri"/>
          <w:lang w:eastAsia="en-US"/>
        </w:rPr>
        <w:t>Turpinājās darbs pie Eiropas Savienības atveseļošanās</w:t>
      </w:r>
      <w:r w:rsidRPr="00E26658">
        <w:t xml:space="preserve"> un noturības mehānisma (ANM) plāna komponentes Nr.1 “Klimata pārmaiņas un vides ilgtspēja” reformu un investīciju virziena 1.1. “Emisiju samazināšana transporta sektorā” reformas 1.1.1.r. “Rīgas metropoles areāla transporta sistēmas </w:t>
      </w:r>
      <w:r w:rsidRPr="00E26658">
        <w:t>zaļināšana</w:t>
      </w:r>
      <w:r w:rsidRPr="00E26658">
        <w:t xml:space="preserve">” investīcijas 1.1.1.3.i. “Pilnveidota </w:t>
      </w:r>
      <w:r w:rsidRPr="00E26658">
        <w:t>veloceļu</w:t>
      </w:r>
      <w:r w:rsidRPr="00E26658">
        <w:t xml:space="preserve"> infrastruktūra” projekta “Maģistrālās </w:t>
      </w:r>
      <w:r w:rsidRPr="00E26658">
        <w:t>veloceļu</w:t>
      </w:r>
      <w:r w:rsidRPr="00E26658">
        <w:t xml:space="preserve"> infrastruktūras būvniecība prioritārajā koridorā Rīga – Carnikava” izstrādei. Projekta rezultātā tiks izveidots maģistrālais </w:t>
      </w:r>
      <w:r w:rsidRPr="00E26658">
        <w:t>veloceļš</w:t>
      </w:r>
      <w:r w:rsidRPr="00E26658">
        <w:t xml:space="preserve">, savienojot Rīgu ar Carnikavas ciema centru (nepieciešams izbūvēt/atjaunot </w:t>
      </w:r>
      <w:r w:rsidRPr="00E26658">
        <w:t>veloceļu</w:t>
      </w:r>
      <w:r w:rsidRPr="00E26658">
        <w:t xml:space="preserve"> aptuveni 11 km garumā). 2024. gadā izstrādāts un saskaņots Būvprojekts. Kopējās plānotās izmaksas – 5 007 633 </w:t>
      </w:r>
      <w:r w:rsidRPr="00E26658">
        <w:t>euro</w:t>
      </w:r>
      <w:r w:rsidRPr="00E26658">
        <w:t xml:space="preserve">, t.sk., ES finansējums 3 904 620 </w:t>
      </w:r>
      <w:r w:rsidRPr="00E26658">
        <w:t>euro</w:t>
      </w:r>
      <w:r w:rsidRPr="00E26658">
        <w:t xml:space="preserve"> un pašvaldības finansējums 1 103 013 </w:t>
      </w:r>
      <w:r w:rsidRPr="00E26658">
        <w:t>euro</w:t>
      </w:r>
      <w:r w:rsidRPr="00E26658">
        <w:t>.</w:t>
      </w:r>
    </w:p>
    <w:p w:rsidR="003A771E" w:rsidRPr="00E26658" w:rsidP="003A771E" w14:paraId="5BA4A3AB" w14:textId="4C1B0D89">
      <w:pPr>
        <w:numPr>
          <w:ilvl w:val="0"/>
          <w:numId w:val="6"/>
        </w:numPr>
        <w:spacing w:before="120"/>
        <w:ind w:left="714" w:hanging="357"/>
        <w:jc w:val="both"/>
      </w:pPr>
      <w:r w:rsidRPr="00E26658">
        <w:t xml:space="preserve">Turpinājās darbs pie Eiropas Savienības ANM plāna komponentes Nr.1 “Klimata pārmaiņas un vides ilgtspēja” reformu un investīciju virziena 1.1. “Emisiju samazināšana transporta sektorā” reformas 1.1.1.r. “Rīgas metropoles areāla transporta sistēmas </w:t>
      </w:r>
      <w:r w:rsidRPr="00E26658">
        <w:t>zaļināšana</w:t>
      </w:r>
      <w:r w:rsidRPr="00E26658">
        <w:t xml:space="preserve">” investīcijas 1.1.1.2.i “Videi draudzīgi uzlabojumi Rīgas pilsētas sabiedriskā transporta sistēmā” projekta “Mobilitātes punkta infrastruktūras izveidošana Rīgas metropoles areālā – “Carnikava”” izstrādei. Projekta mērķis ir izveidot mobilitātes punktu Carnikavā, nodrošinot ērtu pāreju no privātā transporta uz sabiedrisko transportu. 2024. gadā noslēgts līgums par būvprojekta izstrādi un autoruzraudzību, Būvprojekta saskaņošanas termiņš atbilstoši līgumam - 2025. gads. Kopējās plānotās izmaksas – 1 435 665 </w:t>
      </w:r>
      <w:r w:rsidRPr="00E26658">
        <w:t>euro</w:t>
      </w:r>
      <w:r w:rsidRPr="00E26658">
        <w:t xml:space="preserve">, t.sk., ES finansējums 1 186 500 </w:t>
      </w:r>
      <w:r w:rsidRPr="00E26658">
        <w:t>euro</w:t>
      </w:r>
      <w:r w:rsidRPr="00E26658">
        <w:t xml:space="preserve"> un pašvaldības finansējums 249 165 </w:t>
      </w:r>
      <w:r w:rsidRPr="00E26658">
        <w:t>euro</w:t>
      </w:r>
      <w:r w:rsidRPr="00E26658">
        <w:t>.</w:t>
      </w:r>
    </w:p>
    <w:p w:rsidR="003A771E" w:rsidRPr="00D30138" w:rsidP="003A771E" w14:paraId="5627C8A3" w14:textId="51038460">
      <w:pPr>
        <w:numPr>
          <w:ilvl w:val="0"/>
          <w:numId w:val="6"/>
        </w:numPr>
        <w:spacing w:before="120"/>
        <w:ind w:left="714" w:hanging="357"/>
        <w:jc w:val="both"/>
      </w:pPr>
      <w:r w:rsidRPr="00D30138">
        <w:t xml:space="preserve">Turpinājās darbs pie </w:t>
      </w:r>
      <w:r w:rsidRPr="00D30138">
        <w:rPr>
          <w:i/>
          <w:iCs/>
        </w:rPr>
        <w:t>Life</w:t>
      </w:r>
      <w:r w:rsidRPr="00D30138">
        <w:t xml:space="preserve"> programmas projekta “</w:t>
      </w:r>
      <w:r w:rsidRPr="00D30138">
        <w:t>LIFE_BauhausingEurope</w:t>
      </w:r>
      <w:r w:rsidRPr="00D30138">
        <w:t xml:space="preserve">” īstenošanas. Projektā plānotās darbības: publiskas ēkas daļas atjaunošana saskaņā ar Eiropas Jaunā </w:t>
      </w:r>
      <w:r w:rsidRPr="00D30138">
        <w:t>Bauhaus</w:t>
      </w:r>
      <w:r w:rsidRPr="00D30138">
        <w:t xml:space="preserve"> principiem, publiska </w:t>
      </w:r>
      <w:r w:rsidRPr="00D30138">
        <w:t>ārtelpas</w:t>
      </w:r>
      <w:r w:rsidRPr="00D30138">
        <w:t xml:space="preserve"> laukuma izbūve, zaļākā un ilgtspējīga dzīvesveida popularizēšana, līdzdalības procesu stiprināšana un pilsētas apkaimes identitātes un kopienas stiprināšana. Kopējās plānotās izmaksas – 4 624 142 </w:t>
      </w:r>
      <w:r w:rsidRPr="00D30138">
        <w:t>euro</w:t>
      </w:r>
      <w:r w:rsidRPr="00D30138">
        <w:t xml:space="preserve">, t.sk., Ādažu novadam paredzētās izmaksas 699 498 </w:t>
      </w:r>
      <w:r w:rsidRPr="00D30138">
        <w:t>euro</w:t>
      </w:r>
      <w:r w:rsidRPr="00D30138">
        <w:t xml:space="preserve"> (ES finansējums 419 528 </w:t>
      </w:r>
      <w:r w:rsidRPr="00D30138">
        <w:t>euro</w:t>
      </w:r>
      <w:r w:rsidRPr="00D30138">
        <w:t xml:space="preserve">, valsts dotācija 209 787 </w:t>
      </w:r>
      <w:r w:rsidRPr="00D30138">
        <w:t>euro</w:t>
      </w:r>
      <w:r w:rsidRPr="00D30138">
        <w:t xml:space="preserve"> un pašvaldības finansējums 70 18</w:t>
      </w:r>
      <w:r w:rsidRPr="00D30138" w:rsidR="00C120C8">
        <w:t>3</w:t>
      </w:r>
      <w:r w:rsidRPr="00D30138">
        <w:t xml:space="preserve"> </w:t>
      </w:r>
      <w:r w:rsidRPr="00D30138">
        <w:t>euro</w:t>
      </w:r>
      <w:r w:rsidRPr="00D30138" w:rsidR="00C120C8">
        <w:t>)</w:t>
      </w:r>
      <w:r w:rsidRPr="00D30138">
        <w:t>.</w:t>
      </w:r>
    </w:p>
    <w:p w:rsidR="003A771E" w:rsidRPr="00285129" w:rsidP="003A771E" w14:paraId="4F48F62C" w14:textId="77777777">
      <w:pPr>
        <w:numPr>
          <w:ilvl w:val="0"/>
          <w:numId w:val="6"/>
        </w:numPr>
        <w:spacing w:before="120"/>
        <w:ind w:left="714" w:hanging="357"/>
        <w:jc w:val="both"/>
      </w:pPr>
      <w:r w:rsidRPr="00285129">
        <w:t xml:space="preserve">Uzsākta projekta “Jauna pirmsskolas iestāde Podnieks” Nr.4.2.1.7/1/23/A/012 īstenošana. Projekta mērķis – attīstīt pašvaldības pirmsskolas izglītības iestādes infrastruktūru jaunu vietu izveidei pirmsskolas vecuma bērnu uzņemšanai, lai atbilstoši vienlīdzīgas pieejas principam veicinātu pašvaldības pirmsskolas izglītības pakalpojumu pieejamību, t.sk. sociāli un ekonomiski </w:t>
      </w:r>
      <w:r w:rsidRPr="00285129">
        <w:t>mazaizsargāto</w:t>
      </w:r>
      <w:r w:rsidRPr="00285129">
        <w:t xml:space="preserve"> personu grupām Vienošanās ar CFLA par projektu noslēgta 28.12.2024. 2024. gadā tika izstrādāts un saskaņots būvprojekts. </w:t>
      </w:r>
    </w:p>
    <w:p w:rsidR="003A771E" w:rsidRPr="00646EB7" w:rsidP="002A2925" w14:paraId="3D18D179" w14:textId="7E8DB62F">
      <w:pPr>
        <w:numPr>
          <w:ilvl w:val="0"/>
          <w:numId w:val="6"/>
        </w:numPr>
        <w:spacing w:before="120" w:after="120"/>
        <w:ind w:left="714" w:hanging="357"/>
        <w:jc w:val="both"/>
        <w:rPr>
          <w:rFonts w:eastAsia="Calibri"/>
          <w:lang w:eastAsia="en-US"/>
        </w:rPr>
      </w:pPr>
      <w:r w:rsidRPr="00E26658">
        <w:rPr>
          <w:rFonts w:eastAsia="Calibri"/>
          <w:lang w:eastAsia="en-US"/>
        </w:rPr>
        <w:t>Uzsākts projekts “Atbalsta pasākumi cilvēkiem ar invaliditāti mājokļu vides pieejamības nodrošināšanai Ādažu novadā” atbilstoši Eiropas Savienības ANM plāna 3.1. reformu un investīciju virziena “Reģionālā politika” 3.1.2.1.i. investīcijas “Publisko pakalpojumu un nodarbinātības pieejamības veicināšanas pasākumi cilvēkiem ar funkcionāliem traucējumiem” otrās kārtas “Atbalsta pasākumi cilvēkiem ar invaliditāti mājokļu vides pieejamības nodrošināšanai”.</w:t>
      </w:r>
      <w:r w:rsidRPr="00E26658">
        <w:rPr>
          <w:rFonts w:ascii="RobustaTLPro-Regular" w:hAnsi="RobustaTLPro-Regular"/>
          <w:color w:val="212529"/>
          <w:shd w:val="clear" w:color="auto" w:fill="FFFFFF"/>
        </w:rPr>
        <w:t xml:space="preserve"> </w:t>
      </w:r>
      <w:r w:rsidRPr="00E26658">
        <w:rPr>
          <w:rFonts w:eastAsia="Calibri"/>
          <w:lang w:eastAsia="en-US"/>
        </w:rPr>
        <w:t xml:space="preserve">Pasākuma mērķis ir nodrošināt atbalstu mājokļu pielāgošanai personām ar invaliditāti, kurām ir kustību traucējumi, uzlabot nodarbinātības iespējas un pieejamību pakalpojumiem. Projekta ietvaros tiks pielāgoti divi mājokļi, uzstādot pacēlājus, kā arī veicot iekštelpu pielāgojumus. Projekta kopējās izmaksas 46 365 </w:t>
      </w:r>
      <w:r w:rsidRPr="00E26658">
        <w:rPr>
          <w:rFonts w:eastAsia="Calibri"/>
          <w:lang w:eastAsia="en-US"/>
        </w:rPr>
        <w:t>euro</w:t>
      </w:r>
      <w:r w:rsidRPr="00E26658">
        <w:rPr>
          <w:rFonts w:eastAsia="Calibri"/>
          <w:lang w:eastAsia="en-US"/>
        </w:rPr>
        <w:t xml:space="preserve">, </w:t>
      </w:r>
      <w:r w:rsidRPr="00D30138" w:rsidR="00FB6056">
        <w:rPr>
          <w:rFonts w:eastAsia="Calibri"/>
          <w:lang w:eastAsia="en-US"/>
        </w:rPr>
        <w:t>tai skaitā</w:t>
      </w:r>
      <w:r w:rsidR="00FB6056">
        <w:rPr>
          <w:rFonts w:eastAsia="Calibri"/>
          <w:lang w:eastAsia="en-US"/>
        </w:rPr>
        <w:t xml:space="preserve"> </w:t>
      </w:r>
      <w:r w:rsidRPr="00E26658">
        <w:rPr>
          <w:rFonts w:eastAsia="Calibri"/>
          <w:lang w:eastAsia="en-US"/>
        </w:rPr>
        <w:t xml:space="preserve">ANM finansējums 36 598 </w:t>
      </w:r>
      <w:r w:rsidRPr="00E26658">
        <w:rPr>
          <w:rFonts w:eastAsia="Calibri"/>
          <w:lang w:eastAsia="en-US"/>
        </w:rPr>
        <w:t>euro</w:t>
      </w:r>
      <w:r w:rsidRPr="00E26658">
        <w:rPr>
          <w:rFonts w:eastAsia="Calibri"/>
          <w:lang w:eastAsia="en-US"/>
        </w:rPr>
        <w:t xml:space="preserve">, valsts budžeta </w:t>
      </w:r>
      <w:r w:rsidRPr="00646EB7">
        <w:rPr>
          <w:rFonts w:eastAsia="Calibri"/>
          <w:lang w:eastAsia="en-US"/>
        </w:rPr>
        <w:t xml:space="preserve">finansējums 7 597 </w:t>
      </w:r>
      <w:r w:rsidRPr="00646EB7">
        <w:rPr>
          <w:rFonts w:eastAsia="Calibri"/>
          <w:lang w:eastAsia="en-US"/>
        </w:rPr>
        <w:t>euro</w:t>
      </w:r>
      <w:r w:rsidRPr="00646EB7">
        <w:rPr>
          <w:rFonts w:eastAsia="Calibri"/>
          <w:lang w:eastAsia="en-US"/>
        </w:rPr>
        <w:t xml:space="preserve">, pašvaldības finansējums 2 170 </w:t>
      </w:r>
      <w:r w:rsidRPr="00646EB7">
        <w:rPr>
          <w:rFonts w:eastAsia="Calibri"/>
          <w:lang w:eastAsia="en-US"/>
        </w:rPr>
        <w:t>euro</w:t>
      </w:r>
      <w:r w:rsidRPr="00646EB7">
        <w:rPr>
          <w:rFonts w:eastAsia="Calibri"/>
          <w:lang w:eastAsia="en-US"/>
        </w:rPr>
        <w:t>.</w:t>
      </w:r>
    </w:p>
    <w:p w:rsidR="00646EB7" w:rsidRPr="00646EB7" w:rsidP="00646EB7" w14:paraId="069AA0B3" w14:textId="5FFB9A70">
      <w:pPr>
        <w:numPr>
          <w:ilvl w:val="0"/>
          <w:numId w:val="6"/>
        </w:numPr>
        <w:spacing w:before="120"/>
        <w:jc w:val="both"/>
        <w:rPr>
          <w:b/>
          <w:bCs/>
        </w:rPr>
      </w:pPr>
      <w:bookmarkStart w:id="2" w:name="_Hlk193455110"/>
      <w:r w:rsidRPr="00646EB7">
        <w:rPr>
          <w:rFonts w:eastAsia="Calibri"/>
          <w:lang w:eastAsia="en-US"/>
        </w:rPr>
        <w:t>Uzsākta Eiropas Sociālā fonda Plus projekta Nr.4.1.2.2/1/24/I/012 “Pasākumi vietējās sabiedrības veselības veicināšanai un slimību profilaksei Ādažu novadā” plānošana. Projekta mērķis ir uzlabot vienlīdzīgu un savlaicīgu pieejamību veselības veicināšanas un slimību profilakses pakalpojumiem Ādažu novadā</w:t>
      </w:r>
      <w:r w:rsidRPr="00646EB7">
        <w:rPr>
          <w:rFonts w:ascii="RobustaTLPro-Regular" w:hAnsi="RobustaTLPro-Regular"/>
          <w:color w:val="212529"/>
        </w:rPr>
        <w:t xml:space="preserve"> </w:t>
      </w:r>
      <w:r w:rsidRPr="00646EB7">
        <w:rPr>
          <w:rFonts w:eastAsia="Calibri"/>
          <w:lang w:eastAsia="en-US"/>
        </w:rPr>
        <w:t>mērķa grupām un vietējai sabiedrībai šādās jomās - seksuālās un reproduktīvās veselības pasākumi, atkarību mazināšanas un profilakses pasākumi, traumatisma mazināšanas pasākumi, psihiskās veselības pasākumi, veselīga uztura pasākumi, fiziskās aktivitātes veicināšanas pasākumi, slimību profilakses uzlabošana.</w:t>
      </w:r>
      <w:r w:rsidRPr="00646EB7">
        <w:rPr>
          <w:rFonts w:ascii="RobustaTLPro-Regular" w:hAnsi="RobustaTLPro-Regular" w:cs="Aptos"/>
          <w:color w:val="212529"/>
          <w:sz w:val="23"/>
          <w:szCs w:val="23"/>
        </w:rPr>
        <w:t xml:space="preserve"> </w:t>
      </w:r>
      <w:r w:rsidRPr="00646EB7">
        <w:rPr>
          <w:rFonts w:eastAsia="Calibri"/>
          <w:lang w:eastAsia="en-US"/>
        </w:rPr>
        <w:t>Kopējās izmaksas sastāda 200 001 eiro. Finansēšanas avoti un to apjoms: ESF+ 147 122,25 eiro, valsts 25 962,75 eiro, pašvaldība 26 916 eiro.</w:t>
      </w:r>
    </w:p>
    <w:bookmarkEnd w:id="2"/>
    <w:p w:rsidR="003A771E" w:rsidRPr="00E26658" w:rsidP="003A771E" w14:paraId="47389A23" w14:textId="59DA0D22">
      <w:pPr>
        <w:numPr>
          <w:ilvl w:val="0"/>
          <w:numId w:val="6"/>
        </w:numPr>
        <w:spacing w:before="120"/>
        <w:jc w:val="both"/>
      </w:pPr>
      <w:r w:rsidRPr="00E26658">
        <w:rPr>
          <w:rFonts w:eastAsia="Calibri"/>
          <w:lang w:eastAsia="en-US"/>
        </w:rPr>
        <w:t xml:space="preserve">Uzsāktas darbības pie SAM 2.1.3.2. pasākuma “Nacionālas nozīmes plūdu un krasta erozijas pasākumi” projekta Ādažu novadā izstrādes. Ar Ministru kabineta 31.01.2024. rīkojumu Nr. 84 “Eiropas Savienības kohēzijas politikas programmas 2021. – 2027. gadam 2.1.3. specifiskā atbalsta mērķa “Veicināt pielāgošanos klimata pārmaiņām risku </w:t>
      </w:r>
      <w:r w:rsidRPr="00E26658">
        <w:rPr>
          <w:rFonts w:eastAsia="Calibri"/>
          <w:lang w:eastAsia="en-US"/>
        </w:rPr>
        <w:t xml:space="preserve">novēršanu un noturību pret katastrofām” 2.1.3.2. pasākuma “Nacionālas nozīmes plūdu un krasta erozijas pasākumi” projektu iesniegumu atlases otrās kārtas ietvaros” tika atbalstītas pašvaldību projektu idejas, to iesniedzēji, maksimālais Eiropas Reģionālās attīstības fonda finansējums un minimālie sasniedzamie rādītāji, tika apstiprināta arī pašvaldības projekta iecere </w:t>
      </w:r>
      <w:r w:rsidRPr="00E26658">
        <w:rPr>
          <w:rFonts w:eastAsia="Calibri"/>
          <w:i/>
          <w:iCs/>
          <w:lang w:eastAsia="en-US"/>
        </w:rPr>
        <w:t xml:space="preserve">“Jauna aizsargdambja un sūkņu stacijas izbūve, Gaujas upes kreisā krasta nostiprinājums Ādažu novadā”, </w:t>
      </w:r>
      <w:r w:rsidRPr="00E26658">
        <w:rPr>
          <w:rFonts w:eastAsia="Calibri"/>
          <w:lang w:eastAsia="en-US"/>
        </w:rPr>
        <w:t>nosakot projekta idejai maksimāli pieejamo ERAF finansējumu 4 080 000 </w:t>
      </w:r>
      <w:r w:rsidRPr="00E26658">
        <w:rPr>
          <w:rFonts w:eastAsia="Calibri"/>
          <w:lang w:eastAsia="en-US"/>
        </w:rPr>
        <w:t>euro</w:t>
      </w:r>
      <w:r w:rsidRPr="00E26658">
        <w:rPr>
          <w:rFonts w:eastAsia="Calibri"/>
          <w:lang w:eastAsia="en-US"/>
        </w:rPr>
        <w:t xml:space="preserve"> (un maksimālo atbalsta likmi 85% apmērā) un šādus sasniedzamos rādītājus: </w:t>
      </w:r>
      <w:r w:rsidRPr="00E26658">
        <w:rPr>
          <w:rFonts w:eastAsia="Calibri"/>
          <w:lang w:eastAsia="en-US"/>
        </w:rPr>
        <w:t>jaunizveidota</w:t>
      </w:r>
      <w:r w:rsidRPr="00E26658">
        <w:rPr>
          <w:rFonts w:eastAsia="Calibri"/>
          <w:lang w:eastAsia="en-US"/>
        </w:rPr>
        <w:t xml:space="preserve"> vai nostiprināta piekrastes joslas un upju un ezeru krastu aizsardzība pret plūdiem – 3,5 km; iedzīvotāju skaits, kas gūst labumu no </w:t>
      </w:r>
      <w:r w:rsidRPr="00E26658">
        <w:rPr>
          <w:rFonts w:eastAsia="Calibri"/>
          <w:lang w:eastAsia="en-US"/>
        </w:rPr>
        <w:t>pretplūdu</w:t>
      </w:r>
      <w:r w:rsidRPr="00E26658">
        <w:rPr>
          <w:rFonts w:eastAsia="Calibri"/>
          <w:lang w:eastAsia="en-US"/>
        </w:rPr>
        <w:t xml:space="preserve"> pasākumiem – 2494. Lai īstenotu projekta ieceri, 25.04.2024. tika noslēgts līgums ar SIA “Procesu analīzes un izpētes centrs” un SIA “</w:t>
      </w:r>
      <w:r w:rsidRPr="00E26658">
        <w:rPr>
          <w:rFonts w:eastAsia="Calibri"/>
          <w:lang w:eastAsia="en-US"/>
        </w:rPr>
        <w:t>InnoMatrix</w:t>
      </w:r>
      <w:r w:rsidRPr="00E26658">
        <w:rPr>
          <w:rFonts w:eastAsia="Calibri"/>
          <w:lang w:eastAsia="en-US"/>
        </w:rPr>
        <w:t>” par Gaujas upes hidrauliskā modeļa un ietekmes uz tautsaimniecību novērtējuma izstrādi, tai skaitā izmaksu un ieguvumu analīzes izstrādi. Notiek projekta pieteikuma sagatavošana iesniegšanai CFLA, kā arī sarunas un vienošan</w:t>
      </w:r>
      <w:r w:rsidR="001C7917">
        <w:rPr>
          <w:rFonts w:eastAsia="Calibri"/>
          <w:lang w:eastAsia="en-US"/>
        </w:rPr>
        <w:t>os</w:t>
      </w:r>
      <w:r w:rsidRPr="00E26658">
        <w:rPr>
          <w:rFonts w:eastAsia="Calibri"/>
          <w:lang w:eastAsia="en-US"/>
        </w:rPr>
        <w:t xml:space="preserve"> slēgšana ar potenciālo dambja teritoriju skarto zemju īpašniekiem.</w:t>
      </w:r>
    </w:p>
    <w:p w:rsidR="003A771E" w:rsidRPr="00E26658" w:rsidP="003A771E" w14:paraId="617E0741" w14:textId="2302D42B">
      <w:pPr>
        <w:numPr>
          <w:ilvl w:val="0"/>
          <w:numId w:val="6"/>
        </w:numPr>
        <w:spacing w:before="120"/>
        <w:jc w:val="both"/>
      </w:pPr>
      <w:r w:rsidRPr="00E26658">
        <w:rPr>
          <w:rFonts w:eastAsia="Calibri"/>
          <w:lang w:eastAsia="en-US"/>
        </w:rPr>
        <w:t xml:space="preserve">26.11.2024. CFLA iesniegts projekta “Pielāgošanās klimata pārmaiņām Ādažu novada Podniekos” pieteikums. Projekta mērķis: esošās infrastruktūras atjaunošana un pārbūve Ādažu novada Podniekos, paredzot darbības, kas vērstas uz esošo </w:t>
      </w:r>
      <w:r w:rsidRPr="00E26658">
        <w:rPr>
          <w:rFonts w:eastAsia="Calibri"/>
          <w:lang w:eastAsia="en-US"/>
        </w:rPr>
        <w:t>lietusūdens</w:t>
      </w:r>
      <w:r w:rsidRPr="00E26658">
        <w:rPr>
          <w:rFonts w:eastAsia="Calibri"/>
          <w:lang w:eastAsia="en-US"/>
        </w:rPr>
        <w:t xml:space="preserve"> savākšanas sistēmu atjaunošanu, ūdensnecaurlaidīgo segumu nomaiņu pret ūdenscaurlaidīgiem segumiem, peldvietu atjaunošana un krastu </w:t>
      </w:r>
      <w:r w:rsidRPr="00E26658">
        <w:rPr>
          <w:rFonts w:eastAsia="Calibri"/>
          <w:lang w:eastAsia="en-US"/>
        </w:rPr>
        <w:t>preterozijas</w:t>
      </w:r>
      <w:r w:rsidRPr="00E26658">
        <w:rPr>
          <w:rFonts w:eastAsia="Calibri"/>
          <w:lang w:eastAsia="en-US"/>
        </w:rPr>
        <w:t xml:space="preserve"> pasākumus, kā arī nepieciešamās ūdenssaimniecības infrastruktūras, elektrotīklu un vājstrāvu tīklu pārbūvi, veicinot pašvaldības pielāgošanos klimata pārmaiņām. Kopā plānotais finansējums 2 847 772 </w:t>
      </w:r>
      <w:r w:rsidRPr="00E26658">
        <w:rPr>
          <w:rFonts w:eastAsia="Calibri"/>
          <w:lang w:eastAsia="en-US"/>
        </w:rPr>
        <w:t>euro</w:t>
      </w:r>
      <w:r w:rsidRPr="00E26658">
        <w:rPr>
          <w:rFonts w:eastAsia="Calibri"/>
          <w:lang w:eastAsia="en-US"/>
        </w:rPr>
        <w:t xml:space="preserve">, t.sk., ERAF finansējums 2 420 606,20 </w:t>
      </w:r>
      <w:r w:rsidRPr="00E26658">
        <w:rPr>
          <w:rFonts w:eastAsia="Calibri"/>
          <w:lang w:eastAsia="en-US"/>
        </w:rPr>
        <w:t>euro</w:t>
      </w:r>
      <w:r w:rsidRPr="00E26658">
        <w:rPr>
          <w:rFonts w:eastAsia="Calibri"/>
          <w:lang w:eastAsia="en-US"/>
        </w:rPr>
        <w:t xml:space="preserve"> (85%), pašvaldības līdzfinansējums 427 165,80 </w:t>
      </w:r>
      <w:r w:rsidRPr="00E26658">
        <w:rPr>
          <w:rFonts w:eastAsia="Calibri"/>
          <w:lang w:eastAsia="en-US"/>
        </w:rPr>
        <w:t>euro</w:t>
      </w:r>
      <w:r w:rsidRPr="00E26658">
        <w:rPr>
          <w:rFonts w:eastAsia="Calibri"/>
          <w:lang w:eastAsia="en-US"/>
        </w:rPr>
        <w:t xml:space="preserve"> (15%). Projekts ir saskaņošanas stadijā ar CFLA. Realizējot projektu, tiktu pārbūvēta pilsētvides infrastruktūra ar integrētiem “zaļās un zilās” infrastruktūras risinājumiem, kas vienlīdz arī nodrošinātu drošu piekļuvi plānotajai pirmsskolas izglītības iestādei.</w:t>
      </w:r>
    </w:p>
    <w:p w:rsidR="003A771E" w:rsidRPr="00E26658" w:rsidP="003A771E" w14:paraId="3AE940F3" w14:textId="0DD51362">
      <w:pPr>
        <w:numPr>
          <w:ilvl w:val="0"/>
          <w:numId w:val="6"/>
        </w:numPr>
        <w:spacing w:before="120"/>
        <w:jc w:val="both"/>
      </w:pPr>
      <w:r w:rsidRPr="00E26658">
        <w:t xml:space="preserve">28.06.2024. noslēgta vienošanās ar CFLA (vienošanās Nr. 5.1.1.3/1/23/A/029) par projekta “Publiskās </w:t>
      </w:r>
      <w:r w:rsidRPr="00E26658">
        <w:t>ārtelpas</w:t>
      </w:r>
      <w:r w:rsidRPr="00E26658">
        <w:t xml:space="preserve"> attīstība Ādažos Gaujas ielā 31” īstenošanu. 04.10.2024. noslēgts līgums ar SIA “</w:t>
      </w:r>
      <w:r w:rsidRPr="00E26658">
        <w:t>Baltex</w:t>
      </w:r>
      <w:r w:rsidRPr="00E26658">
        <w:t xml:space="preserve"> </w:t>
      </w:r>
      <w:r w:rsidRPr="00E26658">
        <w:t>Group</w:t>
      </w:r>
      <w:r w:rsidRPr="00E26658">
        <w:t xml:space="preserve">” (līgums Nr. JUR 2024-09/981) par būvprojekta izstrādi un autoruzraudzību. Projekta mērķis – publiskas </w:t>
      </w:r>
      <w:r w:rsidRPr="00E26658">
        <w:t>ārtelpas</w:t>
      </w:r>
      <w:r w:rsidRPr="00E26658">
        <w:t xml:space="preserve"> attīstīšana Ādažos, Gaujas ielas 31 teritorijā, līdz 2026.gadam ierīkojot jaunu publiski izmantojamu </w:t>
      </w:r>
      <w:r w:rsidRPr="00E26658">
        <w:t>multifunkcionālu</w:t>
      </w:r>
      <w:r w:rsidRPr="00E26658">
        <w:t xml:space="preserve"> skvēru, labiekārtotu vietu svētkiem, atpūtai, mobilitātei un kultūrai, uzlabo</w:t>
      </w:r>
      <w:r w:rsidR="001C7917">
        <w:t>jot</w:t>
      </w:r>
      <w:r w:rsidRPr="00E26658">
        <w:t xml:space="preserve"> dzīves vides kvalitāti un drošību Ādažu novada iedzīvotājiem un tūristiem. Plānotās kopējās attiecināmās izmaksas ir 506 600 </w:t>
      </w:r>
      <w:r w:rsidRPr="00E26658">
        <w:t>euro</w:t>
      </w:r>
      <w:r w:rsidRPr="00E26658">
        <w:t xml:space="preserve">, t.sk., ERAF finansējums 430 610,00 </w:t>
      </w:r>
      <w:r w:rsidRPr="00E26658">
        <w:t>euro</w:t>
      </w:r>
      <w:r w:rsidRPr="00E26658">
        <w:t xml:space="preserve"> (85%), pašvaldības finansējums 75 990 </w:t>
      </w:r>
      <w:r w:rsidRPr="00E26658">
        <w:t>euro</w:t>
      </w:r>
      <w:r w:rsidRPr="00E26658">
        <w:t xml:space="preserve"> (15%).</w:t>
      </w:r>
    </w:p>
    <w:p w:rsidR="003A771E" w:rsidRPr="00E26658" w:rsidP="003A771E" w14:paraId="216D792E" w14:textId="382324B8">
      <w:pPr>
        <w:numPr>
          <w:ilvl w:val="0"/>
          <w:numId w:val="6"/>
        </w:numPr>
        <w:spacing w:before="120"/>
        <w:jc w:val="both"/>
      </w:pPr>
      <w:r w:rsidRPr="00E26658">
        <w:t>Uzsākt</w:t>
      </w:r>
      <w:r w:rsidR="001C7917">
        <w:t>a</w:t>
      </w:r>
      <w:r w:rsidRPr="00E26658">
        <w:t xml:space="preserve"> projekta “</w:t>
      </w:r>
      <w:r w:rsidRPr="00E26658">
        <w:t>Jaunk</w:t>
      </w:r>
      <w:r w:rsidRPr="00E26658">
        <w:rPr>
          <w:rFonts w:hint="eastAsia"/>
        </w:rPr>
        <w:t>ū</w:t>
      </w:r>
      <w:r w:rsidRPr="00E26658">
        <w:t>lu</w:t>
      </w:r>
      <w:r w:rsidRPr="00E26658">
        <w:t xml:space="preserve"> industri</w:t>
      </w:r>
      <w:r w:rsidRPr="00E26658">
        <w:rPr>
          <w:rFonts w:hint="eastAsia"/>
        </w:rPr>
        <w:t>ā</w:t>
      </w:r>
      <w:r w:rsidRPr="00E26658">
        <w:t>l</w:t>
      </w:r>
      <w:r w:rsidRPr="00E26658">
        <w:rPr>
          <w:rFonts w:hint="eastAsia"/>
        </w:rPr>
        <w:t>ā</w:t>
      </w:r>
      <w:r w:rsidRPr="00E26658">
        <w:t>s teritorijas infrastrukt</w:t>
      </w:r>
      <w:r w:rsidRPr="00E26658">
        <w:rPr>
          <w:rFonts w:hint="eastAsia"/>
        </w:rPr>
        <w:t>ū</w:t>
      </w:r>
      <w:r w:rsidRPr="00E26658">
        <w:t>ras sak</w:t>
      </w:r>
      <w:r w:rsidRPr="00E26658">
        <w:rPr>
          <w:rFonts w:hint="eastAsia"/>
        </w:rPr>
        <w:t>ā</w:t>
      </w:r>
      <w:r w:rsidRPr="00E26658">
        <w:t>rto</w:t>
      </w:r>
      <w:r w:rsidRPr="00E26658">
        <w:rPr>
          <w:rFonts w:hint="eastAsia"/>
        </w:rPr>
        <w:t>š</w:t>
      </w:r>
      <w:r w:rsidRPr="00E26658">
        <w:t>ana uzņēmējdarbības atbalstam un uz</w:t>
      </w:r>
      <w:r w:rsidRPr="00E26658">
        <w:rPr>
          <w:rFonts w:hint="eastAsia"/>
        </w:rPr>
        <w:t>ņē</w:t>
      </w:r>
      <w:r w:rsidRPr="00E26658">
        <w:t>m</w:t>
      </w:r>
      <w:r w:rsidRPr="00E26658">
        <w:rPr>
          <w:rFonts w:hint="eastAsia"/>
        </w:rPr>
        <w:t>ē</w:t>
      </w:r>
      <w:r w:rsidRPr="00E26658">
        <w:t>jdarb</w:t>
      </w:r>
      <w:r w:rsidRPr="00E26658">
        <w:rPr>
          <w:rFonts w:hint="eastAsia"/>
        </w:rPr>
        <w:t>ī</w:t>
      </w:r>
      <w:r w:rsidRPr="00E26658">
        <w:t>bas vides uzlabo</w:t>
      </w:r>
      <w:r w:rsidRPr="00E26658">
        <w:rPr>
          <w:rFonts w:hint="eastAsia"/>
        </w:rPr>
        <w:t>š</w:t>
      </w:r>
      <w:r w:rsidRPr="00E26658">
        <w:t xml:space="preserve">anai </w:t>
      </w:r>
      <w:r w:rsidRPr="00E26658">
        <w:rPr>
          <w:rFonts w:hint="eastAsia"/>
        </w:rPr>
        <w:t>Ā</w:t>
      </w:r>
      <w:r w:rsidRPr="00E26658">
        <w:t>da</w:t>
      </w:r>
      <w:r w:rsidRPr="00E26658">
        <w:rPr>
          <w:rFonts w:hint="eastAsia"/>
        </w:rPr>
        <w:t>ž</w:t>
      </w:r>
      <w:r w:rsidRPr="00E26658">
        <w:t>u novad</w:t>
      </w:r>
      <w:r w:rsidRPr="00E26658">
        <w:rPr>
          <w:rFonts w:hint="eastAsia"/>
        </w:rPr>
        <w:t>ā</w:t>
      </w:r>
      <w:r w:rsidRPr="00E26658">
        <w:t>” iz</w:t>
      </w:r>
      <w:r w:rsidR="001C7917">
        <w:t>pilde</w:t>
      </w:r>
      <w:r w:rsidRPr="00E26658">
        <w:t xml:space="preserve"> - notiek uzņēmēju vajadzību apzināšana, projekta pieteikuma sagatavošanai nepieciešamo dokumentu (Izmaksu un ieguvumu analīzes, projektēšanas iepirkumu tehnisko specifikāciju</w:t>
      </w:r>
      <w:r w:rsidR="001C7917">
        <w:t>,</w:t>
      </w:r>
      <w:r w:rsidRPr="00E26658">
        <w:t xml:space="preserve"> utt.) sagatavošana. 19.12.2024. CFLA tika iesniegts projekta “Infrastruktūras uzlabošana uzņēmējdarbības attīstībai Ādažos, I kārta” pieteikums.</w:t>
      </w:r>
    </w:p>
    <w:p w:rsidR="003A771E" w:rsidP="003A771E" w14:paraId="7FCE9773" w14:textId="3336E1B3">
      <w:pPr>
        <w:numPr>
          <w:ilvl w:val="0"/>
          <w:numId w:val="6"/>
        </w:numPr>
        <w:spacing w:before="120"/>
        <w:jc w:val="both"/>
      </w:pPr>
      <w:r>
        <w:rPr>
          <w:rFonts w:eastAsia="Calibri"/>
          <w:lang w:eastAsia="en-US"/>
        </w:rPr>
        <w:t>Uzsākts projekts “</w:t>
      </w:r>
      <w:r w:rsidRPr="002D571C">
        <w:rPr>
          <w:rFonts w:eastAsia="Calibri"/>
          <w:lang w:eastAsia="en-US"/>
        </w:rPr>
        <w:t>Ūdenstūrisma</w:t>
      </w:r>
      <w:r w:rsidRPr="002D571C">
        <w:rPr>
          <w:rFonts w:eastAsia="Calibri"/>
          <w:lang w:eastAsia="en-US"/>
        </w:rPr>
        <w:t xml:space="preserve"> aktivitāšu pieejamības veicināšana </w:t>
      </w:r>
      <w:r>
        <w:rPr>
          <w:rFonts w:eastAsia="Calibri"/>
          <w:lang w:eastAsia="en-US"/>
        </w:rPr>
        <w:t>–</w:t>
      </w:r>
      <w:r w:rsidRPr="002D571C">
        <w:rPr>
          <w:rFonts w:eastAsia="Calibri"/>
          <w:lang w:eastAsia="en-US"/>
        </w:rPr>
        <w:t xml:space="preserve"> </w:t>
      </w:r>
      <w:r w:rsidRPr="00E26658">
        <w:rPr>
          <w:rFonts w:eastAsia="Calibri"/>
          <w:lang w:eastAsia="en-US"/>
        </w:rPr>
        <w:t>Upesceļi</w:t>
      </w:r>
      <w:r w:rsidRPr="00E26658">
        <w:rPr>
          <w:rFonts w:eastAsia="Calibri"/>
          <w:lang w:eastAsia="en-US"/>
        </w:rPr>
        <w:t xml:space="preserve"> II</w:t>
      </w:r>
      <w:r>
        <w:rPr>
          <w:rFonts w:eastAsia="Calibri"/>
          <w:lang w:eastAsia="en-US"/>
        </w:rPr>
        <w:t xml:space="preserve">”. </w:t>
      </w:r>
      <w:r w:rsidRPr="002D571C">
        <w:rPr>
          <w:rFonts w:eastAsia="Calibri"/>
          <w:lang w:eastAsia="en-US"/>
        </w:rPr>
        <w:t>Projektā plānotās darbības: 3 atpūtas vietu</w:t>
      </w:r>
      <w:r w:rsidR="001C7917">
        <w:rPr>
          <w:rFonts w:eastAsia="Calibri"/>
          <w:lang w:eastAsia="en-US"/>
        </w:rPr>
        <w:t xml:space="preserve"> </w:t>
      </w:r>
      <w:r w:rsidRPr="002D571C">
        <w:rPr>
          <w:rFonts w:eastAsia="Calibri"/>
          <w:lang w:eastAsia="en-US"/>
        </w:rPr>
        <w:t xml:space="preserve">pielāgošana cilvēkiem ar funkcionālajiem traucējumiem (CFT), laivu iecelšanas-izcelšanas vietu un pontona laipu pielāgošana CFT Baltezerā un Carnikavā, pieejama un iekļaujoša </w:t>
      </w:r>
      <w:r w:rsidRPr="002D571C">
        <w:rPr>
          <w:rFonts w:eastAsia="Calibri"/>
          <w:lang w:eastAsia="en-US"/>
        </w:rPr>
        <w:t>ūdenstūrisma</w:t>
      </w:r>
      <w:r w:rsidRPr="002D571C">
        <w:rPr>
          <w:rFonts w:eastAsia="Calibri"/>
          <w:lang w:eastAsia="en-US"/>
        </w:rPr>
        <w:t xml:space="preserve"> popularizēšanai</w:t>
      </w:r>
      <w:r>
        <w:rPr>
          <w:rFonts w:eastAsia="Calibri"/>
          <w:lang w:eastAsia="en-US"/>
        </w:rPr>
        <w:t xml:space="preserve">. </w:t>
      </w:r>
      <w:r w:rsidR="001C7917">
        <w:t>P</w:t>
      </w:r>
      <w:r w:rsidRPr="008F188B">
        <w:t>ašvaldībai paredzētais kopējais indikatīvais finansējums ir 40</w:t>
      </w:r>
      <w:r>
        <w:t> </w:t>
      </w:r>
      <w:r w:rsidRPr="008F188B">
        <w:t>550</w:t>
      </w:r>
      <w:r>
        <w:t xml:space="preserve"> </w:t>
      </w:r>
      <w:r>
        <w:t>euro</w:t>
      </w:r>
      <w:r w:rsidRPr="008F188B">
        <w:t xml:space="preserve"> (t.sk., INTERREG VI-A Igaunijas-Latvijas 2021.-2027 programmas atbalsta intensitāte ir 80 % (32</w:t>
      </w:r>
      <w:r>
        <w:t> </w:t>
      </w:r>
      <w:r w:rsidRPr="008F188B">
        <w:t>440</w:t>
      </w:r>
      <w:r>
        <w:t xml:space="preserve"> </w:t>
      </w:r>
      <w:r>
        <w:t>euro</w:t>
      </w:r>
      <w:r w:rsidRPr="008F188B">
        <w:t>), un atlikušos 20 % (8</w:t>
      </w:r>
      <w:r>
        <w:t> </w:t>
      </w:r>
      <w:r w:rsidRPr="008F188B">
        <w:t>110</w:t>
      </w:r>
      <w:r>
        <w:t xml:space="preserve"> </w:t>
      </w:r>
      <w:r>
        <w:t>euro</w:t>
      </w:r>
      <w:r w:rsidRPr="008F188B">
        <w:t>) veido pašvaldības finansējums).</w:t>
      </w:r>
    </w:p>
    <w:p w:rsidR="00646EB7" w:rsidP="00646EB7" w14:paraId="413DBD0A" w14:textId="77777777">
      <w:pPr>
        <w:spacing w:before="120"/>
        <w:ind w:left="720"/>
        <w:jc w:val="both"/>
      </w:pPr>
    </w:p>
    <w:p w:rsidR="003A771E" w:rsidRPr="00E26658" w:rsidP="002A2925" w14:paraId="33950A65" w14:textId="77777777">
      <w:pPr>
        <w:spacing w:before="120"/>
        <w:rPr>
          <w:b/>
          <w:noProof/>
          <w:color w:val="FF0000"/>
          <w:lang w:eastAsia="en-US"/>
        </w:rPr>
      </w:pPr>
      <w:r w:rsidRPr="00E26658">
        <w:rPr>
          <w:b/>
          <w:noProof/>
          <w:lang w:val="x-none" w:eastAsia="en-US"/>
        </w:rPr>
        <w:t>20</w:t>
      </w:r>
      <w:r w:rsidRPr="00E26658">
        <w:rPr>
          <w:b/>
          <w:noProof/>
          <w:lang w:eastAsia="en-US"/>
        </w:rPr>
        <w:t>24</w:t>
      </w:r>
      <w:r w:rsidRPr="00E26658">
        <w:rPr>
          <w:b/>
          <w:noProof/>
          <w:lang w:val="x-none" w:eastAsia="en-US"/>
        </w:rPr>
        <w:t>.</w:t>
      </w:r>
      <w:r w:rsidRPr="00E26658">
        <w:rPr>
          <w:b/>
          <w:noProof/>
          <w:lang w:eastAsia="en-US"/>
        </w:rPr>
        <w:t xml:space="preserve"> </w:t>
      </w:r>
      <w:r w:rsidRPr="00E26658">
        <w:rPr>
          <w:b/>
          <w:noProof/>
          <w:lang w:val="x-none" w:eastAsia="en-US"/>
        </w:rPr>
        <w:t>gadā pašvaldība veica virkni svarīgu pasākumu tās efektivitātes paaugstināšanai</w:t>
      </w:r>
    </w:p>
    <w:p w:rsidR="003A771E" w:rsidRPr="00E26658" w:rsidP="003A771E" w14:paraId="77BC82A7" w14:textId="5B7D715C">
      <w:pPr>
        <w:numPr>
          <w:ilvl w:val="0"/>
          <w:numId w:val="6"/>
        </w:numPr>
        <w:spacing w:before="120"/>
        <w:ind w:left="714" w:hanging="357"/>
        <w:jc w:val="both"/>
        <w:rPr>
          <w:rFonts w:eastAsia="Calibri"/>
          <w:lang w:eastAsia="en-US"/>
        </w:rPr>
      </w:pPr>
      <w:r w:rsidRPr="00E26658">
        <w:rPr>
          <w:rFonts w:eastAsia="Calibri"/>
          <w:lang w:eastAsia="en-US"/>
        </w:rPr>
        <w:t>2024. gada sākumā tika nodots ekspluatācijā Carnikavas stadions. Projekta “Carnikavas stadiona pārbūve” kopējās izmaksas 1 774 703</w:t>
      </w:r>
      <w:r w:rsidRPr="00285129">
        <w:rPr>
          <w:i/>
          <w:iCs/>
        </w:rPr>
        <w:t xml:space="preserve"> </w:t>
      </w:r>
      <w:r w:rsidRPr="00285129">
        <w:rPr>
          <w:i/>
          <w:iCs/>
        </w:rPr>
        <w:t>euro</w:t>
      </w:r>
      <w:r w:rsidRPr="00E26658">
        <w:rPr>
          <w:rFonts w:eastAsia="Calibri"/>
          <w:lang w:eastAsia="en-US"/>
        </w:rPr>
        <w:t>. Projekta ietvaros uzlaboti skrejceliņi, uzstādītas moduļa tipa ģērbtuves, izbūvēta apgaismojuma sistēma kā arī uzstādītas pārvietojamās tribīnes.</w:t>
      </w:r>
    </w:p>
    <w:p w:rsidR="003A771E" w:rsidRPr="00E26658" w:rsidP="002A2925" w14:paraId="15ED4931" w14:textId="0E1F114B">
      <w:pPr>
        <w:pStyle w:val="ListParagraph"/>
        <w:numPr>
          <w:ilvl w:val="0"/>
          <w:numId w:val="6"/>
        </w:numPr>
        <w:suppressAutoHyphens w:val="0"/>
        <w:spacing w:before="120" w:after="120"/>
        <w:ind w:left="714" w:hanging="357"/>
        <w:contextualSpacing w:val="0"/>
        <w:jc w:val="both"/>
        <w:rPr>
          <w:rFonts w:eastAsia="Calibri"/>
          <w:lang w:eastAsia="en-US"/>
        </w:rPr>
      </w:pPr>
      <w:r w:rsidRPr="00E26658">
        <w:rPr>
          <w:rFonts w:eastAsia="Calibri"/>
          <w:lang w:eastAsia="en-US"/>
        </w:rPr>
        <w:t xml:space="preserve">Īstenots projekts “Pastaigu celiņa izveide gar Gaujas-Baltezera kanālu”. </w:t>
      </w:r>
      <w:r w:rsidR="001C7917">
        <w:rPr>
          <w:rFonts w:eastAsia="Calibri"/>
          <w:lang w:eastAsia="en-US"/>
        </w:rPr>
        <w:t>I</w:t>
      </w:r>
      <w:r w:rsidRPr="00E26658">
        <w:rPr>
          <w:rFonts w:eastAsia="Calibri"/>
          <w:lang w:eastAsia="en-US"/>
        </w:rPr>
        <w:t xml:space="preserve">zbūvēts pastaigu celiņš gar Gaujas – Baltezera kanālu aptuveni 2 km garumā posmā no Zušu ielas (gājēju tilta pie Mazā Baltezera) līdz Podnieku ielai. Projekta kopējās izmaksas 200 127 </w:t>
      </w:r>
      <w:r w:rsidRPr="00E26658">
        <w:rPr>
          <w:rFonts w:eastAsia="Calibri"/>
          <w:lang w:eastAsia="en-US"/>
        </w:rPr>
        <w:t>euro</w:t>
      </w:r>
      <w:r w:rsidRPr="00E26658">
        <w:rPr>
          <w:rFonts w:eastAsia="Calibri"/>
          <w:lang w:eastAsia="en-US"/>
        </w:rPr>
        <w:t xml:space="preserve">, kuras tika finansētas no pašvaldības līdzekļiem.  </w:t>
      </w:r>
    </w:p>
    <w:p w:rsidR="003A771E" w:rsidRPr="0048506E" w:rsidP="003A771E" w14:paraId="4B1D8E7A" w14:textId="77777777">
      <w:pPr>
        <w:numPr>
          <w:ilvl w:val="0"/>
          <w:numId w:val="6"/>
        </w:numPr>
        <w:spacing w:after="120"/>
        <w:jc w:val="both"/>
      </w:pPr>
      <w:r w:rsidRPr="00E22C32">
        <w:rPr>
          <w:rFonts w:eastAsia="Calibri"/>
          <w:lang w:eastAsia="en-US"/>
        </w:rPr>
        <w:t xml:space="preserve">Īstenots projekts “Mežu dienas 2024”, projekta ietvaros Ādažu pilsētas Dailu parkā uzstādītas 2 šūpoles – soli un  uzstādīti 2 piknika galdi. Projektā radīto elementu izmaksas 1500,00 </w:t>
      </w:r>
      <w:r w:rsidRPr="00E22C32">
        <w:rPr>
          <w:rFonts w:eastAsia="Calibri"/>
          <w:lang w:eastAsia="en-US"/>
        </w:rPr>
        <w:t>euro</w:t>
      </w:r>
      <w:r w:rsidRPr="00E22C32">
        <w:rPr>
          <w:rFonts w:eastAsia="Calibri"/>
          <w:lang w:eastAsia="en-US"/>
        </w:rPr>
        <w:t>.</w:t>
      </w:r>
    </w:p>
    <w:bookmarkEnd w:id="0"/>
    <w:p w:rsidR="003A771E" w:rsidRPr="004A78D5" w:rsidP="003A771E" w14:paraId="54EE523E" w14:textId="77777777">
      <w:pPr>
        <w:spacing w:before="240" w:after="120"/>
        <w:jc w:val="center"/>
        <w:rPr>
          <w:sz w:val="23"/>
          <w:szCs w:val="23"/>
          <w:lang w:val="x-none" w:eastAsia="en-US"/>
        </w:rPr>
      </w:pPr>
      <w:r w:rsidRPr="004A78D5">
        <w:rPr>
          <w:b/>
          <w:sz w:val="23"/>
          <w:szCs w:val="23"/>
          <w:lang w:eastAsia="en-US"/>
        </w:rPr>
        <w:t>3. Būtiskākās</w:t>
      </w:r>
      <w:r w:rsidRPr="004A78D5">
        <w:rPr>
          <w:b/>
          <w:sz w:val="23"/>
          <w:szCs w:val="23"/>
          <w:lang w:val="x-none" w:eastAsia="en-US"/>
        </w:rPr>
        <w:t xml:space="preserve"> pārmaiņas pašvaldības darbā un ietekme uz finanšu rezultātiem</w:t>
      </w:r>
    </w:p>
    <w:p w:rsidR="003A771E" w:rsidRPr="00E22C32" w:rsidP="003A771E" w14:paraId="55D6001F" w14:textId="565FABC0">
      <w:pPr>
        <w:spacing w:after="120"/>
        <w:jc w:val="both"/>
        <w:rPr>
          <w:lang w:eastAsia="en-US"/>
        </w:rPr>
      </w:pPr>
      <w:r w:rsidRPr="00E22C32">
        <w:rPr>
          <w:lang w:eastAsia="en-US"/>
        </w:rPr>
        <w:t xml:space="preserve">2024. gadā pašvaldības pamatbudžeta naudas </w:t>
      </w:r>
      <w:r w:rsidRPr="00E22C32">
        <w:rPr>
          <w:b/>
          <w:lang w:eastAsia="en-US"/>
        </w:rPr>
        <w:t xml:space="preserve">ieņēmumi kopā bija </w:t>
      </w:r>
      <w:r w:rsidR="0010793B">
        <w:rPr>
          <w:b/>
          <w:lang w:eastAsia="en-US"/>
        </w:rPr>
        <w:t xml:space="preserve">54 380 622 </w:t>
      </w:r>
      <w:r w:rsidRPr="00E22C32">
        <w:rPr>
          <w:b/>
          <w:lang w:eastAsia="en-US"/>
        </w:rPr>
        <w:t xml:space="preserve"> </w:t>
      </w:r>
      <w:r w:rsidRPr="00922EDC">
        <w:rPr>
          <w:b/>
          <w:bCs/>
          <w:i/>
          <w:iCs/>
        </w:rPr>
        <w:t>euro</w:t>
      </w:r>
      <w:r w:rsidRPr="00E22C32">
        <w:rPr>
          <w:b/>
          <w:lang w:eastAsia="en-US"/>
        </w:rPr>
        <w:t xml:space="preserve"> </w:t>
      </w:r>
      <w:r w:rsidRPr="00E22C32">
        <w:rPr>
          <w:lang w:eastAsia="en-US"/>
        </w:rPr>
        <w:t>(2023. g.</w:t>
      </w:r>
      <w:r w:rsidR="0010793B">
        <w:rPr>
          <w:lang w:eastAsia="en-US"/>
        </w:rPr>
        <w:t xml:space="preserve"> 48 693 039  </w:t>
      </w:r>
      <w:r w:rsidRPr="00922EDC">
        <w:rPr>
          <w:i/>
          <w:iCs/>
        </w:rPr>
        <w:t xml:space="preserve"> </w:t>
      </w:r>
      <w:r w:rsidRPr="00922EDC">
        <w:rPr>
          <w:i/>
          <w:iCs/>
        </w:rPr>
        <w:t>euro</w:t>
      </w:r>
      <w:r w:rsidRPr="00E22C32">
        <w:rPr>
          <w:lang w:eastAsia="en-US"/>
        </w:rPr>
        <w:t xml:space="preserve">). Tika saņemti aizņēmumi no Valsts kases par kopsummu 644 371 </w:t>
      </w:r>
      <w:r w:rsidRPr="00922EDC">
        <w:rPr>
          <w:i/>
          <w:iCs/>
        </w:rPr>
        <w:t>euro</w:t>
      </w:r>
      <w:r w:rsidRPr="00E22C32">
        <w:rPr>
          <w:lang w:eastAsia="en-US"/>
        </w:rPr>
        <w:t xml:space="preserve"> (2023. g. 1 415 146 </w:t>
      </w:r>
      <w:r w:rsidRPr="00922EDC">
        <w:rPr>
          <w:i/>
          <w:iCs/>
        </w:rPr>
        <w:t>euro</w:t>
      </w:r>
      <w:r w:rsidRPr="00E22C32">
        <w:rPr>
          <w:lang w:eastAsia="en-US"/>
        </w:rPr>
        <w:t xml:space="preserve">). </w:t>
      </w:r>
    </w:p>
    <w:p w:rsidR="004D48A7" w:rsidP="003A771E" w14:paraId="34044927" w14:textId="64787DD1">
      <w:pPr>
        <w:spacing w:after="120"/>
        <w:jc w:val="both"/>
        <w:rPr>
          <w:lang w:eastAsia="en-US"/>
        </w:rPr>
      </w:pPr>
      <w:r>
        <w:rPr>
          <w:lang w:eastAsia="en-US"/>
        </w:rPr>
        <w:t xml:space="preserve">Kopējos pamatbudžeta ieņēmumus EUR 54 380 622 pēc naudas plūsmas </w:t>
      </w:r>
      <w:r w:rsidRPr="00E22C32" w:rsidR="003A771E">
        <w:rPr>
          <w:lang w:eastAsia="en-US"/>
        </w:rPr>
        <w:t xml:space="preserve">  veido</w:t>
      </w:r>
      <w:r>
        <w:rPr>
          <w:lang w:eastAsia="en-US"/>
        </w:rPr>
        <w:t>:</w:t>
      </w:r>
    </w:p>
    <w:p w:rsidR="004D48A7" w:rsidP="004D48A7" w14:paraId="6907F292" w14:textId="7D7FA552">
      <w:pPr>
        <w:pStyle w:val="ListParagraph"/>
        <w:numPr>
          <w:ilvl w:val="0"/>
          <w:numId w:val="9"/>
        </w:numPr>
        <w:spacing w:after="120"/>
        <w:jc w:val="both"/>
        <w:rPr>
          <w:lang w:eastAsia="en-US"/>
        </w:rPr>
      </w:pPr>
      <w:r w:rsidRPr="00E22C32">
        <w:rPr>
          <w:lang w:eastAsia="en-US"/>
        </w:rPr>
        <w:t>nodokļu ieņēmumi 40 499 972</w:t>
      </w:r>
      <w:r w:rsidRPr="004D48A7">
        <w:rPr>
          <w:i/>
          <w:iCs/>
        </w:rPr>
        <w:t xml:space="preserve"> </w:t>
      </w:r>
      <w:r w:rsidRPr="004D48A7">
        <w:rPr>
          <w:i/>
          <w:iCs/>
        </w:rPr>
        <w:t>euro</w:t>
      </w:r>
      <w:r w:rsidRPr="00E22C32">
        <w:rPr>
          <w:lang w:eastAsia="en-US"/>
        </w:rPr>
        <w:t xml:space="preserve"> (2023. g. 33 753 737</w:t>
      </w:r>
      <w:r w:rsidRPr="004D48A7">
        <w:rPr>
          <w:i/>
          <w:iCs/>
        </w:rPr>
        <w:t xml:space="preserve"> </w:t>
      </w:r>
      <w:r w:rsidRPr="004D48A7">
        <w:rPr>
          <w:i/>
          <w:iCs/>
        </w:rPr>
        <w:t>euro</w:t>
      </w:r>
      <w:r w:rsidRPr="00E22C32">
        <w:rPr>
          <w:lang w:eastAsia="en-US"/>
        </w:rPr>
        <w:t xml:space="preserve">), </w:t>
      </w:r>
    </w:p>
    <w:p w:rsidR="004D48A7" w:rsidP="004D48A7" w14:paraId="4326AB29" w14:textId="14DA78AE">
      <w:pPr>
        <w:pStyle w:val="ListParagraph"/>
        <w:numPr>
          <w:ilvl w:val="0"/>
          <w:numId w:val="9"/>
        </w:numPr>
        <w:spacing w:after="120"/>
        <w:jc w:val="both"/>
        <w:rPr>
          <w:lang w:eastAsia="en-US"/>
        </w:rPr>
      </w:pPr>
      <w:r w:rsidRPr="00E22C32">
        <w:rPr>
          <w:lang w:eastAsia="en-US"/>
        </w:rPr>
        <w:t>nenodokļu</w:t>
      </w:r>
      <w:r w:rsidRPr="00E22C32">
        <w:rPr>
          <w:lang w:eastAsia="en-US"/>
        </w:rPr>
        <w:t xml:space="preserve"> ieņēmumi un </w:t>
      </w:r>
      <w:r w:rsidRPr="00E22C32">
        <w:rPr>
          <w:lang w:eastAsia="en-US"/>
        </w:rPr>
        <w:t>transferti</w:t>
      </w:r>
      <w:r w:rsidRPr="00E22C32">
        <w:rPr>
          <w:lang w:eastAsia="en-US"/>
        </w:rPr>
        <w:t xml:space="preserve"> </w:t>
      </w:r>
      <w:r w:rsidR="00F00B5B">
        <w:rPr>
          <w:lang w:eastAsia="en-US"/>
        </w:rPr>
        <w:t xml:space="preserve">11 623 673 </w:t>
      </w:r>
      <w:r w:rsidRPr="004D48A7">
        <w:rPr>
          <w:i/>
          <w:iCs/>
        </w:rPr>
        <w:t xml:space="preserve"> </w:t>
      </w:r>
      <w:r w:rsidRPr="004D48A7">
        <w:rPr>
          <w:i/>
          <w:iCs/>
        </w:rPr>
        <w:t>euro</w:t>
      </w:r>
      <w:r w:rsidRPr="00E22C32">
        <w:rPr>
          <w:lang w:eastAsia="en-US"/>
        </w:rPr>
        <w:t xml:space="preserve"> (2023. g. </w:t>
      </w:r>
      <w:r w:rsidR="00F00B5B">
        <w:rPr>
          <w:lang w:eastAsia="en-US"/>
        </w:rPr>
        <w:t xml:space="preserve"> 12 699 859 </w:t>
      </w:r>
      <w:r w:rsidRPr="004D48A7">
        <w:rPr>
          <w:i/>
          <w:iCs/>
        </w:rPr>
        <w:t xml:space="preserve"> </w:t>
      </w:r>
      <w:r w:rsidRPr="004D48A7">
        <w:rPr>
          <w:i/>
          <w:iCs/>
        </w:rPr>
        <w:t>euro</w:t>
      </w:r>
      <w:r w:rsidRPr="00E22C32">
        <w:rPr>
          <w:lang w:eastAsia="en-US"/>
        </w:rPr>
        <w:t xml:space="preserve">), </w:t>
      </w:r>
    </w:p>
    <w:p w:rsidR="003A771E" w:rsidRPr="00E22C32" w:rsidP="00D30138" w14:paraId="6B5A64FA" w14:textId="05C80E5D">
      <w:pPr>
        <w:pStyle w:val="ListParagraph"/>
        <w:numPr>
          <w:ilvl w:val="0"/>
          <w:numId w:val="9"/>
        </w:numPr>
        <w:spacing w:after="120"/>
        <w:jc w:val="both"/>
        <w:rPr>
          <w:lang w:eastAsia="en-US"/>
        </w:rPr>
      </w:pPr>
      <w:r w:rsidRPr="00E22C32">
        <w:rPr>
          <w:lang w:eastAsia="en-US"/>
        </w:rPr>
        <w:t xml:space="preserve">ieņēmumi no maksas pakalpojumiem un ārvalstu finanšu palīdzības </w:t>
      </w:r>
      <w:r w:rsidRPr="00D30138" w:rsidR="007F42AD">
        <w:rPr>
          <w:bCs/>
        </w:rPr>
        <w:t xml:space="preserve"> 2 256 977 </w:t>
      </w:r>
      <w:r w:rsidRPr="00D30138">
        <w:rPr>
          <w:i/>
          <w:iCs/>
        </w:rPr>
        <w:t xml:space="preserve"> </w:t>
      </w:r>
      <w:r w:rsidRPr="00D30138">
        <w:rPr>
          <w:i/>
          <w:iCs/>
        </w:rPr>
        <w:t>euro</w:t>
      </w:r>
      <w:r w:rsidRPr="00E22C32">
        <w:rPr>
          <w:lang w:eastAsia="en-US"/>
        </w:rPr>
        <w:t xml:space="preserve">(2023. g. </w:t>
      </w:r>
      <w:r w:rsidRPr="00D30138" w:rsidR="007F42AD">
        <w:rPr>
          <w:bCs/>
        </w:rPr>
        <w:t xml:space="preserve"> 2 239 443 </w:t>
      </w:r>
      <w:r w:rsidRPr="00D30138">
        <w:rPr>
          <w:bCs/>
        </w:rPr>
        <w:t xml:space="preserve"> </w:t>
      </w:r>
      <w:r w:rsidRPr="00D30138">
        <w:rPr>
          <w:i/>
          <w:iCs/>
        </w:rPr>
        <w:t>euro</w:t>
      </w:r>
      <w:r w:rsidRPr="00E22C32">
        <w:rPr>
          <w:lang w:eastAsia="en-US"/>
        </w:rPr>
        <w:t xml:space="preserve">), </w:t>
      </w:r>
      <w:r w:rsidR="007F42AD">
        <w:rPr>
          <w:lang w:eastAsia="en-US"/>
        </w:rPr>
        <w:t xml:space="preserve">  </w:t>
      </w:r>
      <w:r w:rsidRPr="00E22C32">
        <w:rPr>
          <w:lang w:eastAsia="en-US"/>
        </w:rPr>
        <w:t>Iedzīvotāju ienākuma nodoklis budžeta ieņēmumu daļā bija 37 162 288</w:t>
      </w:r>
      <w:r w:rsidRPr="00D30138">
        <w:rPr>
          <w:i/>
          <w:iCs/>
        </w:rPr>
        <w:t xml:space="preserve"> </w:t>
      </w:r>
      <w:r w:rsidRPr="00D30138">
        <w:rPr>
          <w:i/>
          <w:iCs/>
        </w:rPr>
        <w:t>euro</w:t>
      </w:r>
      <w:r w:rsidRPr="00E22C32">
        <w:rPr>
          <w:lang w:eastAsia="en-US"/>
        </w:rPr>
        <w:t xml:space="preserve"> (2023. g. 30 345 932</w:t>
      </w:r>
      <w:r w:rsidRPr="00D30138">
        <w:rPr>
          <w:i/>
          <w:iCs/>
        </w:rPr>
        <w:t xml:space="preserve"> </w:t>
      </w:r>
      <w:r w:rsidRPr="00D30138">
        <w:rPr>
          <w:i/>
          <w:iCs/>
        </w:rPr>
        <w:t>euro</w:t>
      </w:r>
      <w:r w:rsidRPr="00E22C32">
        <w:rPr>
          <w:lang w:eastAsia="en-US"/>
        </w:rPr>
        <w:t xml:space="preserve">). Ieņēmumi no nekustamā īpašuma nodokļa bija </w:t>
      </w:r>
      <w:r w:rsidRPr="00922EDC">
        <w:rPr>
          <w:lang w:eastAsia="en-US"/>
        </w:rPr>
        <w:t>3 268 785</w:t>
      </w:r>
      <w:r w:rsidRPr="00D30138">
        <w:rPr>
          <w:i/>
          <w:iCs/>
          <w:lang w:eastAsia="en-US"/>
        </w:rPr>
        <w:t xml:space="preserve"> </w:t>
      </w:r>
      <w:r w:rsidRPr="00D30138">
        <w:rPr>
          <w:i/>
          <w:iCs/>
        </w:rPr>
        <w:t>euro</w:t>
      </w:r>
      <w:r w:rsidRPr="00E22C32">
        <w:rPr>
          <w:lang w:eastAsia="en-US"/>
        </w:rPr>
        <w:t xml:space="preserve"> </w:t>
      </w:r>
      <w:r w:rsidRPr="00E22C32">
        <w:rPr>
          <w:lang w:eastAsia="en-US"/>
        </w:rPr>
        <w:t xml:space="preserve">(2023. g. 3 332 419 </w:t>
      </w:r>
      <w:r w:rsidRPr="00D30138">
        <w:rPr>
          <w:i/>
          <w:iCs/>
        </w:rPr>
        <w:t>euro</w:t>
      </w:r>
      <w:r w:rsidRPr="00E22C32">
        <w:rPr>
          <w:lang w:eastAsia="en-US"/>
        </w:rPr>
        <w:t xml:space="preserve">). </w:t>
      </w:r>
    </w:p>
    <w:p w:rsidR="00646EB7" w:rsidP="003A771E" w14:paraId="56C1AA4D" w14:textId="61060477">
      <w:pPr>
        <w:spacing w:after="120"/>
        <w:jc w:val="both"/>
        <w:rPr>
          <w:lang w:eastAsia="en-US"/>
        </w:rPr>
      </w:pPr>
      <w:r w:rsidRPr="00E22C32">
        <w:rPr>
          <w:lang w:eastAsia="en-US"/>
        </w:rPr>
        <w:t xml:space="preserve">2024. gadā pašvaldības pamatbudžeta naudas </w:t>
      </w:r>
      <w:r w:rsidRPr="00E22C32">
        <w:rPr>
          <w:b/>
          <w:lang w:eastAsia="en-US"/>
        </w:rPr>
        <w:t>izdevumi bija</w:t>
      </w:r>
      <w:r w:rsidRPr="00E22C32">
        <w:rPr>
          <w:lang w:eastAsia="en-US"/>
        </w:rPr>
        <w:t xml:space="preserve"> </w:t>
      </w:r>
      <w:r w:rsidR="00A2668F">
        <w:rPr>
          <w:b/>
          <w:bCs/>
        </w:rPr>
        <w:t xml:space="preserve"> 54 328 598 </w:t>
      </w:r>
      <w:r w:rsidRPr="00922EDC">
        <w:rPr>
          <w:i/>
          <w:iCs/>
        </w:rPr>
        <w:t xml:space="preserve"> </w:t>
      </w:r>
      <w:r w:rsidRPr="00922EDC">
        <w:rPr>
          <w:b/>
          <w:bCs/>
          <w:i/>
          <w:iCs/>
        </w:rPr>
        <w:t>euro</w:t>
      </w:r>
      <w:r w:rsidRPr="00E22C32">
        <w:rPr>
          <w:lang w:eastAsia="en-US"/>
        </w:rPr>
        <w:t xml:space="preserve"> (2023. g.  </w:t>
      </w:r>
      <w:r w:rsidR="00A2668F">
        <w:rPr>
          <w:lang w:eastAsia="en-US"/>
        </w:rPr>
        <w:t xml:space="preserve"> 44 361 363 </w:t>
      </w:r>
      <w:r w:rsidRPr="00922EDC">
        <w:rPr>
          <w:i/>
          <w:iCs/>
        </w:rPr>
        <w:t xml:space="preserve"> </w:t>
      </w:r>
      <w:r w:rsidRPr="00922EDC">
        <w:rPr>
          <w:i/>
          <w:iCs/>
        </w:rPr>
        <w:t>euro</w:t>
      </w:r>
      <w:r w:rsidRPr="00E22C32">
        <w:rPr>
          <w:lang w:eastAsia="en-US"/>
        </w:rPr>
        <w:t>).</w:t>
      </w:r>
    </w:p>
    <w:p w:rsidR="00D30138" w:rsidRPr="00E22C32" w:rsidP="003A771E" w14:paraId="4EE589C5" w14:textId="649780F4">
      <w:pPr>
        <w:spacing w:after="120"/>
        <w:jc w:val="both"/>
        <w:rPr>
          <w:lang w:eastAsia="en-US"/>
        </w:rPr>
      </w:pPr>
      <w:r>
        <w:rPr>
          <w:lang w:eastAsia="en-US"/>
        </w:rPr>
        <w:t xml:space="preserve">Izdevumi </w:t>
      </w:r>
      <w:r w:rsidR="00EC2F31">
        <w:rPr>
          <w:lang w:eastAsia="en-US"/>
        </w:rPr>
        <w:t>sadalījumā pa sektoriem ir šādi:</w:t>
      </w:r>
    </w:p>
    <w:p w:rsidR="003A771E" w:rsidRPr="00D30138" w:rsidP="003A771E" w14:paraId="1BEAB627" w14:textId="31CF62E7">
      <w:pPr>
        <w:jc w:val="both"/>
        <w:rPr>
          <w:color w:val="ED0000"/>
          <w:lang w:eastAsia="en-US"/>
        </w:rPr>
      </w:pPr>
    </w:p>
    <w:tbl>
      <w:tblPr>
        <w:tblW w:w="26174" w:type="dxa"/>
        <w:tblInd w:w="-1276" w:type="dxa"/>
        <w:tblLook w:val="04A0"/>
      </w:tblPr>
      <w:tblGrid>
        <w:gridCol w:w="1096"/>
        <w:gridCol w:w="1567"/>
        <w:gridCol w:w="1276"/>
        <w:gridCol w:w="1026"/>
        <w:gridCol w:w="1418"/>
        <w:gridCol w:w="1276"/>
        <w:gridCol w:w="1052"/>
        <w:gridCol w:w="1070"/>
        <w:gridCol w:w="1026"/>
        <w:gridCol w:w="7"/>
        <w:gridCol w:w="953"/>
        <w:gridCol w:w="7"/>
        <w:gridCol w:w="953"/>
        <w:gridCol w:w="7"/>
        <w:gridCol w:w="953"/>
        <w:gridCol w:w="7"/>
        <w:gridCol w:w="953"/>
        <w:gridCol w:w="7"/>
        <w:gridCol w:w="953"/>
        <w:gridCol w:w="7"/>
        <w:gridCol w:w="953"/>
        <w:gridCol w:w="7"/>
        <w:gridCol w:w="953"/>
        <w:gridCol w:w="7"/>
        <w:gridCol w:w="953"/>
        <w:gridCol w:w="7"/>
        <w:gridCol w:w="953"/>
        <w:gridCol w:w="7"/>
        <w:gridCol w:w="953"/>
        <w:gridCol w:w="7"/>
        <w:gridCol w:w="953"/>
        <w:gridCol w:w="7"/>
        <w:gridCol w:w="953"/>
        <w:gridCol w:w="7"/>
        <w:gridCol w:w="953"/>
        <w:gridCol w:w="7"/>
        <w:gridCol w:w="953"/>
        <w:gridCol w:w="7"/>
        <w:gridCol w:w="953"/>
        <w:gridCol w:w="7"/>
        <w:gridCol w:w="953"/>
        <w:gridCol w:w="7"/>
      </w:tblGrid>
      <w:tr w14:paraId="3C004B89" w14:textId="77777777" w:rsidTr="00BC203E">
        <w:tblPrEx>
          <w:tblW w:w="26174" w:type="dxa"/>
          <w:tblInd w:w="-1276" w:type="dxa"/>
          <w:tblLook w:val="04A0"/>
        </w:tblPrEx>
        <w:trPr>
          <w:trHeight w:val="432"/>
        </w:trPr>
        <w:tc>
          <w:tcPr>
            <w:tcW w:w="1096" w:type="dxa"/>
            <w:vMerge w:val="restart"/>
            <w:tcBorders>
              <w:top w:val="single" w:sz="4" w:space="0" w:color="000000"/>
              <w:left w:val="single" w:sz="4" w:space="0" w:color="000000"/>
              <w:bottom w:val="single" w:sz="4" w:space="0" w:color="000000"/>
              <w:right w:val="single" w:sz="4" w:space="0" w:color="000000"/>
            </w:tcBorders>
            <w:shd w:val="clear" w:color="FFFFFF" w:fill="F2F2F2"/>
            <w:vAlign w:val="center"/>
            <w:hideMark/>
          </w:tcPr>
          <w:p w:rsidR="00FB3DA1" w:rsidRPr="00791F03" w:rsidP="00BC203E" w14:paraId="7188F555" w14:textId="77777777">
            <w:pPr>
              <w:jc w:val="center"/>
              <w:rPr>
                <w:color w:val="000000"/>
                <w:sz w:val="16"/>
                <w:szCs w:val="16"/>
                <w:lang w:eastAsia="en-GB"/>
              </w:rPr>
            </w:pPr>
            <w:r w:rsidRPr="00791F03">
              <w:rPr>
                <w:color w:val="000000"/>
                <w:sz w:val="16"/>
                <w:szCs w:val="16"/>
                <w:lang w:eastAsia="en-GB"/>
              </w:rPr>
              <w:t>Klasifikācijas kods</w:t>
            </w:r>
          </w:p>
        </w:tc>
        <w:tc>
          <w:tcPr>
            <w:tcW w:w="1881" w:type="dxa"/>
            <w:vMerge w:val="restart"/>
            <w:tcBorders>
              <w:top w:val="single" w:sz="4" w:space="0" w:color="000000"/>
              <w:left w:val="single" w:sz="4" w:space="0" w:color="000000"/>
              <w:bottom w:val="single" w:sz="4" w:space="0" w:color="000000"/>
              <w:right w:val="single" w:sz="4" w:space="0" w:color="000000"/>
            </w:tcBorders>
            <w:shd w:val="clear" w:color="FFFFFF" w:fill="F2F2F2"/>
            <w:vAlign w:val="center"/>
            <w:hideMark/>
          </w:tcPr>
          <w:p w:rsidR="00FB3DA1" w:rsidRPr="00791F03" w:rsidP="00BC203E" w14:paraId="2E38C0DB" w14:textId="77777777">
            <w:pPr>
              <w:jc w:val="center"/>
              <w:rPr>
                <w:color w:val="000000"/>
                <w:sz w:val="16"/>
                <w:szCs w:val="16"/>
                <w:lang w:eastAsia="en-GB"/>
              </w:rPr>
            </w:pPr>
            <w:r w:rsidRPr="00791F03">
              <w:rPr>
                <w:color w:val="000000"/>
                <w:sz w:val="16"/>
                <w:szCs w:val="16"/>
                <w:lang w:eastAsia="en-GB"/>
              </w:rPr>
              <w:t>Posteņa nosaukums</w:t>
            </w:r>
          </w:p>
        </w:tc>
        <w:tc>
          <w:tcPr>
            <w:tcW w:w="3720" w:type="dxa"/>
            <w:gridSpan w:val="3"/>
            <w:vMerge w:val="restart"/>
            <w:tcBorders>
              <w:top w:val="single" w:sz="4" w:space="0" w:color="000000"/>
              <w:left w:val="single" w:sz="4" w:space="0" w:color="000000"/>
              <w:bottom w:val="single" w:sz="4" w:space="0" w:color="000000"/>
              <w:right w:val="nil"/>
            </w:tcBorders>
            <w:shd w:val="clear" w:color="FFFFFF" w:fill="F2F2F2"/>
            <w:vAlign w:val="center"/>
            <w:hideMark/>
          </w:tcPr>
          <w:p w:rsidR="00FB3DA1" w:rsidRPr="00791F03" w:rsidP="00BC203E" w14:paraId="524B5884" w14:textId="77777777">
            <w:pPr>
              <w:jc w:val="center"/>
              <w:rPr>
                <w:color w:val="000000"/>
                <w:sz w:val="16"/>
                <w:szCs w:val="16"/>
                <w:lang w:eastAsia="en-GB"/>
              </w:rPr>
            </w:pPr>
            <w:r w:rsidRPr="00791F03">
              <w:rPr>
                <w:color w:val="000000"/>
                <w:sz w:val="16"/>
                <w:szCs w:val="16"/>
                <w:lang w:eastAsia="en-GB"/>
              </w:rPr>
              <w:t>Likums/plāns gadam</w:t>
            </w:r>
          </w:p>
        </w:tc>
        <w:tc>
          <w:tcPr>
            <w:tcW w:w="4117" w:type="dxa"/>
            <w:gridSpan w:val="5"/>
            <w:tcBorders>
              <w:top w:val="single" w:sz="4" w:space="0" w:color="000000"/>
              <w:left w:val="single" w:sz="4" w:space="0" w:color="000000"/>
              <w:bottom w:val="single" w:sz="4" w:space="0" w:color="000000"/>
              <w:right w:val="single" w:sz="4" w:space="0" w:color="000000"/>
            </w:tcBorders>
            <w:shd w:val="clear" w:color="FFFFFF" w:fill="F2F2F2"/>
            <w:vAlign w:val="center"/>
            <w:hideMark/>
          </w:tcPr>
          <w:p w:rsidR="00FB3DA1" w:rsidRPr="00791F03" w:rsidP="00BC203E" w14:paraId="2F8F9A51" w14:textId="77777777">
            <w:pPr>
              <w:jc w:val="center"/>
              <w:rPr>
                <w:color w:val="000000"/>
                <w:sz w:val="16"/>
                <w:szCs w:val="16"/>
                <w:lang w:eastAsia="en-GB"/>
              </w:rPr>
            </w:pPr>
            <w:r w:rsidRPr="00791F03">
              <w:rPr>
                <w:color w:val="000000"/>
                <w:sz w:val="16"/>
                <w:szCs w:val="16"/>
                <w:lang w:eastAsia="en-GB"/>
              </w:rPr>
              <w:t>Budžeta izpilde</w:t>
            </w:r>
          </w:p>
        </w:tc>
        <w:tc>
          <w:tcPr>
            <w:tcW w:w="960" w:type="dxa"/>
            <w:gridSpan w:val="2"/>
            <w:tcBorders>
              <w:top w:val="nil"/>
              <w:left w:val="nil"/>
              <w:bottom w:val="nil"/>
              <w:right w:val="nil"/>
            </w:tcBorders>
            <w:shd w:val="clear" w:color="auto" w:fill="auto"/>
            <w:noWrap/>
            <w:vAlign w:val="center"/>
            <w:hideMark/>
          </w:tcPr>
          <w:p w:rsidR="00FB3DA1" w:rsidRPr="00791F03" w:rsidP="00BC203E" w14:paraId="331FF184" w14:textId="77777777">
            <w:pPr>
              <w:jc w:val="center"/>
              <w:rPr>
                <w:color w:val="000000"/>
                <w:sz w:val="16"/>
                <w:szCs w:val="16"/>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6B81117E" w14:textId="77777777">
            <w:pPr>
              <w:rPr>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518905FC" w14:textId="77777777">
            <w:pPr>
              <w:rPr>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10B76E17" w14:textId="77777777">
            <w:pPr>
              <w:rPr>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68071E27" w14:textId="77777777">
            <w:pPr>
              <w:rPr>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741CA80A" w14:textId="77777777">
            <w:pPr>
              <w:rPr>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0A677ABA" w14:textId="77777777">
            <w:pPr>
              <w:rPr>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3EDBE50C" w14:textId="77777777">
            <w:pPr>
              <w:rPr>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14EECF09" w14:textId="77777777">
            <w:pPr>
              <w:rPr>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28893F4C" w14:textId="77777777">
            <w:pPr>
              <w:rPr>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344E14D6" w14:textId="77777777">
            <w:pPr>
              <w:rPr>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3282217F" w14:textId="77777777">
            <w:pPr>
              <w:rPr>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454BD11D" w14:textId="77777777">
            <w:pPr>
              <w:rPr>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08A2266C" w14:textId="77777777">
            <w:pPr>
              <w:rPr>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4FA8AB64" w14:textId="77777777">
            <w:pPr>
              <w:rPr>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14C3F0F9" w14:textId="77777777">
            <w:pPr>
              <w:rPr>
                <w:sz w:val="20"/>
                <w:szCs w:val="20"/>
                <w:lang w:eastAsia="en-GB"/>
              </w:rPr>
            </w:pPr>
          </w:p>
        </w:tc>
      </w:tr>
      <w:tr w14:paraId="4A74EA6A" w14:textId="77777777" w:rsidTr="00BC203E">
        <w:tblPrEx>
          <w:tblW w:w="26174" w:type="dxa"/>
          <w:tblInd w:w="-1276" w:type="dxa"/>
          <w:tblLook w:val="04A0"/>
        </w:tblPrEx>
        <w:trPr>
          <w:gridAfter w:val="1"/>
          <w:wAfter w:w="7" w:type="dxa"/>
          <w:trHeight w:val="58"/>
        </w:trPr>
        <w:tc>
          <w:tcPr>
            <w:tcW w:w="1096" w:type="dxa"/>
            <w:vMerge/>
            <w:tcBorders>
              <w:top w:val="single" w:sz="4" w:space="0" w:color="000000"/>
              <w:left w:val="single" w:sz="4" w:space="0" w:color="000000"/>
              <w:bottom w:val="single" w:sz="4" w:space="0" w:color="000000"/>
              <w:right w:val="single" w:sz="4" w:space="0" w:color="000000"/>
            </w:tcBorders>
            <w:vAlign w:val="center"/>
            <w:hideMark/>
          </w:tcPr>
          <w:p w:rsidR="00FB3DA1" w:rsidRPr="00791F03" w:rsidP="00BC203E" w14:paraId="725EA0C1" w14:textId="77777777">
            <w:pPr>
              <w:rPr>
                <w:color w:val="000000"/>
                <w:sz w:val="16"/>
                <w:szCs w:val="16"/>
                <w:lang w:eastAsia="en-GB"/>
              </w:rPr>
            </w:pPr>
          </w:p>
        </w:tc>
        <w:tc>
          <w:tcPr>
            <w:tcW w:w="1881" w:type="dxa"/>
            <w:vMerge/>
            <w:tcBorders>
              <w:top w:val="single" w:sz="4" w:space="0" w:color="000000"/>
              <w:left w:val="single" w:sz="4" w:space="0" w:color="000000"/>
              <w:bottom w:val="single" w:sz="4" w:space="0" w:color="000000"/>
              <w:right w:val="single" w:sz="4" w:space="0" w:color="000000"/>
            </w:tcBorders>
            <w:vAlign w:val="center"/>
            <w:hideMark/>
          </w:tcPr>
          <w:p w:rsidR="00FB3DA1" w:rsidRPr="00791F03" w:rsidP="00BC203E" w14:paraId="334A1216" w14:textId="77777777">
            <w:pPr>
              <w:rPr>
                <w:color w:val="000000"/>
                <w:sz w:val="16"/>
                <w:szCs w:val="16"/>
                <w:lang w:eastAsia="en-GB"/>
              </w:rPr>
            </w:pPr>
          </w:p>
        </w:tc>
        <w:tc>
          <w:tcPr>
            <w:tcW w:w="3720" w:type="dxa"/>
            <w:gridSpan w:val="3"/>
            <w:vMerge/>
            <w:tcBorders>
              <w:top w:val="single" w:sz="4" w:space="0" w:color="000000"/>
              <w:left w:val="single" w:sz="4" w:space="0" w:color="000000"/>
              <w:bottom w:val="single" w:sz="4" w:space="0" w:color="000000"/>
              <w:right w:val="nil"/>
            </w:tcBorders>
            <w:vAlign w:val="center"/>
            <w:hideMark/>
          </w:tcPr>
          <w:p w:rsidR="00FB3DA1" w:rsidRPr="00791F03" w:rsidP="00BC203E" w14:paraId="3BA4A724" w14:textId="77777777">
            <w:pPr>
              <w:rPr>
                <w:color w:val="000000"/>
                <w:sz w:val="16"/>
                <w:szCs w:val="16"/>
                <w:lang w:eastAsia="en-GB"/>
              </w:rPr>
            </w:pPr>
          </w:p>
        </w:tc>
        <w:tc>
          <w:tcPr>
            <w:tcW w:w="1276" w:type="dxa"/>
            <w:vMerge w:val="restart"/>
            <w:tcBorders>
              <w:top w:val="nil"/>
              <w:left w:val="single" w:sz="4" w:space="0" w:color="000000"/>
              <w:bottom w:val="single" w:sz="4" w:space="0" w:color="000000"/>
              <w:right w:val="single" w:sz="4" w:space="0" w:color="000000"/>
            </w:tcBorders>
            <w:shd w:val="clear" w:color="FFFFFF" w:fill="F2F2F2"/>
            <w:vAlign w:val="center"/>
            <w:hideMark/>
          </w:tcPr>
          <w:p w:rsidR="00FB3DA1" w:rsidP="00BC203E" w14:paraId="607A402B" w14:textId="77777777">
            <w:pPr>
              <w:jc w:val="center"/>
              <w:rPr>
                <w:color w:val="000000"/>
                <w:sz w:val="16"/>
                <w:szCs w:val="16"/>
                <w:lang w:eastAsia="en-GB"/>
              </w:rPr>
            </w:pPr>
            <w:r w:rsidRPr="00791F03">
              <w:rPr>
                <w:color w:val="000000"/>
                <w:sz w:val="16"/>
                <w:szCs w:val="16"/>
                <w:lang w:eastAsia="en-GB"/>
              </w:rPr>
              <w:t>pārskata periodā</w:t>
            </w:r>
          </w:p>
          <w:p w:rsidR="00730D32" w:rsidRPr="00791F03" w:rsidP="00BC203E" w14:paraId="36ACDF0E" w14:textId="3432B1A5">
            <w:pPr>
              <w:jc w:val="center"/>
              <w:rPr>
                <w:color w:val="000000"/>
                <w:sz w:val="16"/>
                <w:szCs w:val="16"/>
                <w:lang w:eastAsia="en-GB"/>
              </w:rPr>
            </w:pPr>
            <w:r>
              <w:rPr>
                <w:color w:val="000000"/>
                <w:sz w:val="16"/>
                <w:szCs w:val="16"/>
                <w:lang w:eastAsia="en-GB"/>
              </w:rPr>
              <w:t>2024.</w:t>
            </w:r>
          </w:p>
        </w:tc>
        <w:tc>
          <w:tcPr>
            <w:tcW w:w="1808" w:type="dxa"/>
            <w:gridSpan w:val="2"/>
            <w:tcBorders>
              <w:top w:val="single" w:sz="4" w:space="0" w:color="000000"/>
              <w:left w:val="nil"/>
              <w:bottom w:val="single" w:sz="4" w:space="0" w:color="000000"/>
              <w:right w:val="nil"/>
            </w:tcBorders>
            <w:shd w:val="clear" w:color="FFFFFF" w:fill="F2F2F2"/>
            <w:vAlign w:val="center"/>
            <w:hideMark/>
          </w:tcPr>
          <w:p w:rsidR="00FB3DA1" w:rsidRPr="00791F03" w:rsidP="00BC203E" w14:paraId="20F5E0CC" w14:textId="77777777">
            <w:pPr>
              <w:jc w:val="center"/>
              <w:rPr>
                <w:color w:val="000000"/>
                <w:sz w:val="16"/>
                <w:szCs w:val="16"/>
                <w:lang w:eastAsia="en-GB"/>
              </w:rPr>
            </w:pPr>
            <w:r w:rsidRPr="00791F03">
              <w:rPr>
                <w:color w:val="000000"/>
                <w:sz w:val="16"/>
                <w:szCs w:val="16"/>
                <w:lang w:eastAsia="en-GB"/>
              </w:rPr>
              <w:t>salīdzinot ar</w:t>
            </w:r>
          </w:p>
        </w:tc>
        <w:tc>
          <w:tcPr>
            <w:tcW w:w="1026" w:type="dxa"/>
            <w:vMerge w:val="restart"/>
            <w:tcBorders>
              <w:top w:val="nil"/>
              <w:left w:val="single" w:sz="4" w:space="0" w:color="000000"/>
              <w:bottom w:val="single" w:sz="4" w:space="0" w:color="000000"/>
              <w:right w:val="single" w:sz="4" w:space="0" w:color="000000"/>
            </w:tcBorders>
            <w:shd w:val="clear" w:color="FFFFFF" w:fill="F2F2F2"/>
            <w:vAlign w:val="center"/>
            <w:hideMark/>
          </w:tcPr>
          <w:p w:rsidR="00FB3DA1" w:rsidP="00BC203E" w14:paraId="71471B77" w14:textId="77777777">
            <w:pPr>
              <w:jc w:val="center"/>
              <w:rPr>
                <w:color w:val="000000"/>
                <w:sz w:val="16"/>
                <w:szCs w:val="16"/>
                <w:lang w:eastAsia="en-GB"/>
              </w:rPr>
            </w:pPr>
            <w:r w:rsidRPr="00791F03">
              <w:rPr>
                <w:color w:val="000000"/>
                <w:sz w:val="16"/>
                <w:szCs w:val="16"/>
                <w:lang w:eastAsia="en-GB"/>
              </w:rPr>
              <w:t>iepriekšējā pārskata periodā</w:t>
            </w:r>
          </w:p>
          <w:p w:rsidR="00730D32" w:rsidRPr="00791F03" w:rsidP="00BC203E" w14:paraId="13BDBB3E" w14:textId="5E31717F">
            <w:pPr>
              <w:jc w:val="center"/>
              <w:rPr>
                <w:color w:val="000000"/>
                <w:sz w:val="16"/>
                <w:szCs w:val="16"/>
                <w:lang w:eastAsia="en-GB"/>
              </w:rPr>
            </w:pPr>
            <w:r>
              <w:rPr>
                <w:color w:val="000000"/>
                <w:sz w:val="16"/>
                <w:szCs w:val="16"/>
                <w:lang w:eastAsia="en-GB"/>
              </w:rPr>
              <w:t>2023</w:t>
            </w:r>
          </w:p>
        </w:tc>
        <w:tc>
          <w:tcPr>
            <w:tcW w:w="960" w:type="dxa"/>
            <w:gridSpan w:val="2"/>
            <w:tcBorders>
              <w:top w:val="nil"/>
              <w:left w:val="nil"/>
              <w:bottom w:val="nil"/>
              <w:right w:val="nil"/>
            </w:tcBorders>
            <w:shd w:val="clear" w:color="auto" w:fill="auto"/>
            <w:noWrap/>
            <w:vAlign w:val="center"/>
            <w:hideMark/>
          </w:tcPr>
          <w:p w:rsidR="00FB3DA1" w:rsidRPr="00791F03" w:rsidP="00BC203E" w14:paraId="70C4F7C9" w14:textId="77777777">
            <w:pPr>
              <w:jc w:val="center"/>
              <w:rPr>
                <w:color w:val="000000"/>
                <w:sz w:val="16"/>
                <w:szCs w:val="16"/>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4F62D80C" w14:textId="77777777">
            <w:pPr>
              <w:rPr>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1E073248" w14:textId="77777777">
            <w:pPr>
              <w:rPr>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1520B98B" w14:textId="77777777">
            <w:pPr>
              <w:rPr>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237AC49E" w14:textId="77777777">
            <w:pPr>
              <w:rPr>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37D5A0F0" w14:textId="77777777">
            <w:pPr>
              <w:rPr>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198BF23A" w14:textId="77777777">
            <w:pPr>
              <w:rPr>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28D86926" w14:textId="77777777">
            <w:pPr>
              <w:rPr>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114694A0" w14:textId="77777777">
            <w:pPr>
              <w:rPr>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5BC06BFB" w14:textId="77777777">
            <w:pPr>
              <w:rPr>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7FFB5C50" w14:textId="77777777">
            <w:pPr>
              <w:rPr>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69116AFC" w14:textId="77777777">
            <w:pPr>
              <w:rPr>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5C42448D" w14:textId="77777777">
            <w:pPr>
              <w:rPr>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754CAA7D" w14:textId="77777777">
            <w:pPr>
              <w:rPr>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19357260" w14:textId="77777777">
            <w:pPr>
              <w:rPr>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3271952F" w14:textId="77777777">
            <w:pPr>
              <w:rPr>
                <w:sz w:val="20"/>
                <w:szCs w:val="20"/>
                <w:lang w:eastAsia="en-GB"/>
              </w:rPr>
            </w:pPr>
          </w:p>
        </w:tc>
      </w:tr>
      <w:tr w14:paraId="0585545C" w14:textId="77777777" w:rsidTr="00BC203E">
        <w:tblPrEx>
          <w:tblW w:w="26174" w:type="dxa"/>
          <w:tblInd w:w="-1276" w:type="dxa"/>
          <w:tblLook w:val="04A0"/>
        </w:tblPrEx>
        <w:trPr>
          <w:gridAfter w:val="1"/>
          <w:wAfter w:w="7" w:type="dxa"/>
          <w:trHeight w:val="472"/>
        </w:trPr>
        <w:tc>
          <w:tcPr>
            <w:tcW w:w="1096" w:type="dxa"/>
            <w:vMerge/>
            <w:tcBorders>
              <w:top w:val="single" w:sz="4" w:space="0" w:color="000000"/>
              <w:left w:val="single" w:sz="4" w:space="0" w:color="000000"/>
              <w:bottom w:val="single" w:sz="4" w:space="0" w:color="000000"/>
              <w:right w:val="single" w:sz="4" w:space="0" w:color="000000"/>
            </w:tcBorders>
            <w:vAlign w:val="center"/>
            <w:hideMark/>
          </w:tcPr>
          <w:p w:rsidR="00FB3DA1" w:rsidRPr="00791F03" w:rsidP="00BC203E" w14:paraId="0251C325" w14:textId="77777777">
            <w:pPr>
              <w:rPr>
                <w:color w:val="000000"/>
                <w:sz w:val="16"/>
                <w:szCs w:val="16"/>
                <w:lang w:eastAsia="en-GB"/>
              </w:rPr>
            </w:pPr>
          </w:p>
        </w:tc>
        <w:tc>
          <w:tcPr>
            <w:tcW w:w="1881" w:type="dxa"/>
            <w:vMerge/>
            <w:tcBorders>
              <w:top w:val="single" w:sz="4" w:space="0" w:color="000000"/>
              <w:left w:val="single" w:sz="4" w:space="0" w:color="000000"/>
              <w:bottom w:val="single" w:sz="4" w:space="0" w:color="000000"/>
              <w:right w:val="single" w:sz="4" w:space="0" w:color="000000"/>
            </w:tcBorders>
            <w:vAlign w:val="center"/>
            <w:hideMark/>
          </w:tcPr>
          <w:p w:rsidR="00FB3DA1" w:rsidRPr="00791F03" w:rsidP="00BC203E" w14:paraId="15B825BB" w14:textId="77777777">
            <w:pPr>
              <w:rPr>
                <w:color w:val="000000"/>
                <w:sz w:val="16"/>
                <w:szCs w:val="16"/>
                <w:lang w:eastAsia="en-GB"/>
              </w:rPr>
            </w:pPr>
          </w:p>
        </w:tc>
        <w:tc>
          <w:tcPr>
            <w:tcW w:w="1276" w:type="dxa"/>
            <w:tcBorders>
              <w:top w:val="nil"/>
              <w:left w:val="nil"/>
              <w:bottom w:val="single" w:sz="4" w:space="0" w:color="000000"/>
              <w:right w:val="single" w:sz="4" w:space="0" w:color="000000"/>
            </w:tcBorders>
            <w:shd w:val="clear" w:color="FFFFFF" w:fill="F2F2F2"/>
            <w:vAlign w:val="center"/>
            <w:hideMark/>
          </w:tcPr>
          <w:p w:rsidR="00FB3DA1" w:rsidP="00BC203E" w14:paraId="271B6994" w14:textId="720EC6AF">
            <w:pPr>
              <w:jc w:val="center"/>
              <w:rPr>
                <w:color w:val="000000"/>
                <w:sz w:val="16"/>
                <w:szCs w:val="16"/>
                <w:lang w:eastAsia="en-GB"/>
              </w:rPr>
            </w:pPr>
            <w:r w:rsidRPr="00791F03">
              <w:rPr>
                <w:color w:val="000000"/>
                <w:sz w:val="16"/>
                <w:szCs w:val="16"/>
                <w:lang w:eastAsia="en-GB"/>
              </w:rPr>
              <w:t>A</w:t>
            </w:r>
            <w:r w:rsidRPr="00791F03">
              <w:rPr>
                <w:color w:val="000000"/>
                <w:sz w:val="16"/>
                <w:szCs w:val="16"/>
                <w:lang w:eastAsia="en-GB"/>
              </w:rPr>
              <w:t>pstiprināts</w:t>
            </w:r>
          </w:p>
          <w:p w:rsidR="006A2CA7" w:rsidRPr="00791F03" w:rsidP="00BC203E" w14:paraId="548C2EC2" w14:textId="7D5AAABB">
            <w:pPr>
              <w:jc w:val="center"/>
              <w:rPr>
                <w:color w:val="000000"/>
                <w:sz w:val="16"/>
                <w:szCs w:val="16"/>
                <w:lang w:eastAsia="en-GB"/>
              </w:rPr>
            </w:pPr>
            <w:r>
              <w:rPr>
                <w:color w:val="000000"/>
                <w:sz w:val="16"/>
                <w:szCs w:val="16"/>
                <w:lang w:eastAsia="en-GB"/>
              </w:rPr>
              <w:t>2024</w:t>
            </w:r>
          </w:p>
        </w:tc>
        <w:tc>
          <w:tcPr>
            <w:tcW w:w="1026" w:type="dxa"/>
            <w:tcBorders>
              <w:top w:val="nil"/>
              <w:left w:val="nil"/>
              <w:bottom w:val="single" w:sz="4" w:space="0" w:color="000000"/>
              <w:right w:val="single" w:sz="4" w:space="0" w:color="000000"/>
            </w:tcBorders>
            <w:shd w:val="clear" w:color="FFFFFF" w:fill="F2F2F2"/>
            <w:vAlign w:val="center"/>
            <w:hideMark/>
          </w:tcPr>
          <w:p w:rsidR="00FB3DA1" w:rsidP="00BC203E" w14:paraId="389EF4D6" w14:textId="77777777">
            <w:pPr>
              <w:jc w:val="center"/>
              <w:rPr>
                <w:color w:val="000000"/>
                <w:sz w:val="16"/>
                <w:szCs w:val="16"/>
                <w:lang w:eastAsia="en-GB"/>
              </w:rPr>
            </w:pPr>
            <w:r w:rsidRPr="00791F03">
              <w:rPr>
                <w:color w:val="000000"/>
                <w:sz w:val="16"/>
                <w:szCs w:val="16"/>
                <w:lang w:eastAsia="en-GB"/>
              </w:rPr>
              <w:t>ar izmaiņām</w:t>
            </w:r>
          </w:p>
          <w:p w:rsidR="006A2CA7" w:rsidRPr="00791F03" w:rsidP="00BC203E" w14:paraId="20EA9F52" w14:textId="314F23CF">
            <w:pPr>
              <w:jc w:val="center"/>
              <w:rPr>
                <w:color w:val="000000"/>
                <w:sz w:val="16"/>
                <w:szCs w:val="16"/>
                <w:lang w:eastAsia="en-GB"/>
              </w:rPr>
            </w:pPr>
            <w:r>
              <w:rPr>
                <w:color w:val="000000"/>
                <w:sz w:val="16"/>
                <w:szCs w:val="16"/>
                <w:lang w:eastAsia="en-GB"/>
              </w:rPr>
              <w:t>2024</w:t>
            </w:r>
          </w:p>
        </w:tc>
        <w:tc>
          <w:tcPr>
            <w:tcW w:w="1418" w:type="dxa"/>
            <w:tcBorders>
              <w:top w:val="nil"/>
              <w:left w:val="nil"/>
              <w:bottom w:val="single" w:sz="4" w:space="0" w:color="000000"/>
              <w:right w:val="nil"/>
            </w:tcBorders>
            <w:shd w:val="clear" w:color="FFFFFF" w:fill="F2F2F2"/>
            <w:vAlign w:val="center"/>
            <w:hideMark/>
          </w:tcPr>
          <w:p w:rsidR="00FB3DA1" w:rsidRPr="00791F03" w:rsidP="00BC203E" w14:paraId="63EED445" w14:textId="3694D829">
            <w:pPr>
              <w:jc w:val="center"/>
              <w:rPr>
                <w:color w:val="000000"/>
                <w:sz w:val="16"/>
                <w:szCs w:val="16"/>
                <w:lang w:eastAsia="en-GB"/>
              </w:rPr>
            </w:pPr>
            <w:r w:rsidRPr="00791F03">
              <w:rPr>
                <w:color w:val="000000"/>
                <w:sz w:val="16"/>
                <w:szCs w:val="16"/>
                <w:lang w:eastAsia="en-GB"/>
              </w:rPr>
              <w:t>izmaiņas</w:t>
            </w:r>
            <w:r w:rsidRPr="00791F03">
              <w:rPr>
                <w:color w:val="000000"/>
                <w:sz w:val="16"/>
                <w:szCs w:val="16"/>
                <w:lang w:eastAsia="en-GB"/>
              </w:rPr>
              <w:br/>
            </w:r>
          </w:p>
        </w:tc>
        <w:tc>
          <w:tcPr>
            <w:tcW w:w="1276" w:type="dxa"/>
            <w:vMerge/>
            <w:tcBorders>
              <w:top w:val="nil"/>
              <w:left w:val="single" w:sz="4" w:space="0" w:color="000000"/>
              <w:bottom w:val="single" w:sz="4" w:space="0" w:color="000000"/>
              <w:right w:val="single" w:sz="4" w:space="0" w:color="000000"/>
            </w:tcBorders>
            <w:vAlign w:val="center"/>
            <w:hideMark/>
          </w:tcPr>
          <w:p w:rsidR="00FB3DA1" w:rsidRPr="00791F03" w:rsidP="00BC203E" w14:paraId="5C523FD8" w14:textId="77777777">
            <w:pPr>
              <w:rPr>
                <w:color w:val="000000"/>
                <w:sz w:val="16"/>
                <w:szCs w:val="16"/>
                <w:lang w:eastAsia="en-GB"/>
              </w:rPr>
            </w:pPr>
          </w:p>
        </w:tc>
        <w:tc>
          <w:tcPr>
            <w:tcW w:w="1052" w:type="dxa"/>
            <w:tcBorders>
              <w:top w:val="nil"/>
              <w:left w:val="nil"/>
              <w:bottom w:val="single" w:sz="4" w:space="0" w:color="000000"/>
              <w:right w:val="single" w:sz="4" w:space="0" w:color="000000"/>
            </w:tcBorders>
            <w:shd w:val="clear" w:color="FFFFFF" w:fill="F2F2F2"/>
            <w:vAlign w:val="center"/>
            <w:hideMark/>
          </w:tcPr>
          <w:p w:rsidR="006A2CA7" w:rsidP="00BC203E" w14:paraId="0D0D7D6B" w14:textId="77777777">
            <w:pPr>
              <w:jc w:val="center"/>
              <w:rPr>
                <w:color w:val="000000"/>
                <w:sz w:val="16"/>
                <w:szCs w:val="16"/>
                <w:lang w:eastAsia="en-GB"/>
              </w:rPr>
            </w:pPr>
            <w:r w:rsidRPr="00791F03">
              <w:rPr>
                <w:color w:val="000000"/>
                <w:sz w:val="16"/>
                <w:szCs w:val="16"/>
                <w:lang w:eastAsia="en-GB"/>
              </w:rPr>
              <w:t>likumā/plānā gadam apstiprināto</w:t>
            </w:r>
          </w:p>
          <w:p w:rsidR="00FB3DA1" w:rsidRPr="00791F03" w:rsidP="00BC203E" w14:paraId="5A682712" w14:textId="05BAB7A6">
            <w:pPr>
              <w:jc w:val="center"/>
              <w:rPr>
                <w:color w:val="000000"/>
                <w:sz w:val="16"/>
                <w:szCs w:val="16"/>
                <w:lang w:eastAsia="en-GB"/>
              </w:rPr>
            </w:pPr>
            <w:r>
              <w:rPr>
                <w:color w:val="000000"/>
                <w:sz w:val="16"/>
                <w:szCs w:val="16"/>
                <w:lang w:eastAsia="en-GB"/>
              </w:rPr>
              <w:t>2024</w:t>
            </w:r>
            <w:r w:rsidRPr="00791F03">
              <w:rPr>
                <w:color w:val="000000"/>
                <w:sz w:val="16"/>
                <w:szCs w:val="16"/>
                <w:lang w:eastAsia="en-GB"/>
              </w:rPr>
              <w:br/>
            </w:r>
          </w:p>
        </w:tc>
        <w:tc>
          <w:tcPr>
            <w:tcW w:w="756" w:type="dxa"/>
            <w:tcBorders>
              <w:top w:val="nil"/>
              <w:left w:val="nil"/>
              <w:bottom w:val="single" w:sz="4" w:space="0" w:color="000000"/>
              <w:right w:val="nil"/>
            </w:tcBorders>
            <w:shd w:val="clear" w:color="FFFFFF" w:fill="F2F2F2"/>
            <w:vAlign w:val="center"/>
            <w:hideMark/>
          </w:tcPr>
          <w:p w:rsidR="00FB3DA1" w:rsidP="00BC203E" w14:paraId="2A4D01C0" w14:textId="77777777">
            <w:pPr>
              <w:jc w:val="center"/>
              <w:rPr>
                <w:color w:val="000000"/>
                <w:sz w:val="16"/>
                <w:szCs w:val="16"/>
                <w:lang w:eastAsia="en-GB"/>
              </w:rPr>
            </w:pPr>
            <w:r w:rsidRPr="00791F03">
              <w:rPr>
                <w:color w:val="000000"/>
                <w:sz w:val="16"/>
                <w:szCs w:val="16"/>
                <w:lang w:eastAsia="en-GB"/>
              </w:rPr>
              <w:t>likumu/plānu gadam ar izmaiņām</w:t>
            </w:r>
          </w:p>
          <w:p w:rsidR="006A2CA7" w:rsidRPr="00791F03" w:rsidP="00BC203E" w14:paraId="68AFC311" w14:textId="48E5CAB7">
            <w:pPr>
              <w:jc w:val="center"/>
              <w:rPr>
                <w:color w:val="000000"/>
                <w:sz w:val="16"/>
                <w:szCs w:val="16"/>
                <w:lang w:eastAsia="en-GB"/>
              </w:rPr>
            </w:pPr>
            <w:r>
              <w:rPr>
                <w:color w:val="000000"/>
                <w:sz w:val="16"/>
                <w:szCs w:val="16"/>
                <w:lang w:eastAsia="en-GB"/>
              </w:rPr>
              <w:t>2024</w:t>
            </w:r>
          </w:p>
        </w:tc>
        <w:tc>
          <w:tcPr>
            <w:tcW w:w="1026" w:type="dxa"/>
            <w:vMerge/>
            <w:tcBorders>
              <w:top w:val="nil"/>
              <w:left w:val="single" w:sz="4" w:space="0" w:color="000000"/>
              <w:bottom w:val="single" w:sz="4" w:space="0" w:color="000000"/>
              <w:right w:val="single" w:sz="4" w:space="0" w:color="000000"/>
            </w:tcBorders>
            <w:vAlign w:val="center"/>
            <w:hideMark/>
          </w:tcPr>
          <w:p w:rsidR="00FB3DA1" w:rsidRPr="00791F03" w:rsidP="00BC203E" w14:paraId="39DB41BC" w14:textId="77777777">
            <w:pPr>
              <w:rPr>
                <w:color w:val="000000"/>
                <w:sz w:val="16"/>
                <w:szCs w:val="16"/>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2B75ABFB" w14:textId="77777777">
            <w:pPr>
              <w:jc w:val="center"/>
              <w:rPr>
                <w:color w:val="000000"/>
                <w:sz w:val="16"/>
                <w:szCs w:val="16"/>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5C537820" w14:textId="77777777">
            <w:pPr>
              <w:rPr>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09344975" w14:textId="77777777">
            <w:pPr>
              <w:rPr>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35F2BB36" w14:textId="77777777">
            <w:pPr>
              <w:rPr>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3C04D8D0" w14:textId="77777777">
            <w:pPr>
              <w:rPr>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20FE875F" w14:textId="77777777">
            <w:pPr>
              <w:rPr>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5F9BF8E3" w14:textId="77777777">
            <w:pPr>
              <w:rPr>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7DA81133" w14:textId="77777777">
            <w:pPr>
              <w:rPr>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33A8D195" w14:textId="77777777">
            <w:pPr>
              <w:rPr>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6E7D04F0" w14:textId="77777777">
            <w:pPr>
              <w:rPr>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4D3353C9" w14:textId="77777777">
            <w:pPr>
              <w:rPr>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452235BD" w14:textId="77777777">
            <w:pPr>
              <w:rPr>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4C7466D5" w14:textId="77777777">
            <w:pPr>
              <w:rPr>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2899C4AF" w14:textId="77777777">
            <w:pPr>
              <w:rPr>
                <w:sz w:val="20"/>
                <w:szCs w:val="20"/>
                <w:lang w:eastAsia="en-GB"/>
              </w:rPr>
            </w:pPr>
          </w:p>
        </w:tc>
        <w:tc>
          <w:tcPr>
            <w:tcW w:w="960" w:type="dxa"/>
            <w:gridSpan w:val="2"/>
            <w:tcBorders>
              <w:top w:val="nil"/>
              <w:left w:val="nil"/>
              <w:bottom w:val="nil"/>
              <w:right w:val="nil"/>
            </w:tcBorders>
            <w:shd w:val="clear" w:color="auto" w:fill="auto"/>
            <w:noWrap/>
            <w:vAlign w:val="bottom"/>
            <w:hideMark/>
          </w:tcPr>
          <w:p w:rsidR="00FB3DA1" w:rsidRPr="00791F03" w:rsidP="00BC203E" w14:paraId="2E1B361B" w14:textId="77777777">
            <w:pPr>
              <w:rPr>
                <w:sz w:val="20"/>
                <w:szCs w:val="20"/>
                <w:lang w:eastAsia="en-GB"/>
              </w:rPr>
            </w:pPr>
          </w:p>
        </w:tc>
        <w:tc>
          <w:tcPr>
            <w:tcW w:w="960" w:type="dxa"/>
            <w:gridSpan w:val="2"/>
            <w:tcBorders>
              <w:top w:val="nil"/>
              <w:left w:val="nil"/>
              <w:bottom w:val="nil"/>
              <w:right w:val="nil"/>
            </w:tcBorders>
            <w:shd w:val="clear" w:color="auto" w:fill="auto"/>
            <w:noWrap/>
            <w:vAlign w:val="bottom"/>
            <w:hideMark/>
          </w:tcPr>
          <w:p w:rsidR="00FB3DA1" w:rsidRPr="00791F03" w:rsidP="00BC203E" w14:paraId="64F77D0D" w14:textId="77777777">
            <w:pPr>
              <w:rPr>
                <w:sz w:val="20"/>
                <w:szCs w:val="20"/>
                <w:lang w:eastAsia="en-GB"/>
              </w:rPr>
            </w:pPr>
          </w:p>
        </w:tc>
      </w:tr>
      <w:tr w14:paraId="03E78CB8" w14:textId="77777777" w:rsidTr="00BC203E">
        <w:tblPrEx>
          <w:tblW w:w="26174" w:type="dxa"/>
          <w:tblInd w:w="-1276" w:type="dxa"/>
          <w:tblLook w:val="04A0"/>
        </w:tblPrEx>
        <w:trPr>
          <w:gridAfter w:val="1"/>
          <w:wAfter w:w="7" w:type="dxa"/>
          <w:trHeight w:val="432"/>
        </w:trPr>
        <w:tc>
          <w:tcPr>
            <w:tcW w:w="1096" w:type="dxa"/>
            <w:tcBorders>
              <w:top w:val="single" w:sz="4" w:space="0" w:color="000000"/>
              <w:left w:val="single" w:sz="4" w:space="0" w:color="000000"/>
              <w:bottom w:val="nil"/>
              <w:right w:val="single" w:sz="4" w:space="0" w:color="000000"/>
            </w:tcBorders>
            <w:shd w:val="clear" w:color="auto" w:fill="auto"/>
            <w:vAlign w:val="center"/>
            <w:hideMark/>
          </w:tcPr>
          <w:p w:rsidR="00FB3DA1" w:rsidRPr="00791F03" w:rsidP="00BC203E" w14:paraId="670211D4" w14:textId="77777777">
            <w:pPr>
              <w:jc w:val="center"/>
              <w:rPr>
                <w:b/>
                <w:bCs/>
                <w:color w:val="000000"/>
                <w:sz w:val="18"/>
                <w:szCs w:val="18"/>
                <w:lang w:eastAsia="en-GB"/>
              </w:rPr>
            </w:pPr>
          </w:p>
        </w:tc>
        <w:tc>
          <w:tcPr>
            <w:tcW w:w="1881" w:type="dxa"/>
            <w:tcBorders>
              <w:top w:val="single" w:sz="4" w:space="0" w:color="000000"/>
              <w:left w:val="nil"/>
              <w:bottom w:val="nil"/>
              <w:right w:val="single" w:sz="4" w:space="0" w:color="000000"/>
            </w:tcBorders>
            <w:shd w:val="clear" w:color="auto" w:fill="auto"/>
            <w:vAlign w:val="center"/>
            <w:hideMark/>
          </w:tcPr>
          <w:p w:rsidR="00FB3DA1" w:rsidRPr="00791F03" w:rsidP="00BC203E" w14:paraId="5572EBFF" w14:textId="77777777">
            <w:pPr>
              <w:rPr>
                <w:b/>
                <w:bCs/>
                <w:color w:val="000000"/>
                <w:sz w:val="18"/>
                <w:szCs w:val="18"/>
                <w:lang w:eastAsia="en-GB"/>
              </w:rPr>
            </w:pPr>
            <w:r w:rsidRPr="00791F03">
              <w:rPr>
                <w:b/>
                <w:bCs/>
                <w:color w:val="000000"/>
                <w:sz w:val="18"/>
                <w:szCs w:val="18"/>
                <w:lang w:eastAsia="en-GB"/>
              </w:rPr>
              <w:t>IZDEVUMI KOPĀ</w:t>
            </w:r>
          </w:p>
        </w:tc>
        <w:tc>
          <w:tcPr>
            <w:tcW w:w="1276" w:type="dxa"/>
            <w:tcBorders>
              <w:top w:val="single" w:sz="4" w:space="0" w:color="000000"/>
              <w:left w:val="nil"/>
              <w:bottom w:val="nil"/>
              <w:right w:val="single" w:sz="4" w:space="0" w:color="000000"/>
            </w:tcBorders>
            <w:shd w:val="clear" w:color="auto" w:fill="auto"/>
            <w:noWrap/>
            <w:vAlign w:val="center"/>
            <w:hideMark/>
          </w:tcPr>
          <w:p w:rsidR="00FB3DA1" w:rsidRPr="00791F03" w:rsidP="00BC203E" w14:paraId="34D48AC0" w14:textId="77777777">
            <w:pPr>
              <w:jc w:val="right"/>
              <w:rPr>
                <w:b/>
                <w:bCs/>
                <w:color w:val="000000"/>
                <w:sz w:val="18"/>
                <w:szCs w:val="18"/>
                <w:lang w:eastAsia="en-GB"/>
              </w:rPr>
            </w:pPr>
            <w:r w:rsidRPr="00791F03">
              <w:rPr>
                <w:b/>
                <w:bCs/>
                <w:color w:val="000000"/>
                <w:sz w:val="18"/>
                <w:szCs w:val="18"/>
                <w:lang w:eastAsia="en-GB"/>
              </w:rPr>
              <w:t>58,661,478</w:t>
            </w:r>
          </w:p>
        </w:tc>
        <w:tc>
          <w:tcPr>
            <w:tcW w:w="1026" w:type="dxa"/>
            <w:tcBorders>
              <w:top w:val="single" w:sz="4" w:space="0" w:color="000000"/>
              <w:left w:val="nil"/>
              <w:bottom w:val="nil"/>
              <w:right w:val="single" w:sz="4" w:space="0" w:color="000000"/>
            </w:tcBorders>
            <w:shd w:val="clear" w:color="auto" w:fill="auto"/>
            <w:noWrap/>
            <w:vAlign w:val="center"/>
            <w:hideMark/>
          </w:tcPr>
          <w:p w:rsidR="00FB3DA1" w:rsidRPr="00791F03" w:rsidP="00BC203E" w14:paraId="58DBBDEB" w14:textId="77777777">
            <w:pPr>
              <w:jc w:val="right"/>
              <w:rPr>
                <w:b/>
                <w:bCs/>
                <w:color w:val="000000"/>
                <w:sz w:val="18"/>
                <w:szCs w:val="18"/>
                <w:lang w:eastAsia="en-GB"/>
              </w:rPr>
            </w:pPr>
            <w:r w:rsidRPr="00791F03">
              <w:rPr>
                <w:b/>
                <w:bCs/>
                <w:color w:val="000000"/>
                <w:sz w:val="18"/>
                <w:szCs w:val="18"/>
                <w:lang w:eastAsia="en-GB"/>
              </w:rPr>
              <w:t>60,486,257</w:t>
            </w:r>
          </w:p>
        </w:tc>
        <w:tc>
          <w:tcPr>
            <w:tcW w:w="1418" w:type="dxa"/>
            <w:tcBorders>
              <w:top w:val="single" w:sz="4" w:space="0" w:color="000000"/>
              <w:left w:val="nil"/>
              <w:bottom w:val="nil"/>
              <w:right w:val="single" w:sz="4" w:space="0" w:color="000000"/>
            </w:tcBorders>
            <w:shd w:val="clear" w:color="auto" w:fill="auto"/>
            <w:noWrap/>
            <w:vAlign w:val="center"/>
            <w:hideMark/>
          </w:tcPr>
          <w:p w:rsidR="00FB3DA1" w:rsidRPr="00791F03" w:rsidP="00BC203E" w14:paraId="0111B5DE" w14:textId="77777777">
            <w:pPr>
              <w:jc w:val="right"/>
              <w:rPr>
                <w:b/>
                <w:bCs/>
                <w:color w:val="000000"/>
                <w:sz w:val="18"/>
                <w:szCs w:val="18"/>
                <w:lang w:eastAsia="en-GB"/>
              </w:rPr>
            </w:pPr>
            <w:r w:rsidRPr="00791F03">
              <w:rPr>
                <w:b/>
                <w:bCs/>
                <w:color w:val="000000"/>
                <w:sz w:val="18"/>
                <w:szCs w:val="18"/>
                <w:lang w:eastAsia="en-GB"/>
              </w:rPr>
              <w:t>1,824,779</w:t>
            </w:r>
          </w:p>
        </w:tc>
        <w:tc>
          <w:tcPr>
            <w:tcW w:w="1276" w:type="dxa"/>
            <w:tcBorders>
              <w:top w:val="single" w:sz="4" w:space="0" w:color="000000"/>
              <w:left w:val="nil"/>
              <w:bottom w:val="nil"/>
              <w:right w:val="single" w:sz="4" w:space="0" w:color="000000"/>
            </w:tcBorders>
            <w:shd w:val="clear" w:color="auto" w:fill="auto"/>
            <w:noWrap/>
            <w:vAlign w:val="center"/>
            <w:hideMark/>
          </w:tcPr>
          <w:p w:rsidR="00FB3DA1" w:rsidRPr="00791F03" w:rsidP="00BC203E" w14:paraId="1F7AC2CB" w14:textId="77777777">
            <w:pPr>
              <w:jc w:val="right"/>
              <w:rPr>
                <w:b/>
                <w:bCs/>
                <w:color w:val="000000"/>
                <w:sz w:val="18"/>
                <w:szCs w:val="18"/>
                <w:lang w:eastAsia="en-GB"/>
              </w:rPr>
            </w:pPr>
            <w:r w:rsidRPr="00791F03">
              <w:rPr>
                <w:b/>
                <w:bCs/>
                <w:color w:val="000000"/>
                <w:sz w:val="18"/>
                <w:szCs w:val="18"/>
                <w:lang w:eastAsia="en-GB"/>
              </w:rPr>
              <w:t>54,328,598</w:t>
            </w:r>
          </w:p>
        </w:tc>
        <w:tc>
          <w:tcPr>
            <w:tcW w:w="1052" w:type="dxa"/>
            <w:tcBorders>
              <w:top w:val="single" w:sz="4" w:space="0" w:color="000000"/>
              <w:left w:val="nil"/>
              <w:bottom w:val="nil"/>
              <w:right w:val="single" w:sz="4" w:space="0" w:color="000000"/>
            </w:tcBorders>
            <w:shd w:val="clear" w:color="auto" w:fill="auto"/>
            <w:noWrap/>
            <w:vAlign w:val="center"/>
            <w:hideMark/>
          </w:tcPr>
          <w:p w:rsidR="00FB3DA1" w:rsidRPr="00791F03" w:rsidP="00BC203E" w14:paraId="438FA19D" w14:textId="77777777">
            <w:pPr>
              <w:jc w:val="right"/>
              <w:rPr>
                <w:b/>
                <w:bCs/>
                <w:color w:val="000000"/>
                <w:sz w:val="18"/>
                <w:szCs w:val="18"/>
                <w:lang w:eastAsia="en-GB"/>
              </w:rPr>
            </w:pPr>
            <w:r w:rsidRPr="00791F03">
              <w:rPr>
                <w:b/>
                <w:bCs/>
                <w:color w:val="000000"/>
                <w:sz w:val="18"/>
                <w:szCs w:val="18"/>
                <w:lang w:eastAsia="en-GB"/>
              </w:rPr>
              <w:t>-4,332,880</w:t>
            </w:r>
          </w:p>
        </w:tc>
        <w:tc>
          <w:tcPr>
            <w:tcW w:w="756" w:type="dxa"/>
            <w:tcBorders>
              <w:top w:val="single" w:sz="4" w:space="0" w:color="000000"/>
              <w:left w:val="nil"/>
              <w:bottom w:val="nil"/>
              <w:right w:val="single" w:sz="4" w:space="0" w:color="000000"/>
            </w:tcBorders>
            <w:shd w:val="clear" w:color="auto" w:fill="auto"/>
            <w:noWrap/>
            <w:vAlign w:val="center"/>
            <w:hideMark/>
          </w:tcPr>
          <w:p w:rsidR="00FB3DA1" w:rsidRPr="00791F03" w:rsidP="00BC203E" w14:paraId="7837EE65" w14:textId="77777777">
            <w:pPr>
              <w:jc w:val="right"/>
              <w:rPr>
                <w:b/>
                <w:bCs/>
                <w:color w:val="000000"/>
                <w:sz w:val="18"/>
                <w:szCs w:val="18"/>
                <w:lang w:eastAsia="en-GB"/>
              </w:rPr>
            </w:pPr>
            <w:r w:rsidRPr="00791F03">
              <w:rPr>
                <w:b/>
                <w:bCs/>
                <w:color w:val="000000"/>
                <w:sz w:val="18"/>
                <w:szCs w:val="18"/>
                <w:lang w:eastAsia="en-GB"/>
              </w:rPr>
              <w:t>-6,157,659</w:t>
            </w:r>
          </w:p>
        </w:tc>
        <w:tc>
          <w:tcPr>
            <w:tcW w:w="1026" w:type="dxa"/>
            <w:tcBorders>
              <w:top w:val="single" w:sz="4" w:space="0" w:color="000000"/>
              <w:left w:val="nil"/>
              <w:bottom w:val="nil"/>
              <w:right w:val="single" w:sz="4" w:space="0" w:color="000000"/>
            </w:tcBorders>
            <w:shd w:val="clear" w:color="auto" w:fill="auto"/>
            <w:noWrap/>
            <w:vAlign w:val="center"/>
            <w:hideMark/>
          </w:tcPr>
          <w:p w:rsidR="00FB3DA1" w:rsidRPr="00791F03" w:rsidP="00BC203E" w14:paraId="14C17F7F" w14:textId="77777777">
            <w:pPr>
              <w:jc w:val="right"/>
              <w:rPr>
                <w:b/>
                <w:bCs/>
                <w:color w:val="000000"/>
                <w:sz w:val="18"/>
                <w:szCs w:val="18"/>
                <w:lang w:eastAsia="en-GB"/>
              </w:rPr>
            </w:pPr>
            <w:r w:rsidRPr="00791F03">
              <w:rPr>
                <w:b/>
                <w:bCs/>
                <w:color w:val="000000"/>
                <w:sz w:val="18"/>
                <w:szCs w:val="18"/>
                <w:lang w:eastAsia="en-GB"/>
              </w:rPr>
              <w:t>44,361,363</w:t>
            </w:r>
          </w:p>
        </w:tc>
        <w:tc>
          <w:tcPr>
            <w:tcW w:w="960" w:type="dxa"/>
            <w:gridSpan w:val="2"/>
            <w:tcBorders>
              <w:top w:val="nil"/>
              <w:left w:val="nil"/>
              <w:bottom w:val="nil"/>
              <w:right w:val="nil"/>
            </w:tcBorders>
            <w:shd w:val="clear" w:color="auto" w:fill="auto"/>
            <w:noWrap/>
            <w:vAlign w:val="center"/>
            <w:hideMark/>
          </w:tcPr>
          <w:p w:rsidR="00FB3DA1" w:rsidRPr="00791F03" w:rsidP="00BC203E" w14:paraId="5E44E6B4" w14:textId="77777777">
            <w:pPr>
              <w:jc w:val="right"/>
              <w:rPr>
                <w:b/>
                <w:bCs/>
                <w:color w:val="000000"/>
                <w:sz w:val="18"/>
                <w:szCs w:val="18"/>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145370BE" w14:textId="77777777">
            <w:pPr>
              <w:rPr>
                <w:sz w:val="18"/>
                <w:szCs w:val="18"/>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6018EB55" w14:textId="77777777">
            <w:pPr>
              <w:rPr>
                <w:sz w:val="18"/>
                <w:szCs w:val="18"/>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37091291" w14:textId="77777777">
            <w:pPr>
              <w:rPr>
                <w:sz w:val="18"/>
                <w:szCs w:val="18"/>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721A13B9" w14:textId="77777777">
            <w:pPr>
              <w:rPr>
                <w:sz w:val="18"/>
                <w:szCs w:val="18"/>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6D73923F" w14:textId="77777777">
            <w:pPr>
              <w:rPr>
                <w:sz w:val="18"/>
                <w:szCs w:val="18"/>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05BE666A" w14:textId="77777777">
            <w:pPr>
              <w:rPr>
                <w:sz w:val="18"/>
                <w:szCs w:val="18"/>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746B96CB" w14:textId="77777777">
            <w:pPr>
              <w:rPr>
                <w:sz w:val="18"/>
                <w:szCs w:val="18"/>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5E84E2FB" w14:textId="77777777">
            <w:pPr>
              <w:rPr>
                <w:sz w:val="18"/>
                <w:szCs w:val="18"/>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2B048D21" w14:textId="77777777">
            <w:pPr>
              <w:rPr>
                <w:sz w:val="18"/>
                <w:szCs w:val="18"/>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68A6EB93" w14:textId="77777777">
            <w:pPr>
              <w:rPr>
                <w:sz w:val="18"/>
                <w:szCs w:val="18"/>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66A85645" w14:textId="77777777">
            <w:pPr>
              <w:rPr>
                <w:sz w:val="18"/>
                <w:szCs w:val="18"/>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6302762C" w14:textId="77777777">
            <w:pPr>
              <w:rPr>
                <w:sz w:val="18"/>
                <w:szCs w:val="18"/>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707C5F68" w14:textId="77777777">
            <w:pPr>
              <w:rPr>
                <w:sz w:val="18"/>
                <w:szCs w:val="18"/>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6E65086C" w14:textId="77777777">
            <w:pPr>
              <w:rPr>
                <w:sz w:val="18"/>
                <w:szCs w:val="18"/>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350109F3" w14:textId="77777777">
            <w:pPr>
              <w:rPr>
                <w:sz w:val="18"/>
                <w:szCs w:val="18"/>
                <w:lang w:eastAsia="en-GB"/>
              </w:rPr>
            </w:pPr>
          </w:p>
        </w:tc>
      </w:tr>
      <w:tr w14:paraId="1B00823D" w14:textId="77777777" w:rsidTr="00BC203E">
        <w:tblPrEx>
          <w:tblW w:w="26174" w:type="dxa"/>
          <w:tblInd w:w="-1276" w:type="dxa"/>
          <w:tblLook w:val="04A0"/>
        </w:tblPrEx>
        <w:trPr>
          <w:gridAfter w:val="1"/>
          <w:wAfter w:w="7" w:type="dxa"/>
          <w:trHeight w:val="432"/>
        </w:trPr>
        <w:tc>
          <w:tcPr>
            <w:tcW w:w="1096" w:type="dxa"/>
            <w:tcBorders>
              <w:top w:val="single" w:sz="4" w:space="0" w:color="000000"/>
              <w:left w:val="single" w:sz="4" w:space="0" w:color="000000"/>
              <w:bottom w:val="nil"/>
              <w:right w:val="single" w:sz="4" w:space="0" w:color="000000"/>
            </w:tcBorders>
            <w:shd w:val="clear" w:color="auto" w:fill="auto"/>
            <w:vAlign w:val="center"/>
            <w:hideMark/>
          </w:tcPr>
          <w:p w:rsidR="00FB3DA1" w:rsidRPr="00791F03" w:rsidP="00BC203E" w14:paraId="650E0F5C" w14:textId="77777777">
            <w:pPr>
              <w:jc w:val="center"/>
              <w:rPr>
                <w:b/>
                <w:bCs/>
                <w:color w:val="000000"/>
                <w:sz w:val="16"/>
                <w:szCs w:val="16"/>
                <w:lang w:eastAsia="en-GB"/>
              </w:rPr>
            </w:pPr>
            <w:r w:rsidRPr="00791F03">
              <w:rPr>
                <w:b/>
                <w:bCs/>
                <w:color w:val="000000"/>
                <w:sz w:val="16"/>
                <w:szCs w:val="16"/>
                <w:lang w:eastAsia="en-GB"/>
              </w:rPr>
              <w:t>01.000</w:t>
            </w:r>
          </w:p>
        </w:tc>
        <w:tc>
          <w:tcPr>
            <w:tcW w:w="1881" w:type="dxa"/>
            <w:tcBorders>
              <w:top w:val="single" w:sz="4" w:space="0" w:color="000000"/>
              <w:left w:val="nil"/>
              <w:bottom w:val="nil"/>
              <w:right w:val="single" w:sz="4" w:space="0" w:color="000000"/>
            </w:tcBorders>
            <w:shd w:val="clear" w:color="auto" w:fill="auto"/>
            <w:vAlign w:val="center"/>
            <w:hideMark/>
          </w:tcPr>
          <w:p w:rsidR="00FB3DA1" w:rsidRPr="00791F03" w:rsidP="00BC203E" w14:paraId="6770362E" w14:textId="77777777">
            <w:pPr>
              <w:ind w:firstLine="160" w:firstLineChars="100"/>
              <w:rPr>
                <w:b/>
                <w:bCs/>
                <w:color w:val="000000"/>
                <w:sz w:val="16"/>
                <w:szCs w:val="16"/>
                <w:lang w:eastAsia="en-GB"/>
              </w:rPr>
            </w:pPr>
            <w:r w:rsidRPr="00791F03">
              <w:rPr>
                <w:b/>
                <w:bCs/>
                <w:color w:val="000000"/>
                <w:sz w:val="16"/>
                <w:szCs w:val="16"/>
                <w:lang w:eastAsia="en-GB"/>
              </w:rPr>
              <w:t>Vispārējie valdības dienesti</w:t>
            </w:r>
          </w:p>
        </w:tc>
        <w:tc>
          <w:tcPr>
            <w:tcW w:w="1276" w:type="dxa"/>
            <w:tcBorders>
              <w:top w:val="single" w:sz="4" w:space="0" w:color="000000"/>
              <w:left w:val="nil"/>
              <w:bottom w:val="nil"/>
              <w:right w:val="single" w:sz="4" w:space="0" w:color="000000"/>
            </w:tcBorders>
            <w:shd w:val="clear" w:color="auto" w:fill="auto"/>
            <w:noWrap/>
            <w:vAlign w:val="center"/>
            <w:hideMark/>
          </w:tcPr>
          <w:p w:rsidR="00FB3DA1" w:rsidRPr="00791F03" w:rsidP="00BC203E" w14:paraId="56DB62EB" w14:textId="77777777">
            <w:pPr>
              <w:jc w:val="right"/>
              <w:rPr>
                <w:b/>
                <w:bCs/>
                <w:color w:val="000000"/>
                <w:sz w:val="16"/>
                <w:szCs w:val="16"/>
                <w:lang w:eastAsia="en-GB"/>
              </w:rPr>
            </w:pPr>
            <w:r w:rsidRPr="00791F03">
              <w:rPr>
                <w:b/>
                <w:bCs/>
                <w:color w:val="000000"/>
                <w:sz w:val="16"/>
                <w:szCs w:val="16"/>
                <w:lang w:eastAsia="en-GB"/>
              </w:rPr>
              <w:t>11,593,156</w:t>
            </w:r>
          </w:p>
        </w:tc>
        <w:tc>
          <w:tcPr>
            <w:tcW w:w="1026" w:type="dxa"/>
            <w:tcBorders>
              <w:top w:val="single" w:sz="4" w:space="0" w:color="000000"/>
              <w:left w:val="nil"/>
              <w:bottom w:val="nil"/>
              <w:right w:val="single" w:sz="4" w:space="0" w:color="000000"/>
            </w:tcBorders>
            <w:shd w:val="clear" w:color="auto" w:fill="auto"/>
            <w:noWrap/>
            <w:vAlign w:val="center"/>
            <w:hideMark/>
          </w:tcPr>
          <w:p w:rsidR="00FB3DA1" w:rsidRPr="00791F03" w:rsidP="00BC203E" w14:paraId="396EB3E7" w14:textId="77777777">
            <w:pPr>
              <w:jc w:val="right"/>
              <w:rPr>
                <w:b/>
                <w:bCs/>
                <w:color w:val="000000"/>
                <w:sz w:val="16"/>
                <w:szCs w:val="16"/>
                <w:lang w:eastAsia="en-GB"/>
              </w:rPr>
            </w:pPr>
            <w:r w:rsidRPr="00791F03">
              <w:rPr>
                <w:b/>
                <w:bCs/>
                <w:color w:val="000000"/>
                <w:sz w:val="16"/>
                <w:szCs w:val="16"/>
                <w:lang w:eastAsia="en-GB"/>
              </w:rPr>
              <w:t>11,647,345</w:t>
            </w:r>
          </w:p>
        </w:tc>
        <w:tc>
          <w:tcPr>
            <w:tcW w:w="1418" w:type="dxa"/>
            <w:tcBorders>
              <w:top w:val="single" w:sz="4" w:space="0" w:color="000000"/>
              <w:left w:val="nil"/>
              <w:bottom w:val="nil"/>
              <w:right w:val="single" w:sz="4" w:space="0" w:color="000000"/>
            </w:tcBorders>
            <w:shd w:val="clear" w:color="auto" w:fill="auto"/>
            <w:noWrap/>
            <w:vAlign w:val="center"/>
            <w:hideMark/>
          </w:tcPr>
          <w:p w:rsidR="00FB3DA1" w:rsidRPr="00791F03" w:rsidP="00BC203E" w14:paraId="66F87949" w14:textId="77777777">
            <w:pPr>
              <w:jc w:val="right"/>
              <w:rPr>
                <w:b/>
                <w:bCs/>
                <w:color w:val="000000"/>
                <w:sz w:val="16"/>
                <w:szCs w:val="16"/>
                <w:lang w:eastAsia="en-GB"/>
              </w:rPr>
            </w:pPr>
            <w:r w:rsidRPr="00791F03">
              <w:rPr>
                <w:b/>
                <w:bCs/>
                <w:color w:val="000000"/>
                <w:sz w:val="16"/>
                <w:szCs w:val="16"/>
                <w:lang w:eastAsia="en-GB"/>
              </w:rPr>
              <w:t>54,189</w:t>
            </w:r>
          </w:p>
        </w:tc>
        <w:tc>
          <w:tcPr>
            <w:tcW w:w="1276" w:type="dxa"/>
            <w:tcBorders>
              <w:top w:val="single" w:sz="4" w:space="0" w:color="000000"/>
              <w:left w:val="nil"/>
              <w:bottom w:val="nil"/>
              <w:right w:val="single" w:sz="4" w:space="0" w:color="000000"/>
            </w:tcBorders>
            <w:shd w:val="clear" w:color="auto" w:fill="auto"/>
            <w:noWrap/>
            <w:vAlign w:val="center"/>
            <w:hideMark/>
          </w:tcPr>
          <w:p w:rsidR="00FB3DA1" w:rsidRPr="00791F03" w:rsidP="00BC203E" w14:paraId="6551D396" w14:textId="77777777">
            <w:pPr>
              <w:jc w:val="right"/>
              <w:rPr>
                <w:b/>
                <w:bCs/>
                <w:color w:val="000000"/>
                <w:sz w:val="16"/>
                <w:szCs w:val="16"/>
                <w:lang w:eastAsia="en-GB"/>
              </w:rPr>
            </w:pPr>
            <w:r w:rsidRPr="00791F03">
              <w:rPr>
                <w:b/>
                <w:bCs/>
                <w:color w:val="000000"/>
                <w:sz w:val="16"/>
                <w:szCs w:val="16"/>
                <w:lang w:eastAsia="en-GB"/>
              </w:rPr>
              <w:t>11,642,513</w:t>
            </w:r>
          </w:p>
        </w:tc>
        <w:tc>
          <w:tcPr>
            <w:tcW w:w="1052" w:type="dxa"/>
            <w:tcBorders>
              <w:top w:val="single" w:sz="4" w:space="0" w:color="000000"/>
              <w:left w:val="nil"/>
              <w:bottom w:val="nil"/>
              <w:right w:val="single" w:sz="4" w:space="0" w:color="000000"/>
            </w:tcBorders>
            <w:shd w:val="clear" w:color="auto" w:fill="auto"/>
            <w:noWrap/>
            <w:vAlign w:val="center"/>
            <w:hideMark/>
          </w:tcPr>
          <w:p w:rsidR="00FB3DA1" w:rsidRPr="00791F03" w:rsidP="00BC203E" w14:paraId="0F2F1B2E" w14:textId="77777777">
            <w:pPr>
              <w:jc w:val="right"/>
              <w:rPr>
                <w:b/>
                <w:bCs/>
                <w:color w:val="000000"/>
                <w:sz w:val="16"/>
                <w:szCs w:val="16"/>
                <w:lang w:eastAsia="en-GB"/>
              </w:rPr>
            </w:pPr>
            <w:r w:rsidRPr="00791F03">
              <w:rPr>
                <w:b/>
                <w:bCs/>
                <w:color w:val="000000"/>
                <w:sz w:val="16"/>
                <w:szCs w:val="16"/>
                <w:lang w:eastAsia="en-GB"/>
              </w:rPr>
              <w:t>49,357</w:t>
            </w:r>
          </w:p>
        </w:tc>
        <w:tc>
          <w:tcPr>
            <w:tcW w:w="756" w:type="dxa"/>
            <w:tcBorders>
              <w:top w:val="single" w:sz="4" w:space="0" w:color="000000"/>
              <w:left w:val="nil"/>
              <w:bottom w:val="nil"/>
              <w:right w:val="single" w:sz="4" w:space="0" w:color="000000"/>
            </w:tcBorders>
            <w:shd w:val="clear" w:color="auto" w:fill="auto"/>
            <w:noWrap/>
            <w:vAlign w:val="center"/>
            <w:hideMark/>
          </w:tcPr>
          <w:p w:rsidR="00FB3DA1" w:rsidRPr="00791F03" w:rsidP="00BC203E" w14:paraId="1D326697" w14:textId="77777777">
            <w:pPr>
              <w:jc w:val="right"/>
              <w:rPr>
                <w:b/>
                <w:bCs/>
                <w:color w:val="000000"/>
                <w:sz w:val="16"/>
                <w:szCs w:val="16"/>
                <w:lang w:eastAsia="en-GB"/>
              </w:rPr>
            </w:pPr>
            <w:r w:rsidRPr="00791F03">
              <w:rPr>
                <w:b/>
                <w:bCs/>
                <w:color w:val="000000"/>
                <w:sz w:val="16"/>
                <w:szCs w:val="16"/>
                <w:lang w:eastAsia="en-GB"/>
              </w:rPr>
              <w:t>-4,832</w:t>
            </w:r>
          </w:p>
        </w:tc>
        <w:tc>
          <w:tcPr>
            <w:tcW w:w="1026" w:type="dxa"/>
            <w:tcBorders>
              <w:top w:val="single" w:sz="4" w:space="0" w:color="000000"/>
              <w:left w:val="nil"/>
              <w:bottom w:val="nil"/>
              <w:right w:val="single" w:sz="4" w:space="0" w:color="000000"/>
            </w:tcBorders>
            <w:shd w:val="clear" w:color="auto" w:fill="auto"/>
            <w:noWrap/>
            <w:vAlign w:val="center"/>
            <w:hideMark/>
          </w:tcPr>
          <w:p w:rsidR="00FB3DA1" w:rsidRPr="00791F03" w:rsidP="00BC203E" w14:paraId="31966F25" w14:textId="77777777">
            <w:pPr>
              <w:jc w:val="right"/>
              <w:rPr>
                <w:b/>
                <w:bCs/>
                <w:color w:val="000000"/>
                <w:sz w:val="16"/>
                <w:szCs w:val="16"/>
                <w:lang w:eastAsia="en-GB"/>
              </w:rPr>
            </w:pPr>
            <w:r w:rsidRPr="00791F03">
              <w:rPr>
                <w:b/>
                <w:bCs/>
                <w:color w:val="000000"/>
                <w:sz w:val="16"/>
                <w:szCs w:val="16"/>
                <w:lang w:eastAsia="en-GB"/>
              </w:rPr>
              <w:t>8,327,305</w:t>
            </w:r>
          </w:p>
        </w:tc>
        <w:tc>
          <w:tcPr>
            <w:tcW w:w="960" w:type="dxa"/>
            <w:gridSpan w:val="2"/>
            <w:tcBorders>
              <w:top w:val="nil"/>
              <w:left w:val="nil"/>
              <w:bottom w:val="nil"/>
              <w:right w:val="nil"/>
            </w:tcBorders>
            <w:shd w:val="clear" w:color="auto" w:fill="auto"/>
            <w:noWrap/>
            <w:vAlign w:val="center"/>
            <w:hideMark/>
          </w:tcPr>
          <w:p w:rsidR="00FB3DA1" w:rsidRPr="00791F03" w:rsidP="00BC203E" w14:paraId="7332B26F" w14:textId="77777777">
            <w:pPr>
              <w:rPr>
                <w:b/>
                <w:bCs/>
                <w:color w:val="000000"/>
                <w:sz w:val="16"/>
                <w:szCs w:val="16"/>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7AF43DEA" w14:textId="77777777">
            <w:pPr>
              <w:rPr>
                <w:b/>
                <w:bCs/>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06F821F0" w14:textId="77777777">
            <w:pPr>
              <w:rPr>
                <w:b/>
                <w:bCs/>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783AA543" w14:textId="77777777">
            <w:pPr>
              <w:rPr>
                <w:b/>
                <w:bCs/>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7CE2FA91" w14:textId="77777777">
            <w:pPr>
              <w:rPr>
                <w:b/>
                <w:bCs/>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2AB37700" w14:textId="77777777">
            <w:pPr>
              <w:rPr>
                <w:b/>
                <w:bCs/>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41E90B40" w14:textId="77777777">
            <w:pPr>
              <w:rPr>
                <w:b/>
                <w:bCs/>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24615E55" w14:textId="77777777">
            <w:pPr>
              <w:rPr>
                <w:b/>
                <w:bCs/>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466CB2AD" w14:textId="77777777">
            <w:pPr>
              <w:rPr>
                <w:b/>
                <w:bCs/>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530F81D8" w14:textId="77777777">
            <w:pPr>
              <w:rPr>
                <w:b/>
                <w:bCs/>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14F523FF" w14:textId="77777777">
            <w:pPr>
              <w:rPr>
                <w:b/>
                <w:bCs/>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1B72B007" w14:textId="77777777">
            <w:pPr>
              <w:rPr>
                <w:b/>
                <w:bCs/>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19D7AD79" w14:textId="77777777">
            <w:pPr>
              <w:rPr>
                <w:b/>
                <w:bCs/>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0226C5E4" w14:textId="77777777">
            <w:pPr>
              <w:rPr>
                <w:b/>
                <w:bCs/>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24826185" w14:textId="77777777">
            <w:pPr>
              <w:rPr>
                <w:b/>
                <w:bCs/>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38E3ECCF" w14:textId="77777777">
            <w:pPr>
              <w:rPr>
                <w:b/>
                <w:bCs/>
                <w:sz w:val="20"/>
                <w:szCs w:val="20"/>
                <w:lang w:eastAsia="en-GB"/>
              </w:rPr>
            </w:pPr>
          </w:p>
        </w:tc>
      </w:tr>
      <w:tr w14:paraId="172539B3" w14:textId="77777777" w:rsidTr="00BC203E">
        <w:tblPrEx>
          <w:tblW w:w="26174" w:type="dxa"/>
          <w:tblInd w:w="-1276" w:type="dxa"/>
          <w:tblLook w:val="04A0"/>
        </w:tblPrEx>
        <w:trPr>
          <w:gridAfter w:val="1"/>
          <w:wAfter w:w="7" w:type="dxa"/>
          <w:trHeight w:val="432"/>
        </w:trPr>
        <w:tc>
          <w:tcPr>
            <w:tcW w:w="1096" w:type="dxa"/>
            <w:tcBorders>
              <w:top w:val="single" w:sz="4" w:space="0" w:color="000000"/>
              <w:left w:val="single" w:sz="4" w:space="0" w:color="000000"/>
              <w:bottom w:val="nil"/>
              <w:right w:val="single" w:sz="4" w:space="0" w:color="000000"/>
            </w:tcBorders>
            <w:shd w:val="clear" w:color="auto" w:fill="auto"/>
            <w:vAlign w:val="center"/>
            <w:hideMark/>
          </w:tcPr>
          <w:p w:rsidR="00FB3DA1" w:rsidRPr="00791F03" w:rsidP="00BC203E" w14:paraId="7D912B1C" w14:textId="77777777">
            <w:pPr>
              <w:jc w:val="both"/>
              <w:rPr>
                <w:i/>
                <w:iCs/>
                <w:color w:val="000000"/>
                <w:sz w:val="16"/>
                <w:szCs w:val="16"/>
                <w:lang w:eastAsia="en-GB"/>
              </w:rPr>
            </w:pPr>
            <w:r w:rsidRPr="00996CB7">
              <w:rPr>
                <w:i/>
                <w:iCs/>
                <w:color w:val="000000"/>
                <w:sz w:val="16"/>
                <w:szCs w:val="16"/>
                <w:lang w:eastAsia="en-GB"/>
              </w:rPr>
              <w:t>tai skaitā</w:t>
            </w:r>
          </w:p>
        </w:tc>
        <w:tc>
          <w:tcPr>
            <w:tcW w:w="1881" w:type="dxa"/>
            <w:tcBorders>
              <w:top w:val="single" w:sz="4" w:space="0" w:color="000000"/>
              <w:left w:val="nil"/>
              <w:bottom w:val="nil"/>
              <w:right w:val="single" w:sz="4" w:space="0" w:color="000000"/>
            </w:tcBorders>
            <w:shd w:val="clear" w:color="auto" w:fill="auto"/>
            <w:vAlign w:val="center"/>
            <w:hideMark/>
          </w:tcPr>
          <w:p w:rsidR="00FB3DA1" w:rsidRPr="00791F03" w:rsidP="00BC203E" w14:paraId="452FBFEA" w14:textId="77777777">
            <w:pPr>
              <w:ind w:firstLine="480" w:firstLineChars="300"/>
              <w:rPr>
                <w:i/>
                <w:iCs/>
                <w:color w:val="000000"/>
                <w:sz w:val="16"/>
                <w:szCs w:val="16"/>
                <w:lang w:eastAsia="en-GB"/>
              </w:rPr>
            </w:pPr>
            <w:r w:rsidRPr="00791F03">
              <w:rPr>
                <w:i/>
                <w:iCs/>
                <w:color w:val="000000"/>
                <w:sz w:val="16"/>
                <w:szCs w:val="16"/>
                <w:lang w:eastAsia="en-GB"/>
              </w:rPr>
              <w:t>Pašvaldības iemaksa pašvaldību finanšu izlīdzināšanas fondā</w:t>
            </w:r>
          </w:p>
        </w:tc>
        <w:tc>
          <w:tcPr>
            <w:tcW w:w="1276" w:type="dxa"/>
            <w:tcBorders>
              <w:top w:val="single" w:sz="4" w:space="0" w:color="000000"/>
              <w:left w:val="nil"/>
              <w:bottom w:val="nil"/>
              <w:right w:val="single" w:sz="4" w:space="0" w:color="000000"/>
            </w:tcBorders>
            <w:shd w:val="clear" w:color="auto" w:fill="auto"/>
            <w:noWrap/>
            <w:vAlign w:val="center"/>
            <w:hideMark/>
          </w:tcPr>
          <w:p w:rsidR="00FB3DA1" w:rsidRPr="00791F03" w:rsidP="00BC203E" w14:paraId="53E25FD4" w14:textId="77777777">
            <w:pPr>
              <w:jc w:val="right"/>
              <w:rPr>
                <w:i/>
                <w:iCs/>
                <w:color w:val="000000"/>
                <w:sz w:val="16"/>
                <w:szCs w:val="16"/>
                <w:lang w:eastAsia="en-GB"/>
              </w:rPr>
            </w:pPr>
            <w:r w:rsidRPr="00791F03">
              <w:rPr>
                <w:i/>
                <w:iCs/>
                <w:color w:val="000000"/>
                <w:sz w:val="16"/>
                <w:szCs w:val="16"/>
                <w:lang w:eastAsia="en-GB"/>
              </w:rPr>
              <w:t>6,416,104</w:t>
            </w:r>
          </w:p>
        </w:tc>
        <w:tc>
          <w:tcPr>
            <w:tcW w:w="1026" w:type="dxa"/>
            <w:tcBorders>
              <w:top w:val="single" w:sz="4" w:space="0" w:color="000000"/>
              <w:left w:val="nil"/>
              <w:bottom w:val="nil"/>
              <w:right w:val="single" w:sz="4" w:space="0" w:color="000000"/>
            </w:tcBorders>
            <w:shd w:val="clear" w:color="auto" w:fill="auto"/>
            <w:noWrap/>
            <w:vAlign w:val="center"/>
            <w:hideMark/>
          </w:tcPr>
          <w:p w:rsidR="00FB3DA1" w:rsidRPr="00791F03" w:rsidP="00BC203E" w14:paraId="2E833078" w14:textId="77777777">
            <w:pPr>
              <w:jc w:val="right"/>
              <w:rPr>
                <w:i/>
                <w:iCs/>
                <w:color w:val="000000"/>
                <w:sz w:val="16"/>
                <w:szCs w:val="16"/>
                <w:lang w:eastAsia="en-GB"/>
              </w:rPr>
            </w:pPr>
            <w:r w:rsidRPr="00791F03">
              <w:rPr>
                <w:i/>
                <w:iCs/>
                <w:color w:val="000000"/>
                <w:sz w:val="16"/>
                <w:szCs w:val="16"/>
                <w:lang w:eastAsia="en-GB"/>
              </w:rPr>
              <w:t>6,498,116</w:t>
            </w:r>
          </w:p>
        </w:tc>
        <w:tc>
          <w:tcPr>
            <w:tcW w:w="1418" w:type="dxa"/>
            <w:tcBorders>
              <w:top w:val="single" w:sz="4" w:space="0" w:color="000000"/>
              <w:left w:val="nil"/>
              <w:bottom w:val="nil"/>
              <w:right w:val="single" w:sz="4" w:space="0" w:color="000000"/>
            </w:tcBorders>
            <w:shd w:val="clear" w:color="auto" w:fill="auto"/>
            <w:noWrap/>
            <w:vAlign w:val="center"/>
            <w:hideMark/>
          </w:tcPr>
          <w:p w:rsidR="00FB3DA1" w:rsidRPr="00791F03" w:rsidP="00BC203E" w14:paraId="79E72702" w14:textId="77777777">
            <w:pPr>
              <w:jc w:val="right"/>
              <w:rPr>
                <w:i/>
                <w:iCs/>
                <w:color w:val="000000"/>
                <w:sz w:val="16"/>
                <w:szCs w:val="16"/>
                <w:lang w:eastAsia="en-GB"/>
              </w:rPr>
            </w:pPr>
            <w:r w:rsidRPr="00791F03">
              <w:rPr>
                <w:i/>
                <w:iCs/>
                <w:color w:val="000000"/>
                <w:sz w:val="16"/>
                <w:szCs w:val="16"/>
                <w:lang w:eastAsia="en-GB"/>
              </w:rPr>
              <w:t>82,012</w:t>
            </w:r>
          </w:p>
        </w:tc>
        <w:tc>
          <w:tcPr>
            <w:tcW w:w="1276" w:type="dxa"/>
            <w:tcBorders>
              <w:top w:val="single" w:sz="4" w:space="0" w:color="000000"/>
              <w:left w:val="nil"/>
              <w:bottom w:val="nil"/>
              <w:right w:val="single" w:sz="4" w:space="0" w:color="000000"/>
            </w:tcBorders>
            <w:shd w:val="clear" w:color="auto" w:fill="auto"/>
            <w:noWrap/>
            <w:vAlign w:val="center"/>
            <w:hideMark/>
          </w:tcPr>
          <w:p w:rsidR="00FB3DA1" w:rsidRPr="00791F03" w:rsidP="00BC203E" w14:paraId="33D07981" w14:textId="77777777">
            <w:pPr>
              <w:jc w:val="right"/>
              <w:rPr>
                <w:i/>
                <w:iCs/>
                <w:color w:val="000000"/>
                <w:sz w:val="16"/>
                <w:szCs w:val="16"/>
                <w:lang w:eastAsia="en-GB"/>
              </w:rPr>
            </w:pPr>
            <w:r w:rsidRPr="00791F03">
              <w:rPr>
                <w:i/>
                <w:iCs/>
                <w:color w:val="000000"/>
                <w:sz w:val="16"/>
                <w:szCs w:val="16"/>
                <w:lang w:eastAsia="en-GB"/>
              </w:rPr>
              <w:t>6,845,391</w:t>
            </w:r>
          </w:p>
        </w:tc>
        <w:tc>
          <w:tcPr>
            <w:tcW w:w="1052" w:type="dxa"/>
            <w:tcBorders>
              <w:top w:val="single" w:sz="4" w:space="0" w:color="000000"/>
              <w:left w:val="nil"/>
              <w:bottom w:val="nil"/>
              <w:right w:val="single" w:sz="4" w:space="0" w:color="000000"/>
            </w:tcBorders>
            <w:shd w:val="clear" w:color="auto" w:fill="auto"/>
            <w:noWrap/>
            <w:vAlign w:val="center"/>
            <w:hideMark/>
          </w:tcPr>
          <w:p w:rsidR="00FB3DA1" w:rsidRPr="00791F03" w:rsidP="00BC203E" w14:paraId="5FD2146A" w14:textId="77777777">
            <w:pPr>
              <w:jc w:val="right"/>
              <w:rPr>
                <w:i/>
                <w:iCs/>
                <w:color w:val="000000"/>
                <w:sz w:val="16"/>
                <w:szCs w:val="16"/>
                <w:lang w:eastAsia="en-GB"/>
              </w:rPr>
            </w:pPr>
            <w:r w:rsidRPr="00791F03">
              <w:rPr>
                <w:i/>
                <w:iCs/>
                <w:color w:val="000000"/>
                <w:sz w:val="16"/>
                <w:szCs w:val="16"/>
                <w:lang w:eastAsia="en-GB"/>
              </w:rPr>
              <w:t>429,287</w:t>
            </w:r>
          </w:p>
        </w:tc>
        <w:tc>
          <w:tcPr>
            <w:tcW w:w="756" w:type="dxa"/>
            <w:tcBorders>
              <w:top w:val="single" w:sz="4" w:space="0" w:color="000000"/>
              <w:left w:val="nil"/>
              <w:bottom w:val="nil"/>
              <w:right w:val="single" w:sz="4" w:space="0" w:color="000000"/>
            </w:tcBorders>
            <w:shd w:val="clear" w:color="auto" w:fill="auto"/>
            <w:noWrap/>
            <w:vAlign w:val="center"/>
            <w:hideMark/>
          </w:tcPr>
          <w:p w:rsidR="00FB3DA1" w:rsidRPr="00791F03" w:rsidP="00BC203E" w14:paraId="19661C73" w14:textId="77777777">
            <w:pPr>
              <w:jc w:val="right"/>
              <w:rPr>
                <w:i/>
                <w:iCs/>
                <w:color w:val="000000"/>
                <w:sz w:val="16"/>
                <w:szCs w:val="16"/>
                <w:lang w:eastAsia="en-GB"/>
              </w:rPr>
            </w:pPr>
            <w:r w:rsidRPr="00791F03">
              <w:rPr>
                <w:i/>
                <w:iCs/>
                <w:color w:val="000000"/>
                <w:sz w:val="16"/>
                <w:szCs w:val="16"/>
                <w:lang w:eastAsia="en-GB"/>
              </w:rPr>
              <w:t>347,275</w:t>
            </w:r>
          </w:p>
        </w:tc>
        <w:tc>
          <w:tcPr>
            <w:tcW w:w="1026" w:type="dxa"/>
            <w:tcBorders>
              <w:top w:val="single" w:sz="4" w:space="0" w:color="000000"/>
              <w:left w:val="nil"/>
              <w:bottom w:val="nil"/>
              <w:right w:val="single" w:sz="4" w:space="0" w:color="000000"/>
            </w:tcBorders>
            <w:shd w:val="clear" w:color="auto" w:fill="auto"/>
            <w:noWrap/>
            <w:vAlign w:val="center"/>
            <w:hideMark/>
          </w:tcPr>
          <w:p w:rsidR="00FB3DA1" w:rsidRPr="00791F03" w:rsidP="00BC203E" w14:paraId="7D5E1781" w14:textId="77777777">
            <w:pPr>
              <w:jc w:val="right"/>
              <w:rPr>
                <w:i/>
                <w:iCs/>
                <w:color w:val="000000"/>
                <w:sz w:val="16"/>
                <w:szCs w:val="16"/>
                <w:lang w:eastAsia="en-GB"/>
              </w:rPr>
            </w:pPr>
            <w:r w:rsidRPr="00791F03">
              <w:rPr>
                <w:i/>
                <w:iCs/>
                <w:color w:val="000000"/>
                <w:sz w:val="16"/>
                <w:szCs w:val="16"/>
                <w:lang w:eastAsia="en-GB"/>
              </w:rPr>
              <w:t>4,687,057</w:t>
            </w:r>
          </w:p>
        </w:tc>
        <w:tc>
          <w:tcPr>
            <w:tcW w:w="960" w:type="dxa"/>
            <w:gridSpan w:val="2"/>
            <w:tcBorders>
              <w:top w:val="nil"/>
              <w:left w:val="nil"/>
              <w:bottom w:val="nil"/>
              <w:right w:val="nil"/>
            </w:tcBorders>
            <w:shd w:val="clear" w:color="auto" w:fill="auto"/>
            <w:noWrap/>
            <w:vAlign w:val="center"/>
            <w:hideMark/>
          </w:tcPr>
          <w:p w:rsidR="00FB3DA1" w:rsidRPr="00791F03" w:rsidP="00BC203E" w14:paraId="1DB8A4C1" w14:textId="77777777">
            <w:pPr>
              <w:jc w:val="right"/>
              <w:rPr>
                <w:i/>
                <w:iCs/>
                <w:color w:val="000000"/>
                <w:sz w:val="16"/>
                <w:szCs w:val="16"/>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4F954160" w14:textId="77777777">
            <w:pPr>
              <w:rPr>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2BF9E1BC" w14:textId="77777777">
            <w:pPr>
              <w:rPr>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2C55A551" w14:textId="77777777">
            <w:pPr>
              <w:rPr>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6CB3DADB" w14:textId="77777777">
            <w:pPr>
              <w:rPr>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4ADFF9DF" w14:textId="77777777">
            <w:pPr>
              <w:rPr>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0D81B2A9" w14:textId="77777777">
            <w:pPr>
              <w:rPr>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43AFBE48" w14:textId="77777777">
            <w:pPr>
              <w:rPr>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4823B589" w14:textId="77777777">
            <w:pPr>
              <w:rPr>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1CF81965" w14:textId="77777777">
            <w:pPr>
              <w:rPr>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74F2FC3F" w14:textId="77777777">
            <w:pPr>
              <w:rPr>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28C404CF" w14:textId="77777777">
            <w:pPr>
              <w:rPr>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02F93FDC" w14:textId="77777777">
            <w:pPr>
              <w:rPr>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2F13996A" w14:textId="77777777">
            <w:pPr>
              <w:rPr>
                <w:sz w:val="20"/>
                <w:szCs w:val="20"/>
                <w:lang w:eastAsia="en-GB"/>
              </w:rPr>
            </w:pPr>
          </w:p>
        </w:tc>
        <w:tc>
          <w:tcPr>
            <w:tcW w:w="960" w:type="dxa"/>
            <w:gridSpan w:val="2"/>
            <w:tcBorders>
              <w:top w:val="nil"/>
              <w:left w:val="nil"/>
              <w:bottom w:val="nil"/>
              <w:right w:val="nil"/>
            </w:tcBorders>
            <w:shd w:val="clear" w:color="auto" w:fill="auto"/>
            <w:noWrap/>
            <w:vAlign w:val="bottom"/>
            <w:hideMark/>
          </w:tcPr>
          <w:p w:rsidR="00FB3DA1" w:rsidRPr="00791F03" w:rsidP="00BC203E" w14:paraId="1DF13DB8" w14:textId="77777777">
            <w:pPr>
              <w:rPr>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4AD98DE4" w14:textId="77777777">
            <w:pPr>
              <w:rPr>
                <w:sz w:val="20"/>
                <w:szCs w:val="20"/>
                <w:lang w:eastAsia="en-GB"/>
              </w:rPr>
            </w:pPr>
          </w:p>
        </w:tc>
      </w:tr>
      <w:tr w14:paraId="727D9D67" w14:textId="77777777" w:rsidTr="00BC203E">
        <w:tblPrEx>
          <w:tblW w:w="26174" w:type="dxa"/>
          <w:tblInd w:w="-1276" w:type="dxa"/>
          <w:tblLook w:val="04A0"/>
        </w:tblPrEx>
        <w:trPr>
          <w:gridAfter w:val="1"/>
          <w:wAfter w:w="7" w:type="dxa"/>
          <w:trHeight w:val="432"/>
        </w:trPr>
        <w:tc>
          <w:tcPr>
            <w:tcW w:w="1096" w:type="dxa"/>
            <w:tcBorders>
              <w:top w:val="single" w:sz="4" w:space="0" w:color="000000"/>
              <w:left w:val="single" w:sz="4" w:space="0" w:color="000000"/>
              <w:bottom w:val="nil"/>
              <w:right w:val="single" w:sz="4" w:space="0" w:color="000000"/>
            </w:tcBorders>
            <w:shd w:val="clear" w:color="auto" w:fill="auto"/>
            <w:vAlign w:val="center"/>
            <w:hideMark/>
          </w:tcPr>
          <w:p w:rsidR="00FB3DA1" w:rsidRPr="00791F03" w:rsidP="00BC203E" w14:paraId="0A2341A7" w14:textId="77777777">
            <w:pPr>
              <w:jc w:val="center"/>
              <w:rPr>
                <w:b/>
                <w:bCs/>
                <w:color w:val="000000"/>
                <w:sz w:val="16"/>
                <w:szCs w:val="16"/>
                <w:lang w:eastAsia="en-GB"/>
              </w:rPr>
            </w:pPr>
            <w:r w:rsidRPr="00791F03">
              <w:rPr>
                <w:b/>
                <w:bCs/>
                <w:color w:val="000000"/>
                <w:sz w:val="16"/>
                <w:szCs w:val="16"/>
                <w:lang w:eastAsia="en-GB"/>
              </w:rPr>
              <w:t>03.000</w:t>
            </w:r>
          </w:p>
        </w:tc>
        <w:tc>
          <w:tcPr>
            <w:tcW w:w="1881" w:type="dxa"/>
            <w:tcBorders>
              <w:top w:val="single" w:sz="4" w:space="0" w:color="000000"/>
              <w:left w:val="nil"/>
              <w:bottom w:val="nil"/>
              <w:right w:val="single" w:sz="4" w:space="0" w:color="000000"/>
            </w:tcBorders>
            <w:shd w:val="clear" w:color="auto" w:fill="auto"/>
            <w:vAlign w:val="center"/>
            <w:hideMark/>
          </w:tcPr>
          <w:p w:rsidR="00FB3DA1" w:rsidRPr="00791F03" w:rsidP="00BC203E" w14:paraId="059A4AEF" w14:textId="77777777">
            <w:pPr>
              <w:ind w:firstLine="160" w:firstLineChars="100"/>
              <w:rPr>
                <w:b/>
                <w:bCs/>
                <w:color w:val="000000"/>
                <w:sz w:val="16"/>
                <w:szCs w:val="16"/>
                <w:lang w:eastAsia="en-GB"/>
              </w:rPr>
            </w:pPr>
            <w:r w:rsidRPr="00791F03">
              <w:rPr>
                <w:b/>
                <w:bCs/>
                <w:color w:val="000000"/>
                <w:sz w:val="16"/>
                <w:szCs w:val="16"/>
                <w:lang w:eastAsia="en-GB"/>
              </w:rPr>
              <w:t>Sabiedriskā kārtība un drošība</w:t>
            </w:r>
          </w:p>
        </w:tc>
        <w:tc>
          <w:tcPr>
            <w:tcW w:w="1276" w:type="dxa"/>
            <w:tcBorders>
              <w:top w:val="single" w:sz="4" w:space="0" w:color="000000"/>
              <w:left w:val="nil"/>
              <w:bottom w:val="nil"/>
              <w:right w:val="single" w:sz="4" w:space="0" w:color="000000"/>
            </w:tcBorders>
            <w:shd w:val="clear" w:color="auto" w:fill="auto"/>
            <w:noWrap/>
            <w:vAlign w:val="center"/>
            <w:hideMark/>
          </w:tcPr>
          <w:p w:rsidR="00FB3DA1" w:rsidRPr="00791F03" w:rsidP="00BC203E" w14:paraId="0B396D32" w14:textId="77777777">
            <w:pPr>
              <w:jc w:val="right"/>
              <w:rPr>
                <w:b/>
                <w:bCs/>
                <w:color w:val="000000"/>
                <w:sz w:val="16"/>
                <w:szCs w:val="16"/>
                <w:lang w:eastAsia="en-GB"/>
              </w:rPr>
            </w:pPr>
            <w:r w:rsidRPr="00791F03">
              <w:rPr>
                <w:b/>
                <w:bCs/>
                <w:color w:val="000000"/>
                <w:sz w:val="16"/>
                <w:szCs w:val="16"/>
                <w:lang w:eastAsia="en-GB"/>
              </w:rPr>
              <w:t>997,013</w:t>
            </w:r>
          </w:p>
        </w:tc>
        <w:tc>
          <w:tcPr>
            <w:tcW w:w="1026" w:type="dxa"/>
            <w:tcBorders>
              <w:top w:val="single" w:sz="4" w:space="0" w:color="000000"/>
              <w:left w:val="nil"/>
              <w:bottom w:val="nil"/>
              <w:right w:val="single" w:sz="4" w:space="0" w:color="000000"/>
            </w:tcBorders>
            <w:shd w:val="clear" w:color="auto" w:fill="auto"/>
            <w:noWrap/>
            <w:vAlign w:val="center"/>
            <w:hideMark/>
          </w:tcPr>
          <w:p w:rsidR="00FB3DA1" w:rsidRPr="00791F03" w:rsidP="00BC203E" w14:paraId="351EDDBF" w14:textId="77777777">
            <w:pPr>
              <w:jc w:val="right"/>
              <w:rPr>
                <w:b/>
                <w:bCs/>
                <w:color w:val="000000"/>
                <w:sz w:val="16"/>
                <w:szCs w:val="16"/>
                <w:lang w:eastAsia="en-GB"/>
              </w:rPr>
            </w:pPr>
            <w:r w:rsidRPr="00791F03">
              <w:rPr>
                <w:b/>
                <w:bCs/>
                <w:color w:val="000000"/>
                <w:sz w:val="16"/>
                <w:szCs w:val="16"/>
                <w:lang w:eastAsia="en-GB"/>
              </w:rPr>
              <w:t>1,058,357</w:t>
            </w:r>
          </w:p>
        </w:tc>
        <w:tc>
          <w:tcPr>
            <w:tcW w:w="1418" w:type="dxa"/>
            <w:tcBorders>
              <w:top w:val="single" w:sz="4" w:space="0" w:color="000000"/>
              <w:left w:val="nil"/>
              <w:bottom w:val="nil"/>
              <w:right w:val="single" w:sz="4" w:space="0" w:color="000000"/>
            </w:tcBorders>
            <w:shd w:val="clear" w:color="auto" w:fill="auto"/>
            <w:noWrap/>
            <w:vAlign w:val="center"/>
            <w:hideMark/>
          </w:tcPr>
          <w:p w:rsidR="00FB3DA1" w:rsidRPr="00791F03" w:rsidP="00BC203E" w14:paraId="7C2DC645" w14:textId="77777777">
            <w:pPr>
              <w:jc w:val="right"/>
              <w:rPr>
                <w:b/>
                <w:bCs/>
                <w:color w:val="000000"/>
                <w:sz w:val="16"/>
                <w:szCs w:val="16"/>
                <w:lang w:eastAsia="en-GB"/>
              </w:rPr>
            </w:pPr>
            <w:r w:rsidRPr="00791F03">
              <w:rPr>
                <w:b/>
                <w:bCs/>
                <w:color w:val="000000"/>
                <w:sz w:val="16"/>
                <w:szCs w:val="16"/>
                <w:lang w:eastAsia="en-GB"/>
              </w:rPr>
              <w:t>61,344</w:t>
            </w:r>
          </w:p>
        </w:tc>
        <w:tc>
          <w:tcPr>
            <w:tcW w:w="1276" w:type="dxa"/>
            <w:tcBorders>
              <w:top w:val="single" w:sz="4" w:space="0" w:color="000000"/>
              <w:left w:val="nil"/>
              <w:bottom w:val="nil"/>
              <w:right w:val="single" w:sz="4" w:space="0" w:color="000000"/>
            </w:tcBorders>
            <w:shd w:val="clear" w:color="auto" w:fill="auto"/>
            <w:noWrap/>
            <w:vAlign w:val="center"/>
            <w:hideMark/>
          </w:tcPr>
          <w:p w:rsidR="00FB3DA1" w:rsidRPr="00791F03" w:rsidP="00BC203E" w14:paraId="031C35C3" w14:textId="77777777">
            <w:pPr>
              <w:jc w:val="right"/>
              <w:rPr>
                <w:b/>
                <w:bCs/>
                <w:color w:val="000000"/>
                <w:sz w:val="16"/>
                <w:szCs w:val="16"/>
                <w:lang w:eastAsia="en-GB"/>
              </w:rPr>
            </w:pPr>
            <w:r w:rsidRPr="00791F03">
              <w:rPr>
                <w:b/>
                <w:bCs/>
                <w:color w:val="000000"/>
                <w:sz w:val="16"/>
                <w:szCs w:val="16"/>
                <w:lang w:eastAsia="en-GB"/>
              </w:rPr>
              <w:t>1,007,585</w:t>
            </w:r>
          </w:p>
        </w:tc>
        <w:tc>
          <w:tcPr>
            <w:tcW w:w="1052" w:type="dxa"/>
            <w:tcBorders>
              <w:top w:val="single" w:sz="4" w:space="0" w:color="000000"/>
              <w:left w:val="nil"/>
              <w:bottom w:val="nil"/>
              <w:right w:val="single" w:sz="4" w:space="0" w:color="000000"/>
            </w:tcBorders>
            <w:shd w:val="clear" w:color="auto" w:fill="auto"/>
            <w:noWrap/>
            <w:vAlign w:val="center"/>
            <w:hideMark/>
          </w:tcPr>
          <w:p w:rsidR="00FB3DA1" w:rsidRPr="00791F03" w:rsidP="00BC203E" w14:paraId="6C473482" w14:textId="77777777">
            <w:pPr>
              <w:jc w:val="right"/>
              <w:rPr>
                <w:b/>
                <w:bCs/>
                <w:color w:val="000000"/>
                <w:sz w:val="16"/>
                <w:szCs w:val="16"/>
                <w:lang w:eastAsia="en-GB"/>
              </w:rPr>
            </w:pPr>
            <w:r w:rsidRPr="00791F03">
              <w:rPr>
                <w:b/>
                <w:bCs/>
                <w:color w:val="000000"/>
                <w:sz w:val="16"/>
                <w:szCs w:val="16"/>
                <w:lang w:eastAsia="en-GB"/>
              </w:rPr>
              <w:t>10,572</w:t>
            </w:r>
          </w:p>
        </w:tc>
        <w:tc>
          <w:tcPr>
            <w:tcW w:w="756" w:type="dxa"/>
            <w:tcBorders>
              <w:top w:val="single" w:sz="4" w:space="0" w:color="000000"/>
              <w:left w:val="nil"/>
              <w:bottom w:val="nil"/>
              <w:right w:val="single" w:sz="4" w:space="0" w:color="000000"/>
            </w:tcBorders>
            <w:shd w:val="clear" w:color="auto" w:fill="auto"/>
            <w:noWrap/>
            <w:vAlign w:val="center"/>
            <w:hideMark/>
          </w:tcPr>
          <w:p w:rsidR="00FB3DA1" w:rsidRPr="00791F03" w:rsidP="00BC203E" w14:paraId="02B641B0" w14:textId="77777777">
            <w:pPr>
              <w:jc w:val="right"/>
              <w:rPr>
                <w:b/>
                <w:bCs/>
                <w:color w:val="000000"/>
                <w:sz w:val="16"/>
                <w:szCs w:val="16"/>
                <w:lang w:eastAsia="en-GB"/>
              </w:rPr>
            </w:pPr>
            <w:r w:rsidRPr="00791F03">
              <w:rPr>
                <w:b/>
                <w:bCs/>
                <w:color w:val="000000"/>
                <w:sz w:val="16"/>
                <w:szCs w:val="16"/>
                <w:lang w:eastAsia="en-GB"/>
              </w:rPr>
              <w:t>-50,772</w:t>
            </w:r>
          </w:p>
        </w:tc>
        <w:tc>
          <w:tcPr>
            <w:tcW w:w="1026" w:type="dxa"/>
            <w:tcBorders>
              <w:top w:val="single" w:sz="4" w:space="0" w:color="000000"/>
              <w:left w:val="nil"/>
              <w:bottom w:val="nil"/>
              <w:right w:val="single" w:sz="4" w:space="0" w:color="000000"/>
            </w:tcBorders>
            <w:shd w:val="clear" w:color="auto" w:fill="auto"/>
            <w:noWrap/>
            <w:vAlign w:val="center"/>
            <w:hideMark/>
          </w:tcPr>
          <w:p w:rsidR="00FB3DA1" w:rsidRPr="00791F03" w:rsidP="00BC203E" w14:paraId="2502BB0E" w14:textId="77777777">
            <w:pPr>
              <w:jc w:val="right"/>
              <w:rPr>
                <w:b/>
                <w:bCs/>
                <w:color w:val="000000"/>
                <w:sz w:val="16"/>
                <w:szCs w:val="16"/>
                <w:lang w:eastAsia="en-GB"/>
              </w:rPr>
            </w:pPr>
            <w:r w:rsidRPr="00791F03">
              <w:rPr>
                <w:b/>
                <w:bCs/>
                <w:color w:val="000000"/>
                <w:sz w:val="16"/>
                <w:szCs w:val="16"/>
                <w:lang w:eastAsia="en-GB"/>
              </w:rPr>
              <w:t>869,574</w:t>
            </w:r>
          </w:p>
        </w:tc>
        <w:tc>
          <w:tcPr>
            <w:tcW w:w="960" w:type="dxa"/>
            <w:gridSpan w:val="2"/>
            <w:tcBorders>
              <w:top w:val="nil"/>
              <w:left w:val="nil"/>
              <w:bottom w:val="nil"/>
              <w:right w:val="nil"/>
            </w:tcBorders>
            <w:shd w:val="clear" w:color="auto" w:fill="auto"/>
            <w:noWrap/>
            <w:vAlign w:val="center"/>
            <w:hideMark/>
          </w:tcPr>
          <w:p w:rsidR="00FB3DA1" w:rsidRPr="00791F03" w:rsidP="00BC203E" w14:paraId="74CED1D1" w14:textId="77777777">
            <w:pPr>
              <w:jc w:val="right"/>
              <w:rPr>
                <w:b/>
                <w:bCs/>
                <w:color w:val="000000"/>
                <w:sz w:val="16"/>
                <w:szCs w:val="16"/>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3D542594" w14:textId="77777777">
            <w:pPr>
              <w:rPr>
                <w:b/>
                <w:bCs/>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603272E9" w14:textId="77777777">
            <w:pPr>
              <w:rPr>
                <w:b/>
                <w:bCs/>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0A6F2DD0" w14:textId="77777777">
            <w:pPr>
              <w:rPr>
                <w:b/>
                <w:bCs/>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663D3DE1" w14:textId="77777777">
            <w:pPr>
              <w:rPr>
                <w:b/>
                <w:bCs/>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567BDF37" w14:textId="77777777">
            <w:pPr>
              <w:rPr>
                <w:b/>
                <w:bCs/>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692F3232" w14:textId="77777777">
            <w:pPr>
              <w:rPr>
                <w:b/>
                <w:bCs/>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52A5939C" w14:textId="77777777">
            <w:pPr>
              <w:rPr>
                <w:b/>
                <w:bCs/>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351CB3A5" w14:textId="77777777">
            <w:pPr>
              <w:rPr>
                <w:b/>
                <w:bCs/>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292490F7" w14:textId="77777777">
            <w:pPr>
              <w:rPr>
                <w:b/>
                <w:bCs/>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7ADA2D44" w14:textId="77777777">
            <w:pPr>
              <w:rPr>
                <w:b/>
                <w:bCs/>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1F078C3B" w14:textId="77777777">
            <w:pPr>
              <w:rPr>
                <w:b/>
                <w:bCs/>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7F9B7717" w14:textId="77777777">
            <w:pPr>
              <w:rPr>
                <w:b/>
                <w:bCs/>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0A34AE63" w14:textId="77777777">
            <w:pPr>
              <w:rPr>
                <w:b/>
                <w:bCs/>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2212B75A" w14:textId="77777777">
            <w:pPr>
              <w:rPr>
                <w:b/>
                <w:bCs/>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4310B1B1" w14:textId="77777777">
            <w:pPr>
              <w:rPr>
                <w:b/>
                <w:bCs/>
                <w:sz w:val="20"/>
                <w:szCs w:val="20"/>
                <w:lang w:eastAsia="en-GB"/>
              </w:rPr>
            </w:pPr>
          </w:p>
        </w:tc>
      </w:tr>
      <w:tr w14:paraId="5CA4A695" w14:textId="77777777" w:rsidTr="00BC203E">
        <w:tblPrEx>
          <w:tblW w:w="26174" w:type="dxa"/>
          <w:tblInd w:w="-1276" w:type="dxa"/>
          <w:tblLook w:val="04A0"/>
        </w:tblPrEx>
        <w:trPr>
          <w:gridAfter w:val="1"/>
          <w:wAfter w:w="7" w:type="dxa"/>
          <w:trHeight w:val="432"/>
        </w:trPr>
        <w:tc>
          <w:tcPr>
            <w:tcW w:w="1096" w:type="dxa"/>
            <w:tcBorders>
              <w:top w:val="single" w:sz="4" w:space="0" w:color="000000"/>
              <w:left w:val="single" w:sz="4" w:space="0" w:color="000000"/>
              <w:bottom w:val="nil"/>
              <w:right w:val="single" w:sz="4" w:space="0" w:color="000000"/>
            </w:tcBorders>
            <w:shd w:val="clear" w:color="auto" w:fill="auto"/>
            <w:vAlign w:val="center"/>
            <w:hideMark/>
          </w:tcPr>
          <w:p w:rsidR="00FB3DA1" w:rsidRPr="00791F03" w:rsidP="00BC203E" w14:paraId="580C6AE8" w14:textId="77777777">
            <w:pPr>
              <w:jc w:val="center"/>
              <w:rPr>
                <w:b/>
                <w:bCs/>
                <w:color w:val="000000"/>
                <w:sz w:val="16"/>
                <w:szCs w:val="16"/>
                <w:lang w:eastAsia="en-GB"/>
              </w:rPr>
            </w:pPr>
            <w:r w:rsidRPr="00791F03">
              <w:rPr>
                <w:b/>
                <w:bCs/>
                <w:color w:val="000000"/>
                <w:sz w:val="16"/>
                <w:szCs w:val="16"/>
                <w:lang w:eastAsia="en-GB"/>
              </w:rPr>
              <w:t>04.000</w:t>
            </w:r>
          </w:p>
        </w:tc>
        <w:tc>
          <w:tcPr>
            <w:tcW w:w="1881" w:type="dxa"/>
            <w:tcBorders>
              <w:top w:val="single" w:sz="4" w:space="0" w:color="000000"/>
              <w:left w:val="nil"/>
              <w:bottom w:val="nil"/>
              <w:right w:val="single" w:sz="4" w:space="0" w:color="000000"/>
            </w:tcBorders>
            <w:shd w:val="clear" w:color="auto" w:fill="auto"/>
            <w:vAlign w:val="center"/>
            <w:hideMark/>
          </w:tcPr>
          <w:p w:rsidR="00FB3DA1" w:rsidRPr="00791F03" w:rsidP="00BC203E" w14:paraId="6F6E3519" w14:textId="77777777">
            <w:pPr>
              <w:ind w:firstLine="160" w:firstLineChars="100"/>
              <w:rPr>
                <w:b/>
                <w:bCs/>
                <w:color w:val="000000"/>
                <w:sz w:val="16"/>
                <w:szCs w:val="16"/>
                <w:lang w:eastAsia="en-GB"/>
              </w:rPr>
            </w:pPr>
            <w:r w:rsidRPr="00791F03">
              <w:rPr>
                <w:b/>
                <w:bCs/>
                <w:color w:val="000000"/>
                <w:sz w:val="16"/>
                <w:szCs w:val="16"/>
                <w:lang w:eastAsia="en-GB"/>
              </w:rPr>
              <w:t xml:space="preserve">Ekonomiskā darbība </w:t>
            </w:r>
          </w:p>
        </w:tc>
        <w:tc>
          <w:tcPr>
            <w:tcW w:w="1276" w:type="dxa"/>
            <w:tcBorders>
              <w:top w:val="single" w:sz="4" w:space="0" w:color="000000"/>
              <w:left w:val="nil"/>
              <w:bottom w:val="nil"/>
              <w:right w:val="single" w:sz="4" w:space="0" w:color="000000"/>
            </w:tcBorders>
            <w:shd w:val="clear" w:color="auto" w:fill="auto"/>
            <w:noWrap/>
            <w:vAlign w:val="center"/>
            <w:hideMark/>
          </w:tcPr>
          <w:p w:rsidR="00FB3DA1" w:rsidRPr="00791F03" w:rsidP="00BC203E" w14:paraId="71F7F2B8" w14:textId="77777777">
            <w:pPr>
              <w:jc w:val="right"/>
              <w:rPr>
                <w:b/>
                <w:bCs/>
                <w:color w:val="000000"/>
                <w:sz w:val="16"/>
                <w:szCs w:val="16"/>
                <w:lang w:eastAsia="en-GB"/>
              </w:rPr>
            </w:pPr>
            <w:r w:rsidRPr="00791F03">
              <w:rPr>
                <w:b/>
                <w:bCs/>
                <w:color w:val="000000"/>
                <w:sz w:val="16"/>
                <w:szCs w:val="16"/>
                <w:lang w:eastAsia="en-GB"/>
              </w:rPr>
              <w:t>523,798</w:t>
            </w:r>
          </w:p>
        </w:tc>
        <w:tc>
          <w:tcPr>
            <w:tcW w:w="1026" w:type="dxa"/>
            <w:tcBorders>
              <w:top w:val="single" w:sz="4" w:space="0" w:color="000000"/>
              <w:left w:val="nil"/>
              <w:bottom w:val="nil"/>
              <w:right w:val="single" w:sz="4" w:space="0" w:color="000000"/>
            </w:tcBorders>
            <w:shd w:val="clear" w:color="auto" w:fill="auto"/>
            <w:noWrap/>
            <w:vAlign w:val="center"/>
            <w:hideMark/>
          </w:tcPr>
          <w:p w:rsidR="00FB3DA1" w:rsidRPr="00791F03" w:rsidP="00BC203E" w14:paraId="502779C0" w14:textId="77777777">
            <w:pPr>
              <w:jc w:val="right"/>
              <w:rPr>
                <w:b/>
                <w:bCs/>
                <w:color w:val="000000"/>
                <w:sz w:val="16"/>
                <w:szCs w:val="16"/>
                <w:lang w:eastAsia="en-GB"/>
              </w:rPr>
            </w:pPr>
            <w:r w:rsidRPr="00791F03">
              <w:rPr>
                <w:b/>
                <w:bCs/>
                <w:color w:val="000000"/>
                <w:sz w:val="16"/>
                <w:szCs w:val="16"/>
                <w:lang w:eastAsia="en-GB"/>
              </w:rPr>
              <w:t>588,819</w:t>
            </w:r>
          </w:p>
        </w:tc>
        <w:tc>
          <w:tcPr>
            <w:tcW w:w="1418" w:type="dxa"/>
            <w:tcBorders>
              <w:top w:val="single" w:sz="4" w:space="0" w:color="000000"/>
              <w:left w:val="nil"/>
              <w:bottom w:val="nil"/>
              <w:right w:val="single" w:sz="4" w:space="0" w:color="000000"/>
            </w:tcBorders>
            <w:shd w:val="clear" w:color="auto" w:fill="auto"/>
            <w:noWrap/>
            <w:vAlign w:val="center"/>
            <w:hideMark/>
          </w:tcPr>
          <w:p w:rsidR="00FB3DA1" w:rsidRPr="00791F03" w:rsidP="00BC203E" w14:paraId="15768CCD" w14:textId="77777777">
            <w:pPr>
              <w:jc w:val="right"/>
              <w:rPr>
                <w:b/>
                <w:bCs/>
                <w:color w:val="000000"/>
                <w:sz w:val="16"/>
                <w:szCs w:val="16"/>
                <w:lang w:eastAsia="en-GB"/>
              </w:rPr>
            </w:pPr>
            <w:r w:rsidRPr="00791F03">
              <w:rPr>
                <w:b/>
                <w:bCs/>
                <w:color w:val="000000"/>
                <w:sz w:val="16"/>
                <w:szCs w:val="16"/>
                <w:lang w:eastAsia="en-GB"/>
              </w:rPr>
              <w:t>65,021</w:t>
            </w:r>
          </w:p>
        </w:tc>
        <w:tc>
          <w:tcPr>
            <w:tcW w:w="1276" w:type="dxa"/>
            <w:tcBorders>
              <w:top w:val="single" w:sz="4" w:space="0" w:color="000000"/>
              <w:left w:val="nil"/>
              <w:bottom w:val="nil"/>
              <w:right w:val="single" w:sz="4" w:space="0" w:color="000000"/>
            </w:tcBorders>
            <w:shd w:val="clear" w:color="auto" w:fill="auto"/>
            <w:noWrap/>
            <w:vAlign w:val="center"/>
            <w:hideMark/>
          </w:tcPr>
          <w:p w:rsidR="00FB3DA1" w:rsidRPr="00791F03" w:rsidP="00BC203E" w14:paraId="000443FB" w14:textId="77777777">
            <w:pPr>
              <w:jc w:val="right"/>
              <w:rPr>
                <w:b/>
                <w:bCs/>
                <w:color w:val="000000"/>
                <w:sz w:val="16"/>
                <w:szCs w:val="16"/>
                <w:lang w:eastAsia="en-GB"/>
              </w:rPr>
            </w:pPr>
            <w:r w:rsidRPr="00791F03">
              <w:rPr>
                <w:b/>
                <w:bCs/>
                <w:color w:val="000000"/>
                <w:sz w:val="16"/>
                <w:szCs w:val="16"/>
                <w:lang w:eastAsia="en-GB"/>
              </w:rPr>
              <w:t>548,018</w:t>
            </w:r>
          </w:p>
        </w:tc>
        <w:tc>
          <w:tcPr>
            <w:tcW w:w="1052" w:type="dxa"/>
            <w:tcBorders>
              <w:top w:val="single" w:sz="4" w:space="0" w:color="000000"/>
              <w:left w:val="nil"/>
              <w:bottom w:val="nil"/>
              <w:right w:val="single" w:sz="4" w:space="0" w:color="000000"/>
            </w:tcBorders>
            <w:shd w:val="clear" w:color="auto" w:fill="auto"/>
            <w:noWrap/>
            <w:vAlign w:val="center"/>
            <w:hideMark/>
          </w:tcPr>
          <w:p w:rsidR="00FB3DA1" w:rsidRPr="00791F03" w:rsidP="00BC203E" w14:paraId="3EB0ADCE" w14:textId="77777777">
            <w:pPr>
              <w:jc w:val="right"/>
              <w:rPr>
                <w:b/>
                <w:bCs/>
                <w:color w:val="000000"/>
                <w:sz w:val="16"/>
                <w:szCs w:val="16"/>
                <w:lang w:eastAsia="en-GB"/>
              </w:rPr>
            </w:pPr>
            <w:r w:rsidRPr="00791F03">
              <w:rPr>
                <w:b/>
                <w:bCs/>
                <w:color w:val="000000"/>
                <w:sz w:val="16"/>
                <w:szCs w:val="16"/>
                <w:lang w:eastAsia="en-GB"/>
              </w:rPr>
              <w:t>24,220</w:t>
            </w:r>
          </w:p>
        </w:tc>
        <w:tc>
          <w:tcPr>
            <w:tcW w:w="756" w:type="dxa"/>
            <w:tcBorders>
              <w:top w:val="single" w:sz="4" w:space="0" w:color="000000"/>
              <w:left w:val="nil"/>
              <w:bottom w:val="nil"/>
              <w:right w:val="single" w:sz="4" w:space="0" w:color="000000"/>
            </w:tcBorders>
            <w:shd w:val="clear" w:color="auto" w:fill="auto"/>
            <w:noWrap/>
            <w:vAlign w:val="center"/>
            <w:hideMark/>
          </w:tcPr>
          <w:p w:rsidR="00FB3DA1" w:rsidRPr="00791F03" w:rsidP="00BC203E" w14:paraId="1B088577" w14:textId="77777777">
            <w:pPr>
              <w:jc w:val="right"/>
              <w:rPr>
                <w:b/>
                <w:bCs/>
                <w:color w:val="000000"/>
                <w:sz w:val="16"/>
                <w:szCs w:val="16"/>
                <w:lang w:eastAsia="en-GB"/>
              </w:rPr>
            </w:pPr>
            <w:r w:rsidRPr="00791F03">
              <w:rPr>
                <w:b/>
                <w:bCs/>
                <w:color w:val="000000"/>
                <w:sz w:val="16"/>
                <w:szCs w:val="16"/>
                <w:lang w:eastAsia="en-GB"/>
              </w:rPr>
              <w:t>-40,801</w:t>
            </w:r>
          </w:p>
        </w:tc>
        <w:tc>
          <w:tcPr>
            <w:tcW w:w="1026" w:type="dxa"/>
            <w:tcBorders>
              <w:top w:val="single" w:sz="4" w:space="0" w:color="000000"/>
              <w:left w:val="nil"/>
              <w:bottom w:val="nil"/>
              <w:right w:val="single" w:sz="4" w:space="0" w:color="000000"/>
            </w:tcBorders>
            <w:shd w:val="clear" w:color="auto" w:fill="auto"/>
            <w:noWrap/>
            <w:vAlign w:val="center"/>
            <w:hideMark/>
          </w:tcPr>
          <w:p w:rsidR="00FB3DA1" w:rsidRPr="00791F03" w:rsidP="00BC203E" w14:paraId="30F4EE76" w14:textId="77777777">
            <w:pPr>
              <w:jc w:val="right"/>
              <w:rPr>
                <w:b/>
                <w:bCs/>
                <w:color w:val="000000"/>
                <w:sz w:val="16"/>
                <w:szCs w:val="16"/>
                <w:lang w:eastAsia="en-GB"/>
              </w:rPr>
            </w:pPr>
            <w:r w:rsidRPr="00791F03">
              <w:rPr>
                <w:b/>
                <w:bCs/>
                <w:color w:val="000000"/>
                <w:sz w:val="16"/>
                <w:szCs w:val="16"/>
                <w:lang w:eastAsia="en-GB"/>
              </w:rPr>
              <w:t>559,555</w:t>
            </w:r>
          </w:p>
        </w:tc>
        <w:tc>
          <w:tcPr>
            <w:tcW w:w="960" w:type="dxa"/>
            <w:gridSpan w:val="2"/>
            <w:tcBorders>
              <w:top w:val="nil"/>
              <w:left w:val="nil"/>
              <w:bottom w:val="nil"/>
              <w:right w:val="nil"/>
            </w:tcBorders>
            <w:shd w:val="clear" w:color="auto" w:fill="auto"/>
            <w:noWrap/>
            <w:vAlign w:val="center"/>
            <w:hideMark/>
          </w:tcPr>
          <w:p w:rsidR="00FB3DA1" w:rsidRPr="00791F03" w:rsidP="00BC203E" w14:paraId="3F6D029A" w14:textId="77777777">
            <w:pPr>
              <w:jc w:val="right"/>
              <w:rPr>
                <w:b/>
                <w:bCs/>
                <w:color w:val="000000"/>
                <w:sz w:val="16"/>
                <w:szCs w:val="16"/>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5409B0B3" w14:textId="77777777">
            <w:pPr>
              <w:rPr>
                <w:b/>
                <w:bCs/>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12CCAC4E" w14:textId="77777777">
            <w:pPr>
              <w:rPr>
                <w:b/>
                <w:bCs/>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50FAE7AE" w14:textId="77777777">
            <w:pPr>
              <w:rPr>
                <w:b/>
                <w:bCs/>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4496D2A8" w14:textId="77777777">
            <w:pPr>
              <w:rPr>
                <w:b/>
                <w:bCs/>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691C45B4" w14:textId="77777777">
            <w:pPr>
              <w:rPr>
                <w:b/>
                <w:bCs/>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7CAAFFF3" w14:textId="77777777">
            <w:pPr>
              <w:rPr>
                <w:b/>
                <w:bCs/>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472A0D41" w14:textId="77777777">
            <w:pPr>
              <w:rPr>
                <w:b/>
                <w:bCs/>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334B59BF" w14:textId="77777777">
            <w:pPr>
              <w:rPr>
                <w:b/>
                <w:bCs/>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6CBEB3C6" w14:textId="77777777">
            <w:pPr>
              <w:rPr>
                <w:b/>
                <w:bCs/>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6B03A664" w14:textId="77777777">
            <w:pPr>
              <w:rPr>
                <w:b/>
                <w:bCs/>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06134716" w14:textId="77777777">
            <w:pPr>
              <w:rPr>
                <w:b/>
                <w:bCs/>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2C9ADB1B" w14:textId="77777777">
            <w:pPr>
              <w:rPr>
                <w:b/>
                <w:bCs/>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4BD4528E" w14:textId="77777777">
            <w:pPr>
              <w:rPr>
                <w:b/>
                <w:bCs/>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2B6FF0D2" w14:textId="77777777">
            <w:pPr>
              <w:rPr>
                <w:b/>
                <w:bCs/>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00767CF6" w14:textId="77777777">
            <w:pPr>
              <w:rPr>
                <w:b/>
                <w:bCs/>
                <w:sz w:val="20"/>
                <w:szCs w:val="20"/>
                <w:lang w:eastAsia="en-GB"/>
              </w:rPr>
            </w:pPr>
          </w:p>
        </w:tc>
      </w:tr>
      <w:tr w14:paraId="2D1F7556" w14:textId="77777777" w:rsidTr="00BC203E">
        <w:tblPrEx>
          <w:tblW w:w="26174" w:type="dxa"/>
          <w:tblInd w:w="-1276" w:type="dxa"/>
          <w:tblLook w:val="04A0"/>
        </w:tblPrEx>
        <w:trPr>
          <w:gridAfter w:val="1"/>
          <w:wAfter w:w="7" w:type="dxa"/>
          <w:trHeight w:val="432"/>
        </w:trPr>
        <w:tc>
          <w:tcPr>
            <w:tcW w:w="1096" w:type="dxa"/>
            <w:tcBorders>
              <w:top w:val="single" w:sz="4" w:space="0" w:color="000000"/>
              <w:left w:val="single" w:sz="4" w:space="0" w:color="000000"/>
              <w:bottom w:val="nil"/>
              <w:right w:val="single" w:sz="4" w:space="0" w:color="000000"/>
            </w:tcBorders>
            <w:shd w:val="clear" w:color="auto" w:fill="auto"/>
            <w:vAlign w:val="center"/>
            <w:hideMark/>
          </w:tcPr>
          <w:p w:rsidR="00FB3DA1" w:rsidRPr="00791F03" w:rsidP="00BC203E" w14:paraId="33978B55" w14:textId="77777777">
            <w:pPr>
              <w:jc w:val="center"/>
              <w:rPr>
                <w:b/>
                <w:bCs/>
                <w:color w:val="000000"/>
                <w:sz w:val="16"/>
                <w:szCs w:val="16"/>
                <w:lang w:eastAsia="en-GB"/>
              </w:rPr>
            </w:pPr>
            <w:r w:rsidRPr="00791F03">
              <w:rPr>
                <w:b/>
                <w:bCs/>
                <w:color w:val="000000"/>
                <w:sz w:val="16"/>
                <w:szCs w:val="16"/>
                <w:lang w:eastAsia="en-GB"/>
              </w:rPr>
              <w:t>05.000</w:t>
            </w:r>
          </w:p>
        </w:tc>
        <w:tc>
          <w:tcPr>
            <w:tcW w:w="1881" w:type="dxa"/>
            <w:tcBorders>
              <w:top w:val="single" w:sz="4" w:space="0" w:color="000000"/>
              <w:left w:val="nil"/>
              <w:bottom w:val="nil"/>
              <w:right w:val="single" w:sz="4" w:space="0" w:color="000000"/>
            </w:tcBorders>
            <w:shd w:val="clear" w:color="auto" w:fill="auto"/>
            <w:vAlign w:val="center"/>
            <w:hideMark/>
          </w:tcPr>
          <w:p w:rsidR="00FB3DA1" w:rsidRPr="00791F03" w:rsidP="00BC203E" w14:paraId="57C8FBB7" w14:textId="77777777">
            <w:pPr>
              <w:ind w:firstLine="160" w:firstLineChars="100"/>
              <w:rPr>
                <w:b/>
                <w:bCs/>
                <w:color w:val="000000"/>
                <w:sz w:val="16"/>
                <w:szCs w:val="16"/>
                <w:lang w:eastAsia="en-GB"/>
              </w:rPr>
            </w:pPr>
            <w:r w:rsidRPr="00791F03">
              <w:rPr>
                <w:b/>
                <w:bCs/>
                <w:color w:val="000000"/>
                <w:sz w:val="16"/>
                <w:szCs w:val="16"/>
                <w:lang w:eastAsia="en-GB"/>
              </w:rPr>
              <w:t>Vides aizsardzība</w:t>
            </w:r>
          </w:p>
        </w:tc>
        <w:tc>
          <w:tcPr>
            <w:tcW w:w="1276" w:type="dxa"/>
            <w:tcBorders>
              <w:top w:val="single" w:sz="4" w:space="0" w:color="000000"/>
              <w:left w:val="nil"/>
              <w:bottom w:val="nil"/>
              <w:right w:val="single" w:sz="4" w:space="0" w:color="000000"/>
            </w:tcBorders>
            <w:shd w:val="clear" w:color="auto" w:fill="auto"/>
            <w:noWrap/>
            <w:vAlign w:val="center"/>
            <w:hideMark/>
          </w:tcPr>
          <w:p w:rsidR="00FB3DA1" w:rsidRPr="00791F03" w:rsidP="00BC203E" w14:paraId="546D9264" w14:textId="77777777">
            <w:pPr>
              <w:jc w:val="right"/>
              <w:rPr>
                <w:b/>
                <w:bCs/>
                <w:color w:val="000000"/>
                <w:sz w:val="16"/>
                <w:szCs w:val="16"/>
                <w:lang w:eastAsia="en-GB"/>
              </w:rPr>
            </w:pPr>
            <w:r w:rsidRPr="00791F03">
              <w:rPr>
                <w:b/>
                <w:bCs/>
                <w:color w:val="000000"/>
                <w:sz w:val="16"/>
                <w:szCs w:val="16"/>
                <w:lang w:eastAsia="en-GB"/>
              </w:rPr>
              <w:t>170,421</w:t>
            </w:r>
          </w:p>
        </w:tc>
        <w:tc>
          <w:tcPr>
            <w:tcW w:w="1026" w:type="dxa"/>
            <w:tcBorders>
              <w:top w:val="single" w:sz="4" w:space="0" w:color="000000"/>
              <w:left w:val="nil"/>
              <w:bottom w:val="nil"/>
              <w:right w:val="single" w:sz="4" w:space="0" w:color="000000"/>
            </w:tcBorders>
            <w:shd w:val="clear" w:color="auto" w:fill="auto"/>
            <w:noWrap/>
            <w:vAlign w:val="center"/>
            <w:hideMark/>
          </w:tcPr>
          <w:p w:rsidR="00FB3DA1" w:rsidRPr="00791F03" w:rsidP="00BC203E" w14:paraId="0A95EA49" w14:textId="77777777">
            <w:pPr>
              <w:jc w:val="right"/>
              <w:rPr>
                <w:b/>
                <w:bCs/>
                <w:color w:val="000000"/>
                <w:sz w:val="16"/>
                <w:szCs w:val="16"/>
                <w:lang w:eastAsia="en-GB"/>
              </w:rPr>
            </w:pPr>
            <w:r w:rsidRPr="00791F03">
              <w:rPr>
                <w:b/>
                <w:bCs/>
                <w:color w:val="000000"/>
                <w:sz w:val="16"/>
                <w:szCs w:val="16"/>
                <w:lang w:eastAsia="en-GB"/>
              </w:rPr>
              <w:t>174,970</w:t>
            </w:r>
          </w:p>
        </w:tc>
        <w:tc>
          <w:tcPr>
            <w:tcW w:w="1418" w:type="dxa"/>
            <w:tcBorders>
              <w:top w:val="single" w:sz="4" w:space="0" w:color="000000"/>
              <w:left w:val="nil"/>
              <w:bottom w:val="nil"/>
              <w:right w:val="single" w:sz="4" w:space="0" w:color="000000"/>
            </w:tcBorders>
            <w:shd w:val="clear" w:color="auto" w:fill="auto"/>
            <w:noWrap/>
            <w:vAlign w:val="center"/>
            <w:hideMark/>
          </w:tcPr>
          <w:p w:rsidR="00FB3DA1" w:rsidRPr="00791F03" w:rsidP="00BC203E" w14:paraId="3449B1D6" w14:textId="77777777">
            <w:pPr>
              <w:jc w:val="right"/>
              <w:rPr>
                <w:b/>
                <w:bCs/>
                <w:color w:val="000000"/>
                <w:sz w:val="16"/>
                <w:szCs w:val="16"/>
                <w:lang w:eastAsia="en-GB"/>
              </w:rPr>
            </w:pPr>
            <w:r w:rsidRPr="00791F03">
              <w:rPr>
                <w:b/>
                <w:bCs/>
                <w:color w:val="000000"/>
                <w:sz w:val="16"/>
                <w:szCs w:val="16"/>
                <w:lang w:eastAsia="en-GB"/>
              </w:rPr>
              <w:t>4,549</w:t>
            </w:r>
          </w:p>
        </w:tc>
        <w:tc>
          <w:tcPr>
            <w:tcW w:w="1276" w:type="dxa"/>
            <w:tcBorders>
              <w:top w:val="single" w:sz="4" w:space="0" w:color="000000"/>
              <w:left w:val="nil"/>
              <w:bottom w:val="nil"/>
              <w:right w:val="single" w:sz="4" w:space="0" w:color="000000"/>
            </w:tcBorders>
            <w:shd w:val="clear" w:color="auto" w:fill="auto"/>
            <w:noWrap/>
            <w:vAlign w:val="center"/>
            <w:hideMark/>
          </w:tcPr>
          <w:p w:rsidR="00FB3DA1" w:rsidRPr="00791F03" w:rsidP="00BC203E" w14:paraId="0A3824E1" w14:textId="77777777">
            <w:pPr>
              <w:jc w:val="right"/>
              <w:rPr>
                <w:b/>
                <w:bCs/>
                <w:color w:val="000000"/>
                <w:sz w:val="16"/>
                <w:szCs w:val="16"/>
                <w:lang w:eastAsia="en-GB"/>
              </w:rPr>
            </w:pPr>
            <w:r w:rsidRPr="00791F03">
              <w:rPr>
                <w:b/>
                <w:bCs/>
                <w:color w:val="000000"/>
                <w:sz w:val="16"/>
                <w:szCs w:val="16"/>
                <w:lang w:eastAsia="en-GB"/>
              </w:rPr>
              <w:t>7,664</w:t>
            </w:r>
          </w:p>
        </w:tc>
        <w:tc>
          <w:tcPr>
            <w:tcW w:w="1052" w:type="dxa"/>
            <w:tcBorders>
              <w:top w:val="single" w:sz="4" w:space="0" w:color="000000"/>
              <w:left w:val="nil"/>
              <w:bottom w:val="nil"/>
              <w:right w:val="single" w:sz="4" w:space="0" w:color="000000"/>
            </w:tcBorders>
            <w:shd w:val="clear" w:color="auto" w:fill="auto"/>
            <w:noWrap/>
            <w:vAlign w:val="center"/>
            <w:hideMark/>
          </w:tcPr>
          <w:p w:rsidR="00FB3DA1" w:rsidRPr="00791F03" w:rsidP="00BC203E" w14:paraId="26EB7FD1" w14:textId="77777777">
            <w:pPr>
              <w:jc w:val="right"/>
              <w:rPr>
                <w:b/>
                <w:bCs/>
                <w:color w:val="000000"/>
                <w:sz w:val="16"/>
                <w:szCs w:val="16"/>
                <w:lang w:eastAsia="en-GB"/>
              </w:rPr>
            </w:pPr>
            <w:r w:rsidRPr="00791F03">
              <w:rPr>
                <w:b/>
                <w:bCs/>
                <w:color w:val="000000"/>
                <w:sz w:val="16"/>
                <w:szCs w:val="16"/>
                <w:lang w:eastAsia="en-GB"/>
              </w:rPr>
              <w:t>-162,757</w:t>
            </w:r>
          </w:p>
        </w:tc>
        <w:tc>
          <w:tcPr>
            <w:tcW w:w="756" w:type="dxa"/>
            <w:tcBorders>
              <w:top w:val="single" w:sz="4" w:space="0" w:color="000000"/>
              <w:left w:val="nil"/>
              <w:bottom w:val="nil"/>
              <w:right w:val="single" w:sz="4" w:space="0" w:color="000000"/>
            </w:tcBorders>
            <w:shd w:val="clear" w:color="auto" w:fill="auto"/>
            <w:noWrap/>
            <w:vAlign w:val="center"/>
            <w:hideMark/>
          </w:tcPr>
          <w:p w:rsidR="00FB3DA1" w:rsidRPr="00791F03" w:rsidP="00BC203E" w14:paraId="3393319E" w14:textId="77777777">
            <w:pPr>
              <w:jc w:val="right"/>
              <w:rPr>
                <w:b/>
                <w:bCs/>
                <w:color w:val="000000"/>
                <w:sz w:val="16"/>
                <w:szCs w:val="16"/>
                <w:lang w:eastAsia="en-GB"/>
              </w:rPr>
            </w:pPr>
            <w:r w:rsidRPr="00791F03">
              <w:rPr>
                <w:b/>
                <w:bCs/>
                <w:color w:val="000000"/>
                <w:sz w:val="16"/>
                <w:szCs w:val="16"/>
                <w:lang w:eastAsia="en-GB"/>
              </w:rPr>
              <w:t>-167,306</w:t>
            </w:r>
          </w:p>
        </w:tc>
        <w:tc>
          <w:tcPr>
            <w:tcW w:w="1026" w:type="dxa"/>
            <w:tcBorders>
              <w:top w:val="single" w:sz="4" w:space="0" w:color="000000"/>
              <w:left w:val="nil"/>
              <w:bottom w:val="nil"/>
              <w:right w:val="single" w:sz="4" w:space="0" w:color="000000"/>
            </w:tcBorders>
            <w:shd w:val="clear" w:color="auto" w:fill="auto"/>
            <w:noWrap/>
            <w:vAlign w:val="center"/>
            <w:hideMark/>
          </w:tcPr>
          <w:p w:rsidR="00FB3DA1" w:rsidRPr="00791F03" w:rsidP="00BC203E" w14:paraId="30E3592F" w14:textId="77777777">
            <w:pPr>
              <w:jc w:val="right"/>
              <w:rPr>
                <w:b/>
                <w:bCs/>
                <w:color w:val="000000"/>
                <w:sz w:val="16"/>
                <w:szCs w:val="16"/>
                <w:lang w:eastAsia="en-GB"/>
              </w:rPr>
            </w:pPr>
            <w:r w:rsidRPr="00791F03">
              <w:rPr>
                <w:b/>
                <w:bCs/>
                <w:color w:val="000000"/>
                <w:sz w:val="16"/>
                <w:szCs w:val="16"/>
                <w:lang w:eastAsia="en-GB"/>
              </w:rPr>
              <w:t>10,417</w:t>
            </w:r>
          </w:p>
        </w:tc>
        <w:tc>
          <w:tcPr>
            <w:tcW w:w="960" w:type="dxa"/>
            <w:gridSpan w:val="2"/>
            <w:tcBorders>
              <w:top w:val="nil"/>
              <w:left w:val="nil"/>
              <w:bottom w:val="nil"/>
              <w:right w:val="nil"/>
            </w:tcBorders>
            <w:shd w:val="clear" w:color="auto" w:fill="auto"/>
            <w:noWrap/>
            <w:vAlign w:val="center"/>
            <w:hideMark/>
          </w:tcPr>
          <w:p w:rsidR="00FB3DA1" w:rsidRPr="00791F03" w:rsidP="00BC203E" w14:paraId="1CE1314D" w14:textId="77777777">
            <w:pPr>
              <w:jc w:val="right"/>
              <w:rPr>
                <w:b/>
                <w:bCs/>
                <w:color w:val="000000"/>
                <w:sz w:val="16"/>
                <w:szCs w:val="16"/>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062D068E" w14:textId="77777777">
            <w:pPr>
              <w:rPr>
                <w:b/>
                <w:bCs/>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0861362E" w14:textId="77777777">
            <w:pPr>
              <w:rPr>
                <w:b/>
                <w:bCs/>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146825DB" w14:textId="77777777">
            <w:pPr>
              <w:rPr>
                <w:b/>
                <w:bCs/>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7A80FD4D" w14:textId="77777777">
            <w:pPr>
              <w:rPr>
                <w:b/>
                <w:bCs/>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41825C66" w14:textId="77777777">
            <w:pPr>
              <w:rPr>
                <w:b/>
                <w:bCs/>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411F7E69" w14:textId="77777777">
            <w:pPr>
              <w:rPr>
                <w:b/>
                <w:bCs/>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70415550" w14:textId="77777777">
            <w:pPr>
              <w:rPr>
                <w:b/>
                <w:bCs/>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1572CFBB" w14:textId="77777777">
            <w:pPr>
              <w:rPr>
                <w:b/>
                <w:bCs/>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70980189" w14:textId="77777777">
            <w:pPr>
              <w:rPr>
                <w:b/>
                <w:bCs/>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127FE559" w14:textId="77777777">
            <w:pPr>
              <w:rPr>
                <w:b/>
                <w:bCs/>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4F8E557B" w14:textId="77777777">
            <w:pPr>
              <w:rPr>
                <w:b/>
                <w:bCs/>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22723AD5" w14:textId="77777777">
            <w:pPr>
              <w:rPr>
                <w:b/>
                <w:bCs/>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1347CD7B" w14:textId="77777777">
            <w:pPr>
              <w:rPr>
                <w:b/>
                <w:bCs/>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44A2A1D4" w14:textId="77777777">
            <w:pPr>
              <w:rPr>
                <w:b/>
                <w:bCs/>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2E271A0F" w14:textId="77777777">
            <w:pPr>
              <w:rPr>
                <w:b/>
                <w:bCs/>
                <w:sz w:val="20"/>
                <w:szCs w:val="20"/>
                <w:lang w:eastAsia="en-GB"/>
              </w:rPr>
            </w:pPr>
          </w:p>
        </w:tc>
      </w:tr>
      <w:tr w14:paraId="1F54B404" w14:textId="77777777" w:rsidTr="00BC203E">
        <w:tblPrEx>
          <w:tblW w:w="26174" w:type="dxa"/>
          <w:tblInd w:w="-1276" w:type="dxa"/>
          <w:tblLook w:val="04A0"/>
        </w:tblPrEx>
        <w:trPr>
          <w:gridAfter w:val="1"/>
          <w:wAfter w:w="7" w:type="dxa"/>
          <w:trHeight w:val="432"/>
        </w:trPr>
        <w:tc>
          <w:tcPr>
            <w:tcW w:w="1096" w:type="dxa"/>
            <w:tcBorders>
              <w:top w:val="single" w:sz="4" w:space="0" w:color="000000"/>
              <w:left w:val="single" w:sz="4" w:space="0" w:color="000000"/>
              <w:bottom w:val="nil"/>
              <w:right w:val="single" w:sz="4" w:space="0" w:color="000000"/>
            </w:tcBorders>
            <w:shd w:val="clear" w:color="auto" w:fill="auto"/>
            <w:vAlign w:val="center"/>
            <w:hideMark/>
          </w:tcPr>
          <w:p w:rsidR="00FB3DA1" w:rsidRPr="00791F03" w:rsidP="00BC203E" w14:paraId="2AE52D73" w14:textId="77777777">
            <w:pPr>
              <w:jc w:val="center"/>
              <w:rPr>
                <w:b/>
                <w:bCs/>
                <w:color w:val="000000"/>
                <w:sz w:val="16"/>
                <w:szCs w:val="16"/>
                <w:lang w:eastAsia="en-GB"/>
              </w:rPr>
            </w:pPr>
            <w:r w:rsidRPr="00791F03">
              <w:rPr>
                <w:b/>
                <w:bCs/>
                <w:color w:val="000000"/>
                <w:sz w:val="16"/>
                <w:szCs w:val="16"/>
                <w:lang w:eastAsia="en-GB"/>
              </w:rPr>
              <w:t>06.000</w:t>
            </w:r>
          </w:p>
        </w:tc>
        <w:tc>
          <w:tcPr>
            <w:tcW w:w="1881" w:type="dxa"/>
            <w:tcBorders>
              <w:top w:val="single" w:sz="4" w:space="0" w:color="000000"/>
              <w:left w:val="nil"/>
              <w:bottom w:val="nil"/>
              <w:right w:val="single" w:sz="4" w:space="0" w:color="000000"/>
            </w:tcBorders>
            <w:shd w:val="clear" w:color="auto" w:fill="auto"/>
            <w:vAlign w:val="center"/>
            <w:hideMark/>
          </w:tcPr>
          <w:p w:rsidR="00FB3DA1" w:rsidRPr="00791F03" w:rsidP="00BC203E" w14:paraId="350D5A03" w14:textId="77777777">
            <w:pPr>
              <w:ind w:firstLine="160" w:firstLineChars="100"/>
              <w:rPr>
                <w:b/>
                <w:bCs/>
                <w:color w:val="000000"/>
                <w:sz w:val="16"/>
                <w:szCs w:val="16"/>
                <w:lang w:eastAsia="en-GB"/>
              </w:rPr>
            </w:pPr>
            <w:r w:rsidRPr="00791F03">
              <w:rPr>
                <w:b/>
                <w:bCs/>
                <w:color w:val="000000"/>
                <w:sz w:val="16"/>
                <w:szCs w:val="16"/>
                <w:lang w:eastAsia="en-GB"/>
              </w:rPr>
              <w:t xml:space="preserve">Teritoriju un mājokļu apsaimniekošana </w:t>
            </w:r>
          </w:p>
        </w:tc>
        <w:tc>
          <w:tcPr>
            <w:tcW w:w="1276" w:type="dxa"/>
            <w:tcBorders>
              <w:top w:val="single" w:sz="4" w:space="0" w:color="000000"/>
              <w:left w:val="nil"/>
              <w:bottom w:val="nil"/>
              <w:right w:val="single" w:sz="4" w:space="0" w:color="000000"/>
            </w:tcBorders>
            <w:shd w:val="clear" w:color="auto" w:fill="auto"/>
            <w:noWrap/>
            <w:vAlign w:val="center"/>
            <w:hideMark/>
          </w:tcPr>
          <w:p w:rsidR="00FB3DA1" w:rsidRPr="00791F03" w:rsidP="00BC203E" w14:paraId="5C42F8A2" w14:textId="77777777">
            <w:pPr>
              <w:jc w:val="right"/>
              <w:rPr>
                <w:b/>
                <w:bCs/>
                <w:color w:val="000000"/>
                <w:sz w:val="16"/>
                <w:szCs w:val="16"/>
                <w:lang w:eastAsia="en-GB"/>
              </w:rPr>
            </w:pPr>
            <w:r w:rsidRPr="00791F03">
              <w:rPr>
                <w:b/>
                <w:bCs/>
                <w:color w:val="000000"/>
                <w:sz w:val="16"/>
                <w:szCs w:val="16"/>
                <w:lang w:eastAsia="en-GB"/>
              </w:rPr>
              <w:t>14,887,389</w:t>
            </w:r>
          </w:p>
        </w:tc>
        <w:tc>
          <w:tcPr>
            <w:tcW w:w="1026" w:type="dxa"/>
            <w:tcBorders>
              <w:top w:val="single" w:sz="4" w:space="0" w:color="000000"/>
              <w:left w:val="nil"/>
              <w:bottom w:val="nil"/>
              <w:right w:val="single" w:sz="4" w:space="0" w:color="000000"/>
            </w:tcBorders>
            <w:shd w:val="clear" w:color="auto" w:fill="auto"/>
            <w:noWrap/>
            <w:vAlign w:val="center"/>
            <w:hideMark/>
          </w:tcPr>
          <w:p w:rsidR="00FB3DA1" w:rsidRPr="00791F03" w:rsidP="00BC203E" w14:paraId="10494D00" w14:textId="77777777">
            <w:pPr>
              <w:jc w:val="right"/>
              <w:rPr>
                <w:b/>
                <w:bCs/>
                <w:color w:val="000000"/>
                <w:sz w:val="16"/>
                <w:szCs w:val="16"/>
                <w:lang w:eastAsia="en-GB"/>
              </w:rPr>
            </w:pPr>
            <w:r w:rsidRPr="00791F03">
              <w:rPr>
                <w:b/>
                <w:bCs/>
                <w:color w:val="000000"/>
                <w:sz w:val="16"/>
                <w:szCs w:val="16"/>
                <w:lang w:eastAsia="en-GB"/>
              </w:rPr>
              <w:t>14,536,476</w:t>
            </w:r>
          </w:p>
        </w:tc>
        <w:tc>
          <w:tcPr>
            <w:tcW w:w="1418" w:type="dxa"/>
            <w:tcBorders>
              <w:top w:val="single" w:sz="4" w:space="0" w:color="000000"/>
              <w:left w:val="nil"/>
              <w:bottom w:val="nil"/>
              <w:right w:val="single" w:sz="4" w:space="0" w:color="000000"/>
            </w:tcBorders>
            <w:shd w:val="clear" w:color="auto" w:fill="auto"/>
            <w:noWrap/>
            <w:vAlign w:val="center"/>
            <w:hideMark/>
          </w:tcPr>
          <w:p w:rsidR="00FB3DA1" w:rsidRPr="00791F03" w:rsidP="00BC203E" w14:paraId="671BACEC" w14:textId="77777777">
            <w:pPr>
              <w:jc w:val="right"/>
              <w:rPr>
                <w:b/>
                <w:bCs/>
                <w:color w:val="000000"/>
                <w:sz w:val="16"/>
                <w:szCs w:val="16"/>
                <w:lang w:eastAsia="en-GB"/>
              </w:rPr>
            </w:pPr>
            <w:r w:rsidRPr="00791F03">
              <w:rPr>
                <w:b/>
                <w:bCs/>
                <w:color w:val="000000"/>
                <w:sz w:val="16"/>
                <w:szCs w:val="16"/>
                <w:lang w:eastAsia="en-GB"/>
              </w:rPr>
              <w:t>-350,913</w:t>
            </w:r>
          </w:p>
        </w:tc>
        <w:tc>
          <w:tcPr>
            <w:tcW w:w="1276" w:type="dxa"/>
            <w:tcBorders>
              <w:top w:val="single" w:sz="4" w:space="0" w:color="000000"/>
              <w:left w:val="nil"/>
              <w:bottom w:val="nil"/>
              <w:right w:val="single" w:sz="4" w:space="0" w:color="000000"/>
            </w:tcBorders>
            <w:shd w:val="clear" w:color="auto" w:fill="auto"/>
            <w:noWrap/>
            <w:vAlign w:val="center"/>
            <w:hideMark/>
          </w:tcPr>
          <w:p w:rsidR="00FB3DA1" w:rsidRPr="00791F03" w:rsidP="00BC203E" w14:paraId="2BC5D538" w14:textId="77777777">
            <w:pPr>
              <w:jc w:val="right"/>
              <w:rPr>
                <w:b/>
                <w:bCs/>
                <w:color w:val="000000"/>
                <w:sz w:val="16"/>
                <w:szCs w:val="16"/>
                <w:lang w:eastAsia="en-GB"/>
              </w:rPr>
            </w:pPr>
            <w:r w:rsidRPr="00791F03">
              <w:rPr>
                <w:b/>
                <w:bCs/>
                <w:color w:val="000000"/>
                <w:sz w:val="16"/>
                <w:szCs w:val="16"/>
                <w:lang w:eastAsia="en-GB"/>
              </w:rPr>
              <w:t>12,552,952</w:t>
            </w:r>
          </w:p>
        </w:tc>
        <w:tc>
          <w:tcPr>
            <w:tcW w:w="1052" w:type="dxa"/>
            <w:tcBorders>
              <w:top w:val="single" w:sz="4" w:space="0" w:color="000000"/>
              <w:left w:val="nil"/>
              <w:bottom w:val="nil"/>
              <w:right w:val="single" w:sz="4" w:space="0" w:color="000000"/>
            </w:tcBorders>
            <w:shd w:val="clear" w:color="auto" w:fill="auto"/>
            <w:noWrap/>
            <w:vAlign w:val="center"/>
            <w:hideMark/>
          </w:tcPr>
          <w:p w:rsidR="00FB3DA1" w:rsidRPr="00791F03" w:rsidP="00BC203E" w14:paraId="5F918601" w14:textId="77777777">
            <w:pPr>
              <w:jc w:val="right"/>
              <w:rPr>
                <w:b/>
                <w:bCs/>
                <w:color w:val="000000"/>
                <w:sz w:val="16"/>
                <w:szCs w:val="16"/>
                <w:lang w:eastAsia="en-GB"/>
              </w:rPr>
            </w:pPr>
            <w:r w:rsidRPr="00791F03">
              <w:rPr>
                <w:b/>
                <w:bCs/>
                <w:color w:val="000000"/>
                <w:sz w:val="16"/>
                <w:szCs w:val="16"/>
                <w:lang w:eastAsia="en-GB"/>
              </w:rPr>
              <w:t>-2,334,437</w:t>
            </w:r>
          </w:p>
        </w:tc>
        <w:tc>
          <w:tcPr>
            <w:tcW w:w="756" w:type="dxa"/>
            <w:tcBorders>
              <w:top w:val="single" w:sz="4" w:space="0" w:color="000000"/>
              <w:left w:val="nil"/>
              <w:bottom w:val="nil"/>
              <w:right w:val="single" w:sz="4" w:space="0" w:color="000000"/>
            </w:tcBorders>
            <w:shd w:val="clear" w:color="auto" w:fill="auto"/>
            <w:noWrap/>
            <w:vAlign w:val="center"/>
            <w:hideMark/>
          </w:tcPr>
          <w:p w:rsidR="00FB3DA1" w:rsidRPr="00791F03" w:rsidP="00BC203E" w14:paraId="6CCECB32" w14:textId="77777777">
            <w:pPr>
              <w:jc w:val="right"/>
              <w:rPr>
                <w:b/>
                <w:bCs/>
                <w:color w:val="000000"/>
                <w:sz w:val="16"/>
                <w:szCs w:val="16"/>
                <w:lang w:eastAsia="en-GB"/>
              </w:rPr>
            </w:pPr>
            <w:r w:rsidRPr="00791F03">
              <w:rPr>
                <w:b/>
                <w:bCs/>
                <w:color w:val="000000"/>
                <w:sz w:val="16"/>
                <w:szCs w:val="16"/>
                <w:lang w:eastAsia="en-GB"/>
              </w:rPr>
              <w:t>-1,983,524</w:t>
            </w:r>
          </w:p>
        </w:tc>
        <w:tc>
          <w:tcPr>
            <w:tcW w:w="1026" w:type="dxa"/>
            <w:tcBorders>
              <w:top w:val="single" w:sz="4" w:space="0" w:color="000000"/>
              <w:left w:val="nil"/>
              <w:bottom w:val="nil"/>
              <w:right w:val="single" w:sz="4" w:space="0" w:color="000000"/>
            </w:tcBorders>
            <w:shd w:val="clear" w:color="auto" w:fill="auto"/>
            <w:noWrap/>
            <w:vAlign w:val="center"/>
            <w:hideMark/>
          </w:tcPr>
          <w:p w:rsidR="00FB3DA1" w:rsidRPr="00791F03" w:rsidP="00BC203E" w14:paraId="54564083" w14:textId="77777777">
            <w:pPr>
              <w:jc w:val="right"/>
              <w:rPr>
                <w:b/>
                <w:bCs/>
                <w:color w:val="000000"/>
                <w:sz w:val="16"/>
                <w:szCs w:val="16"/>
                <w:lang w:eastAsia="en-GB"/>
              </w:rPr>
            </w:pPr>
            <w:r w:rsidRPr="00791F03">
              <w:rPr>
                <w:b/>
                <w:bCs/>
                <w:color w:val="000000"/>
                <w:sz w:val="16"/>
                <w:szCs w:val="16"/>
                <w:lang w:eastAsia="en-GB"/>
              </w:rPr>
              <w:t>9,143,704</w:t>
            </w:r>
          </w:p>
        </w:tc>
        <w:tc>
          <w:tcPr>
            <w:tcW w:w="960" w:type="dxa"/>
            <w:gridSpan w:val="2"/>
            <w:tcBorders>
              <w:top w:val="nil"/>
              <w:left w:val="nil"/>
              <w:bottom w:val="nil"/>
              <w:right w:val="nil"/>
            </w:tcBorders>
            <w:shd w:val="clear" w:color="auto" w:fill="auto"/>
            <w:noWrap/>
            <w:vAlign w:val="center"/>
            <w:hideMark/>
          </w:tcPr>
          <w:p w:rsidR="00FB3DA1" w:rsidP="00BC203E" w14:paraId="0BF5CB78" w14:textId="77777777">
            <w:pPr>
              <w:jc w:val="right"/>
              <w:rPr>
                <w:b/>
                <w:bCs/>
                <w:color w:val="000000"/>
                <w:sz w:val="16"/>
                <w:szCs w:val="16"/>
                <w:lang w:eastAsia="en-GB"/>
              </w:rPr>
            </w:pPr>
          </w:p>
          <w:p w:rsidR="00FB3DA1" w:rsidRPr="00791F03" w:rsidP="00BC203E" w14:paraId="6F8B60F4" w14:textId="77777777">
            <w:pPr>
              <w:jc w:val="right"/>
              <w:rPr>
                <w:b/>
                <w:bCs/>
                <w:color w:val="000000"/>
                <w:sz w:val="16"/>
                <w:szCs w:val="16"/>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511370D8" w14:textId="77777777">
            <w:pPr>
              <w:rPr>
                <w:b/>
                <w:bCs/>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71DCE036" w14:textId="77777777">
            <w:pPr>
              <w:rPr>
                <w:b/>
                <w:bCs/>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41927E57" w14:textId="77777777">
            <w:pPr>
              <w:rPr>
                <w:b/>
                <w:bCs/>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2C0599DC" w14:textId="77777777">
            <w:pPr>
              <w:rPr>
                <w:b/>
                <w:bCs/>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6DEC66FC" w14:textId="77777777">
            <w:pPr>
              <w:rPr>
                <w:b/>
                <w:bCs/>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2137B820" w14:textId="77777777">
            <w:pPr>
              <w:rPr>
                <w:b/>
                <w:bCs/>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719F70B9" w14:textId="77777777">
            <w:pPr>
              <w:rPr>
                <w:b/>
                <w:bCs/>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0CB465E4" w14:textId="77777777">
            <w:pPr>
              <w:rPr>
                <w:b/>
                <w:bCs/>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7FB598E4" w14:textId="77777777">
            <w:pPr>
              <w:rPr>
                <w:b/>
                <w:bCs/>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74B76474" w14:textId="77777777">
            <w:pPr>
              <w:rPr>
                <w:b/>
                <w:bCs/>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3A959945" w14:textId="77777777">
            <w:pPr>
              <w:rPr>
                <w:b/>
                <w:bCs/>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1825D1E6" w14:textId="77777777">
            <w:pPr>
              <w:rPr>
                <w:b/>
                <w:bCs/>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7DF21242" w14:textId="77777777">
            <w:pPr>
              <w:rPr>
                <w:b/>
                <w:bCs/>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4AB36689" w14:textId="77777777">
            <w:pPr>
              <w:rPr>
                <w:b/>
                <w:bCs/>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5F7179A6" w14:textId="77777777">
            <w:pPr>
              <w:rPr>
                <w:b/>
                <w:bCs/>
                <w:sz w:val="20"/>
                <w:szCs w:val="20"/>
                <w:lang w:eastAsia="en-GB"/>
              </w:rPr>
            </w:pPr>
          </w:p>
        </w:tc>
      </w:tr>
      <w:tr w14:paraId="73D943FF" w14:textId="77777777" w:rsidTr="00BC203E">
        <w:tblPrEx>
          <w:tblW w:w="26174" w:type="dxa"/>
          <w:tblInd w:w="-1276" w:type="dxa"/>
          <w:tblLook w:val="04A0"/>
        </w:tblPrEx>
        <w:trPr>
          <w:gridAfter w:val="1"/>
          <w:wAfter w:w="7" w:type="dxa"/>
          <w:trHeight w:val="432"/>
        </w:trPr>
        <w:tc>
          <w:tcPr>
            <w:tcW w:w="1096" w:type="dxa"/>
            <w:tcBorders>
              <w:top w:val="single" w:sz="4" w:space="0" w:color="000000"/>
              <w:left w:val="single" w:sz="4" w:space="0" w:color="000000"/>
              <w:bottom w:val="nil"/>
              <w:right w:val="single" w:sz="4" w:space="0" w:color="000000"/>
            </w:tcBorders>
            <w:shd w:val="clear" w:color="auto" w:fill="auto"/>
            <w:vAlign w:val="center"/>
            <w:hideMark/>
          </w:tcPr>
          <w:p w:rsidR="00FB3DA1" w:rsidRPr="00791F03" w:rsidP="00BC203E" w14:paraId="0F8AC7B6" w14:textId="77777777">
            <w:pPr>
              <w:jc w:val="center"/>
              <w:rPr>
                <w:b/>
                <w:bCs/>
                <w:color w:val="000000"/>
                <w:sz w:val="16"/>
                <w:szCs w:val="16"/>
                <w:lang w:eastAsia="en-GB"/>
              </w:rPr>
            </w:pPr>
            <w:r w:rsidRPr="00791F03">
              <w:rPr>
                <w:b/>
                <w:bCs/>
                <w:color w:val="000000"/>
                <w:sz w:val="16"/>
                <w:szCs w:val="16"/>
                <w:lang w:eastAsia="en-GB"/>
              </w:rPr>
              <w:t>08.</w:t>
            </w:r>
            <w:r>
              <w:rPr>
                <w:b/>
                <w:bCs/>
                <w:color w:val="000000"/>
                <w:sz w:val="16"/>
                <w:szCs w:val="16"/>
                <w:lang w:eastAsia="en-GB"/>
              </w:rPr>
              <w:t>0</w:t>
            </w:r>
            <w:r w:rsidRPr="00791F03">
              <w:rPr>
                <w:b/>
                <w:bCs/>
                <w:color w:val="000000"/>
                <w:sz w:val="16"/>
                <w:szCs w:val="16"/>
                <w:lang w:eastAsia="en-GB"/>
              </w:rPr>
              <w:t>00</w:t>
            </w:r>
          </w:p>
        </w:tc>
        <w:tc>
          <w:tcPr>
            <w:tcW w:w="1881" w:type="dxa"/>
            <w:tcBorders>
              <w:top w:val="single" w:sz="4" w:space="0" w:color="000000"/>
              <w:left w:val="nil"/>
              <w:bottom w:val="nil"/>
              <w:right w:val="single" w:sz="4" w:space="0" w:color="000000"/>
            </w:tcBorders>
            <w:shd w:val="clear" w:color="auto" w:fill="auto"/>
            <w:vAlign w:val="center"/>
            <w:hideMark/>
          </w:tcPr>
          <w:p w:rsidR="00FB3DA1" w:rsidRPr="00791F03" w:rsidP="00BC203E" w14:paraId="5A1C44D1" w14:textId="77777777">
            <w:pPr>
              <w:ind w:firstLine="320" w:firstLineChars="200"/>
              <w:rPr>
                <w:b/>
                <w:bCs/>
                <w:color w:val="000000"/>
                <w:sz w:val="16"/>
                <w:szCs w:val="16"/>
                <w:lang w:eastAsia="en-GB"/>
              </w:rPr>
            </w:pPr>
            <w:r w:rsidRPr="00791F03">
              <w:rPr>
                <w:b/>
                <w:bCs/>
                <w:color w:val="000000"/>
                <w:sz w:val="16"/>
                <w:szCs w:val="16"/>
                <w:lang w:eastAsia="en-GB"/>
              </w:rPr>
              <w:t>Atpūtas</w:t>
            </w:r>
            <w:r>
              <w:rPr>
                <w:b/>
                <w:bCs/>
                <w:color w:val="000000"/>
                <w:sz w:val="16"/>
                <w:szCs w:val="16"/>
                <w:lang w:eastAsia="en-GB"/>
              </w:rPr>
              <w:t xml:space="preserve">, kultūra, </w:t>
            </w:r>
            <w:r w:rsidRPr="00791F03">
              <w:rPr>
                <w:b/>
                <w:bCs/>
                <w:color w:val="000000"/>
                <w:sz w:val="16"/>
                <w:szCs w:val="16"/>
                <w:lang w:eastAsia="en-GB"/>
              </w:rPr>
              <w:t>sport</w:t>
            </w:r>
            <w:r>
              <w:rPr>
                <w:b/>
                <w:bCs/>
                <w:color w:val="000000"/>
                <w:sz w:val="16"/>
                <w:szCs w:val="16"/>
                <w:lang w:eastAsia="en-GB"/>
              </w:rPr>
              <w:t>s</w:t>
            </w:r>
          </w:p>
        </w:tc>
        <w:tc>
          <w:tcPr>
            <w:tcW w:w="1276" w:type="dxa"/>
            <w:tcBorders>
              <w:top w:val="single" w:sz="4" w:space="0" w:color="000000"/>
              <w:left w:val="nil"/>
              <w:bottom w:val="nil"/>
              <w:right w:val="single" w:sz="4" w:space="0" w:color="000000"/>
            </w:tcBorders>
            <w:shd w:val="clear" w:color="auto" w:fill="auto"/>
            <w:noWrap/>
            <w:vAlign w:val="center"/>
          </w:tcPr>
          <w:p w:rsidR="00FB3DA1" w:rsidRPr="00791F03" w:rsidP="00BC203E" w14:paraId="0988EC82" w14:textId="77777777">
            <w:pPr>
              <w:jc w:val="right"/>
              <w:rPr>
                <w:b/>
                <w:bCs/>
                <w:color w:val="000000"/>
                <w:sz w:val="16"/>
                <w:szCs w:val="16"/>
                <w:lang w:eastAsia="en-GB"/>
              </w:rPr>
            </w:pPr>
            <w:r>
              <w:rPr>
                <w:b/>
                <w:bCs/>
                <w:color w:val="000000"/>
                <w:sz w:val="16"/>
                <w:szCs w:val="16"/>
                <w:lang w:eastAsia="en-GB"/>
              </w:rPr>
              <w:t>2 402 227</w:t>
            </w:r>
          </w:p>
        </w:tc>
        <w:tc>
          <w:tcPr>
            <w:tcW w:w="1026" w:type="dxa"/>
            <w:tcBorders>
              <w:top w:val="single" w:sz="4" w:space="0" w:color="000000"/>
              <w:left w:val="nil"/>
              <w:bottom w:val="nil"/>
              <w:right w:val="single" w:sz="4" w:space="0" w:color="000000"/>
            </w:tcBorders>
            <w:shd w:val="clear" w:color="auto" w:fill="auto"/>
            <w:noWrap/>
            <w:vAlign w:val="center"/>
          </w:tcPr>
          <w:p w:rsidR="00FB3DA1" w:rsidRPr="00791F03" w:rsidP="00BC203E" w14:paraId="64E5DDE3" w14:textId="77777777">
            <w:pPr>
              <w:jc w:val="right"/>
              <w:rPr>
                <w:b/>
                <w:bCs/>
                <w:color w:val="000000"/>
                <w:sz w:val="16"/>
                <w:szCs w:val="16"/>
                <w:lang w:eastAsia="en-GB"/>
              </w:rPr>
            </w:pPr>
            <w:r>
              <w:rPr>
                <w:b/>
                <w:bCs/>
                <w:color w:val="000000"/>
                <w:sz w:val="16"/>
                <w:szCs w:val="16"/>
                <w:lang w:eastAsia="en-GB"/>
              </w:rPr>
              <w:t>2 566 319</w:t>
            </w:r>
          </w:p>
        </w:tc>
        <w:tc>
          <w:tcPr>
            <w:tcW w:w="1418" w:type="dxa"/>
            <w:tcBorders>
              <w:top w:val="single" w:sz="4" w:space="0" w:color="000000"/>
              <w:left w:val="nil"/>
              <w:bottom w:val="nil"/>
              <w:right w:val="single" w:sz="4" w:space="0" w:color="000000"/>
            </w:tcBorders>
            <w:shd w:val="clear" w:color="auto" w:fill="auto"/>
            <w:noWrap/>
            <w:vAlign w:val="center"/>
          </w:tcPr>
          <w:p w:rsidR="00FB3DA1" w:rsidRPr="00791F03" w:rsidP="00BC203E" w14:paraId="617E432D" w14:textId="77777777">
            <w:pPr>
              <w:jc w:val="right"/>
              <w:rPr>
                <w:b/>
                <w:bCs/>
                <w:color w:val="000000"/>
                <w:sz w:val="16"/>
                <w:szCs w:val="16"/>
                <w:lang w:eastAsia="en-GB"/>
              </w:rPr>
            </w:pPr>
            <w:r>
              <w:rPr>
                <w:b/>
                <w:bCs/>
                <w:color w:val="000000"/>
                <w:sz w:val="16"/>
                <w:szCs w:val="16"/>
                <w:lang w:eastAsia="en-GB"/>
              </w:rPr>
              <w:t>164 092</w:t>
            </w:r>
          </w:p>
        </w:tc>
        <w:tc>
          <w:tcPr>
            <w:tcW w:w="1276" w:type="dxa"/>
            <w:tcBorders>
              <w:top w:val="single" w:sz="4" w:space="0" w:color="000000"/>
              <w:left w:val="nil"/>
              <w:bottom w:val="nil"/>
              <w:right w:val="single" w:sz="4" w:space="0" w:color="000000"/>
            </w:tcBorders>
            <w:shd w:val="clear" w:color="auto" w:fill="auto"/>
            <w:noWrap/>
            <w:vAlign w:val="center"/>
          </w:tcPr>
          <w:p w:rsidR="00FB3DA1" w:rsidRPr="00791F03" w:rsidP="00BC203E" w14:paraId="43E3FCE6" w14:textId="77777777">
            <w:pPr>
              <w:jc w:val="right"/>
              <w:rPr>
                <w:b/>
                <w:bCs/>
                <w:color w:val="000000"/>
                <w:sz w:val="16"/>
                <w:szCs w:val="16"/>
                <w:lang w:eastAsia="en-GB"/>
              </w:rPr>
            </w:pPr>
            <w:r>
              <w:rPr>
                <w:b/>
                <w:bCs/>
                <w:color w:val="000000"/>
                <w:sz w:val="16"/>
                <w:szCs w:val="16"/>
                <w:lang w:eastAsia="en-GB"/>
              </w:rPr>
              <w:t>2 349 548</w:t>
            </w:r>
          </w:p>
        </w:tc>
        <w:tc>
          <w:tcPr>
            <w:tcW w:w="1052" w:type="dxa"/>
            <w:tcBorders>
              <w:top w:val="single" w:sz="4" w:space="0" w:color="000000"/>
              <w:left w:val="nil"/>
              <w:bottom w:val="nil"/>
              <w:right w:val="single" w:sz="4" w:space="0" w:color="000000"/>
            </w:tcBorders>
            <w:shd w:val="clear" w:color="auto" w:fill="auto"/>
            <w:noWrap/>
            <w:vAlign w:val="center"/>
          </w:tcPr>
          <w:p w:rsidR="00FB3DA1" w:rsidRPr="00791F03" w:rsidP="00BC203E" w14:paraId="1C69DE72" w14:textId="77777777">
            <w:pPr>
              <w:jc w:val="right"/>
              <w:rPr>
                <w:b/>
                <w:bCs/>
                <w:color w:val="000000"/>
                <w:sz w:val="16"/>
                <w:szCs w:val="16"/>
                <w:lang w:eastAsia="en-GB"/>
              </w:rPr>
            </w:pPr>
            <w:r>
              <w:rPr>
                <w:b/>
                <w:bCs/>
                <w:color w:val="000000"/>
                <w:sz w:val="16"/>
                <w:szCs w:val="16"/>
                <w:lang w:eastAsia="en-GB"/>
              </w:rPr>
              <w:t>-52 679</w:t>
            </w:r>
          </w:p>
        </w:tc>
        <w:tc>
          <w:tcPr>
            <w:tcW w:w="756" w:type="dxa"/>
            <w:tcBorders>
              <w:top w:val="single" w:sz="4" w:space="0" w:color="000000"/>
              <w:left w:val="nil"/>
              <w:bottom w:val="nil"/>
              <w:right w:val="single" w:sz="4" w:space="0" w:color="000000"/>
            </w:tcBorders>
            <w:shd w:val="clear" w:color="auto" w:fill="auto"/>
            <w:noWrap/>
            <w:vAlign w:val="center"/>
          </w:tcPr>
          <w:p w:rsidR="00FB3DA1" w:rsidRPr="00791F03" w:rsidP="00BC203E" w14:paraId="24877B8E" w14:textId="77777777">
            <w:pPr>
              <w:jc w:val="right"/>
              <w:rPr>
                <w:b/>
                <w:bCs/>
                <w:color w:val="000000"/>
                <w:sz w:val="16"/>
                <w:szCs w:val="16"/>
                <w:lang w:eastAsia="en-GB"/>
              </w:rPr>
            </w:pPr>
            <w:r>
              <w:rPr>
                <w:b/>
                <w:bCs/>
                <w:color w:val="000000"/>
                <w:sz w:val="16"/>
                <w:szCs w:val="16"/>
                <w:lang w:eastAsia="en-GB"/>
              </w:rPr>
              <w:t>-216 771</w:t>
            </w:r>
          </w:p>
        </w:tc>
        <w:tc>
          <w:tcPr>
            <w:tcW w:w="1026" w:type="dxa"/>
            <w:tcBorders>
              <w:top w:val="single" w:sz="4" w:space="0" w:color="000000"/>
              <w:left w:val="nil"/>
              <w:bottom w:val="nil"/>
              <w:right w:val="single" w:sz="4" w:space="0" w:color="000000"/>
            </w:tcBorders>
            <w:shd w:val="clear" w:color="auto" w:fill="auto"/>
            <w:noWrap/>
            <w:vAlign w:val="center"/>
          </w:tcPr>
          <w:p w:rsidR="00FB3DA1" w:rsidRPr="00791F03" w:rsidP="00BC203E" w14:paraId="7C9BBCA4" w14:textId="77777777">
            <w:pPr>
              <w:jc w:val="right"/>
              <w:rPr>
                <w:b/>
                <w:bCs/>
                <w:color w:val="000000"/>
                <w:sz w:val="16"/>
                <w:szCs w:val="16"/>
                <w:lang w:eastAsia="en-GB"/>
              </w:rPr>
            </w:pPr>
            <w:r>
              <w:rPr>
                <w:b/>
                <w:bCs/>
                <w:color w:val="000000"/>
                <w:sz w:val="16"/>
                <w:szCs w:val="16"/>
                <w:lang w:eastAsia="en-GB"/>
              </w:rPr>
              <w:t>2 094 142</w:t>
            </w:r>
          </w:p>
        </w:tc>
        <w:tc>
          <w:tcPr>
            <w:tcW w:w="960" w:type="dxa"/>
            <w:gridSpan w:val="2"/>
            <w:tcBorders>
              <w:top w:val="nil"/>
              <w:left w:val="nil"/>
              <w:bottom w:val="nil"/>
              <w:right w:val="nil"/>
            </w:tcBorders>
            <w:shd w:val="clear" w:color="auto" w:fill="auto"/>
            <w:noWrap/>
            <w:vAlign w:val="center"/>
            <w:hideMark/>
          </w:tcPr>
          <w:p w:rsidR="00FB3DA1" w:rsidP="00BC203E" w14:paraId="7DA0D968" w14:textId="77777777">
            <w:pPr>
              <w:jc w:val="right"/>
              <w:rPr>
                <w:b/>
                <w:bCs/>
                <w:color w:val="000000"/>
                <w:sz w:val="16"/>
                <w:szCs w:val="16"/>
                <w:lang w:eastAsia="en-GB"/>
              </w:rPr>
            </w:pPr>
          </w:p>
          <w:p w:rsidR="00FB3DA1" w:rsidRPr="00791F03" w:rsidP="00BC203E" w14:paraId="1EC17879" w14:textId="77777777">
            <w:pPr>
              <w:ind w:left="-323" w:hanging="142"/>
              <w:jc w:val="right"/>
              <w:rPr>
                <w:b/>
                <w:bCs/>
                <w:color w:val="000000"/>
                <w:sz w:val="16"/>
                <w:szCs w:val="16"/>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7F378003" w14:textId="77777777">
            <w:pPr>
              <w:rPr>
                <w:b/>
                <w:bCs/>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0F36ECED" w14:textId="77777777">
            <w:pPr>
              <w:rPr>
                <w:b/>
                <w:bCs/>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492C010F" w14:textId="77777777">
            <w:pPr>
              <w:rPr>
                <w:b/>
                <w:bCs/>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383188CC" w14:textId="77777777">
            <w:pPr>
              <w:rPr>
                <w:b/>
                <w:bCs/>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5F59C69C" w14:textId="77777777">
            <w:pPr>
              <w:rPr>
                <w:b/>
                <w:bCs/>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122539F9" w14:textId="77777777">
            <w:pPr>
              <w:rPr>
                <w:b/>
                <w:bCs/>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392DBD21" w14:textId="77777777">
            <w:pPr>
              <w:rPr>
                <w:b/>
                <w:bCs/>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2ABD7341" w14:textId="77777777">
            <w:pPr>
              <w:rPr>
                <w:b/>
                <w:bCs/>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40FB5D67" w14:textId="77777777">
            <w:pPr>
              <w:rPr>
                <w:b/>
                <w:bCs/>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063B1BA0" w14:textId="77777777">
            <w:pPr>
              <w:rPr>
                <w:b/>
                <w:bCs/>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249F8F7C" w14:textId="77777777">
            <w:pPr>
              <w:rPr>
                <w:b/>
                <w:bCs/>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18505108" w14:textId="77777777">
            <w:pPr>
              <w:rPr>
                <w:b/>
                <w:bCs/>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5C41503C" w14:textId="77777777">
            <w:pPr>
              <w:rPr>
                <w:b/>
                <w:bCs/>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50AFEDB4" w14:textId="77777777">
            <w:pPr>
              <w:rPr>
                <w:b/>
                <w:bCs/>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083EFF6A" w14:textId="77777777">
            <w:pPr>
              <w:rPr>
                <w:b/>
                <w:bCs/>
                <w:sz w:val="20"/>
                <w:szCs w:val="20"/>
                <w:lang w:eastAsia="en-GB"/>
              </w:rPr>
            </w:pPr>
          </w:p>
        </w:tc>
      </w:tr>
      <w:tr w14:paraId="2847CAFF" w14:textId="77777777" w:rsidTr="00BC203E">
        <w:tblPrEx>
          <w:tblW w:w="26174" w:type="dxa"/>
          <w:tblInd w:w="-1276" w:type="dxa"/>
          <w:tblLook w:val="04A0"/>
        </w:tblPrEx>
        <w:trPr>
          <w:gridAfter w:val="1"/>
          <w:wAfter w:w="7" w:type="dxa"/>
          <w:trHeight w:val="432"/>
        </w:trPr>
        <w:tc>
          <w:tcPr>
            <w:tcW w:w="10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B3DA1" w:rsidRPr="00791F03" w:rsidP="00BC203E" w14:paraId="71127A35" w14:textId="77777777">
            <w:pPr>
              <w:jc w:val="center"/>
              <w:rPr>
                <w:b/>
                <w:bCs/>
                <w:color w:val="000000"/>
                <w:sz w:val="16"/>
                <w:szCs w:val="16"/>
                <w:lang w:eastAsia="en-GB"/>
              </w:rPr>
            </w:pPr>
            <w:r w:rsidRPr="00791F03">
              <w:rPr>
                <w:b/>
                <w:bCs/>
                <w:color w:val="000000"/>
                <w:sz w:val="16"/>
                <w:szCs w:val="16"/>
                <w:lang w:eastAsia="en-GB"/>
              </w:rPr>
              <w:t>09.000</w:t>
            </w:r>
          </w:p>
        </w:tc>
        <w:tc>
          <w:tcPr>
            <w:tcW w:w="1881" w:type="dxa"/>
            <w:tcBorders>
              <w:top w:val="single" w:sz="4" w:space="0" w:color="000000"/>
              <w:left w:val="nil"/>
              <w:bottom w:val="single" w:sz="4" w:space="0" w:color="000000"/>
              <w:right w:val="single" w:sz="4" w:space="0" w:color="000000"/>
            </w:tcBorders>
            <w:shd w:val="clear" w:color="auto" w:fill="auto"/>
            <w:vAlign w:val="center"/>
            <w:hideMark/>
          </w:tcPr>
          <w:p w:rsidR="00FB3DA1" w:rsidRPr="00791F03" w:rsidP="00BC203E" w14:paraId="6CE724BC" w14:textId="77777777">
            <w:pPr>
              <w:ind w:firstLine="160" w:firstLineChars="100"/>
              <w:rPr>
                <w:b/>
                <w:bCs/>
                <w:color w:val="000000"/>
                <w:sz w:val="16"/>
                <w:szCs w:val="16"/>
                <w:lang w:eastAsia="en-GB"/>
              </w:rPr>
            </w:pPr>
            <w:r w:rsidRPr="00791F03">
              <w:rPr>
                <w:b/>
                <w:bCs/>
                <w:color w:val="000000"/>
                <w:sz w:val="16"/>
                <w:szCs w:val="16"/>
                <w:lang w:eastAsia="en-GB"/>
              </w:rPr>
              <w:t>Izglītība</w:t>
            </w:r>
          </w:p>
        </w:tc>
        <w:tc>
          <w:tcPr>
            <w:tcW w:w="1276" w:type="dxa"/>
            <w:tcBorders>
              <w:top w:val="single" w:sz="4" w:space="0" w:color="000000"/>
              <w:left w:val="nil"/>
              <w:bottom w:val="single" w:sz="4" w:space="0" w:color="000000"/>
              <w:right w:val="single" w:sz="4" w:space="0" w:color="000000"/>
            </w:tcBorders>
            <w:shd w:val="clear" w:color="auto" w:fill="auto"/>
            <w:noWrap/>
            <w:vAlign w:val="center"/>
            <w:hideMark/>
          </w:tcPr>
          <w:p w:rsidR="00FB3DA1" w:rsidRPr="00791F03" w:rsidP="00BC203E" w14:paraId="7A792645" w14:textId="77777777">
            <w:pPr>
              <w:jc w:val="right"/>
              <w:rPr>
                <w:b/>
                <w:bCs/>
                <w:color w:val="000000"/>
                <w:sz w:val="16"/>
                <w:szCs w:val="16"/>
                <w:lang w:eastAsia="en-GB"/>
              </w:rPr>
            </w:pPr>
            <w:r w:rsidRPr="00791F03">
              <w:rPr>
                <w:b/>
                <w:bCs/>
                <w:color w:val="000000"/>
                <w:sz w:val="16"/>
                <w:szCs w:val="16"/>
                <w:lang w:eastAsia="en-GB"/>
              </w:rPr>
              <w:t>24,253,102</w:t>
            </w:r>
          </w:p>
        </w:tc>
        <w:tc>
          <w:tcPr>
            <w:tcW w:w="1026" w:type="dxa"/>
            <w:tcBorders>
              <w:top w:val="single" w:sz="4" w:space="0" w:color="000000"/>
              <w:left w:val="nil"/>
              <w:bottom w:val="single" w:sz="4" w:space="0" w:color="000000"/>
              <w:right w:val="single" w:sz="4" w:space="0" w:color="000000"/>
            </w:tcBorders>
            <w:shd w:val="clear" w:color="auto" w:fill="auto"/>
            <w:noWrap/>
            <w:vAlign w:val="center"/>
            <w:hideMark/>
          </w:tcPr>
          <w:p w:rsidR="00FB3DA1" w:rsidRPr="00791F03" w:rsidP="00BC203E" w14:paraId="14BE2D84" w14:textId="77777777">
            <w:pPr>
              <w:jc w:val="right"/>
              <w:rPr>
                <w:b/>
                <w:bCs/>
                <w:color w:val="000000"/>
                <w:sz w:val="16"/>
                <w:szCs w:val="16"/>
                <w:lang w:eastAsia="en-GB"/>
              </w:rPr>
            </w:pPr>
            <w:r w:rsidRPr="00791F03">
              <w:rPr>
                <w:b/>
                <w:bCs/>
                <w:color w:val="000000"/>
                <w:sz w:val="16"/>
                <w:szCs w:val="16"/>
                <w:lang w:eastAsia="en-GB"/>
              </w:rPr>
              <w:t>26,081,908</w:t>
            </w:r>
          </w:p>
        </w:tc>
        <w:tc>
          <w:tcPr>
            <w:tcW w:w="1418" w:type="dxa"/>
            <w:tcBorders>
              <w:top w:val="single" w:sz="4" w:space="0" w:color="000000"/>
              <w:left w:val="nil"/>
              <w:bottom w:val="single" w:sz="4" w:space="0" w:color="000000"/>
              <w:right w:val="single" w:sz="4" w:space="0" w:color="000000"/>
            </w:tcBorders>
            <w:shd w:val="clear" w:color="auto" w:fill="auto"/>
            <w:noWrap/>
            <w:vAlign w:val="center"/>
            <w:hideMark/>
          </w:tcPr>
          <w:p w:rsidR="00FB3DA1" w:rsidRPr="00791F03" w:rsidP="00BC203E" w14:paraId="5EE4CB96" w14:textId="77777777">
            <w:pPr>
              <w:jc w:val="right"/>
              <w:rPr>
                <w:b/>
                <w:bCs/>
                <w:color w:val="000000"/>
                <w:sz w:val="16"/>
                <w:szCs w:val="16"/>
                <w:lang w:eastAsia="en-GB"/>
              </w:rPr>
            </w:pPr>
            <w:r w:rsidRPr="00791F03">
              <w:rPr>
                <w:b/>
                <w:bCs/>
                <w:color w:val="000000"/>
                <w:sz w:val="16"/>
                <w:szCs w:val="16"/>
                <w:lang w:eastAsia="en-GB"/>
              </w:rPr>
              <w:t>1,828,806</w:t>
            </w:r>
          </w:p>
        </w:tc>
        <w:tc>
          <w:tcPr>
            <w:tcW w:w="1276" w:type="dxa"/>
            <w:tcBorders>
              <w:top w:val="single" w:sz="4" w:space="0" w:color="000000"/>
              <w:left w:val="nil"/>
              <w:bottom w:val="single" w:sz="4" w:space="0" w:color="000000"/>
              <w:right w:val="single" w:sz="4" w:space="0" w:color="000000"/>
            </w:tcBorders>
            <w:shd w:val="clear" w:color="auto" w:fill="auto"/>
            <w:noWrap/>
            <w:vAlign w:val="center"/>
            <w:hideMark/>
          </w:tcPr>
          <w:p w:rsidR="00FB3DA1" w:rsidRPr="00791F03" w:rsidP="00BC203E" w14:paraId="0A6320E6" w14:textId="77777777">
            <w:pPr>
              <w:jc w:val="right"/>
              <w:rPr>
                <w:b/>
                <w:bCs/>
                <w:color w:val="000000"/>
                <w:sz w:val="16"/>
                <w:szCs w:val="16"/>
                <w:lang w:eastAsia="en-GB"/>
              </w:rPr>
            </w:pPr>
            <w:r w:rsidRPr="00791F03">
              <w:rPr>
                <w:b/>
                <w:bCs/>
                <w:color w:val="000000"/>
                <w:sz w:val="16"/>
                <w:szCs w:val="16"/>
                <w:lang w:eastAsia="en-GB"/>
              </w:rPr>
              <w:t>23,331,523</w:t>
            </w:r>
          </w:p>
        </w:tc>
        <w:tc>
          <w:tcPr>
            <w:tcW w:w="1052" w:type="dxa"/>
            <w:tcBorders>
              <w:top w:val="single" w:sz="4" w:space="0" w:color="000000"/>
              <w:left w:val="nil"/>
              <w:bottom w:val="single" w:sz="4" w:space="0" w:color="000000"/>
              <w:right w:val="single" w:sz="4" w:space="0" w:color="000000"/>
            </w:tcBorders>
            <w:shd w:val="clear" w:color="auto" w:fill="auto"/>
            <w:noWrap/>
            <w:vAlign w:val="center"/>
            <w:hideMark/>
          </w:tcPr>
          <w:p w:rsidR="00FB3DA1" w:rsidRPr="00791F03" w:rsidP="00BC203E" w14:paraId="17F1BE25" w14:textId="77777777">
            <w:pPr>
              <w:jc w:val="right"/>
              <w:rPr>
                <w:b/>
                <w:bCs/>
                <w:color w:val="000000"/>
                <w:sz w:val="16"/>
                <w:szCs w:val="16"/>
                <w:lang w:eastAsia="en-GB"/>
              </w:rPr>
            </w:pPr>
            <w:r w:rsidRPr="00791F03">
              <w:rPr>
                <w:b/>
                <w:bCs/>
                <w:color w:val="000000"/>
                <w:sz w:val="16"/>
                <w:szCs w:val="16"/>
                <w:lang w:eastAsia="en-GB"/>
              </w:rPr>
              <w:t>-921,579</w:t>
            </w:r>
          </w:p>
        </w:tc>
        <w:tc>
          <w:tcPr>
            <w:tcW w:w="756" w:type="dxa"/>
            <w:tcBorders>
              <w:top w:val="single" w:sz="4" w:space="0" w:color="000000"/>
              <w:left w:val="nil"/>
              <w:bottom w:val="single" w:sz="4" w:space="0" w:color="000000"/>
              <w:right w:val="single" w:sz="4" w:space="0" w:color="000000"/>
            </w:tcBorders>
            <w:shd w:val="clear" w:color="auto" w:fill="auto"/>
            <w:noWrap/>
            <w:vAlign w:val="center"/>
            <w:hideMark/>
          </w:tcPr>
          <w:p w:rsidR="00FB3DA1" w:rsidRPr="00791F03" w:rsidP="00BC203E" w14:paraId="301859D3" w14:textId="77777777">
            <w:pPr>
              <w:jc w:val="right"/>
              <w:rPr>
                <w:b/>
                <w:bCs/>
                <w:color w:val="000000"/>
                <w:sz w:val="16"/>
                <w:szCs w:val="16"/>
                <w:lang w:eastAsia="en-GB"/>
              </w:rPr>
            </w:pPr>
            <w:r w:rsidRPr="00791F03">
              <w:rPr>
                <w:b/>
                <w:bCs/>
                <w:color w:val="000000"/>
                <w:sz w:val="16"/>
                <w:szCs w:val="16"/>
                <w:lang w:eastAsia="en-GB"/>
              </w:rPr>
              <w:t>-2,750,385</w:t>
            </w:r>
          </w:p>
        </w:tc>
        <w:tc>
          <w:tcPr>
            <w:tcW w:w="1026" w:type="dxa"/>
            <w:tcBorders>
              <w:top w:val="single" w:sz="4" w:space="0" w:color="000000"/>
              <w:left w:val="nil"/>
              <w:bottom w:val="single" w:sz="4" w:space="0" w:color="000000"/>
              <w:right w:val="single" w:sz="4" w:space="0" w:color="000000"/>
            </w:tcBorders>
            <w:shd w:val="clear" w:color="auto" w:fill="auto"/>
            <w:noWrap/>
            <w:vAlign w:val="center"/>
            <w:hideMark/>
          </w:tcPr>
          <w:p w:rsidR="00FB3DA1" w:rsidRPr="00791F03" w:rsidP="00BC203E" w14:paraId="313AB8F6" w14:textId="77777777">
            <w:pPr>
              <w:jc w:val="right"/>
              <w:rPr>
                <w:b/>
                <w:bCs/>
                <w:color w:val="000000"/>
                <w:sz w:val="16"/>
                <w:szCs w:val="16"/>
                <w:lang w:eastAsia="en-GB"/>
              </w:rPr>
            </w:pPr>
            <w:r w:rsidRPr="00791F03">
              <w:rPr>
                <w:b/>
                <w:bCs/>
                <w:color w:val="000000"/>
                <w:sz w:val="16"/>
                <w:szCs w:val="16"/>
                <w:lang w:eastAsia="en-GB"/>
              </w:rPr>
              <w:t>20,069,860</w:t>
            </w:r>
          </w:p>
        </w:tc>
        <w:tc>
          <w:tcPr>
            <w:tcW w:w="960" w:type="dxa"/>
            <w:gridSpan w:val="2"/>
            <w:tcBorders>
              <w:top w:val="nil"/>
              <w:left w:val="nil"/>
              <w:bottom w:val="nil"/>
              <w:right w:val="nil"/>
            </w:tcBorders>
            <w:shd w:val="clear" w:color="auto" w:fill="auto"/>
            <w:noWrap/>
            <w:vAlign w:val="center"/>
            <w:hideMark/>
          </w:tcPr>
          <w:p w:rsidR="00FB3DA1" w:rsidRPr="00791F03" w:rsidP="00BC203E" w14:paraId="34D68FE2" w14:textId="77777777">
            <w:pPr>
              <w:jc w:val="right"/>
              <w:rPr>
                <w:b/>
                <w:bCs/>
                <w:color w:val="000000"/>
                <w:sz w:val="16"/>
                <w:szCs w:val="16"/>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265A94C4" w14:textId="77777777">
            <w:pPr>
              <w:rPr>
                <w:b/>
                <w:bCs/>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7C09D780" w14:textId="77777777">
            <w:pPr>
              <w:rPr>
                <w:b/>
                <w:bCs/>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209D4176" w14:textId="77777777">
            <w:pPr>
              <w:rPr>
                <w:b/>
                <w:bCs/>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4BE51E5D" w14:textId="77777777">
            <w:pPr>
              <w:rPr>
                <w:b/>
                <w:bCs/>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2FCAAF1A" w14:textId="77777777">
            <w:pPr>
              <w:rPr>
                <w:b/>
                <w:bCs/>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0DAC3FB5" w14:textId="77777777">
            <w:pPr>
              <w:rPr>
                <w:b/>
                <w:bCs/>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2414AC44" w14:textId="77777777">
            <w:pPr>
              <w:rPr>
                <w:b/>
                <w:bCs/>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4821784E" w14:textId="77777777">
            <w:pPr>
              <w:rPr>
                <w:b/>
                <w:bCs/>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47112CBD" w14:textId="77777777">
            <w:pPr>
              <w:rPr>
                <w:b/>
                <w:bCs/>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78EE37C8" w14:textId="77777777">
            <w:pPr>
              <w:rPr>
                <w:b/>
                <w:bCs/>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65DEEDCA" w14:textId="77777777">
            <w:pPr>
              <w:rPr>
                <w:b/>
                <w:bCs/>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34553B38" w14:textId="77777777">
            <w:pPr>
              <w:rPr>
                <w:b/>
                <w:bCs/>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44CDAF35" w14:textId="77777777">
            <w:pPr>
              <w:rPr>
                <w:b/>
                <w:bCs/>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21C75242" w14:textId="77777777">
            <w:pPr>
              <w:rPr>
                <w:b/>
                <w:bCs/>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76AB64D2" w14:textId="77777777">
            <w:pPr>
              <w:rPr>
                <w:b/>
                <w:bCs/>
                <w:sz w:val="20"/>
                <w:szCs w:val="20"/>
                <w:lang w:eastAsia="en-GB"/>
              </w:rPr>
            </w:pPr>
          </w:p>
        </w:tc>
      </w:tr>
      <w:tr w14:paraId="44C3A05D" w14:textId="77777777" w:rsidTr="00BC203E">
        <w:tblPrEx>
          <w:tblW w:w="26174" w:type="dxa"/>
          <w:tblInd w:w="-1276" w:type="dxa"/>
          <w:tblLook w:val="04A0"/>
        </w:tblPrEx>
        <w:trPr>
          <w:gridAfter w:val="1"/>
          <w:wAfter w:w="7" w:type="dxa"/>
          <w:trHeight w:val="432"/>
        </w:trPr>
        <w:tc>
          <w:tcPr>
            <w:tcW w:w="1096" w:type="dxa"/>
            <w:tcBorders>
              <w:top w:val="single" w:sz="4" w:space="0" w:color="000000"/>
              <w:left w:val="single" w:sz="4" w:space="0" w:color="000000"/>
              <w:bottom w:val="single" w:sz="4" w:space="0" w:color="auto"/>
              <w:right w:val="single" w:sz="4" w:space="0" w:color="000000"/>
            </w:tcBorders>
            <w:shd w:val="clear" w:color="auto" w:fill="auto"/>
            <w:vAlign w:val="center"/>
            <w:hideMark/>
          </w:tcPr>
          <w:p w:rsidR="00FB3DA1" w:rsidRPr="00791F03" w:rsidP="00BC203E" w14:paraId="6543521B" w14:textId="77777777">
            <w:pPr>
              <w:jc w:val="center"/>
              <w:rPr>
                <w:b/>
                <w:bCs/>
                <w:color w:val="000000"/>
                <w:sz w:val="16"/>
                <w:szCs w:val="16"/>
                <w:lang w:eastAsia="en-GB"/>
              </w:rPr>
            </w:pPr>
            <w:r w:rsidRPr="00791F03">
              <w:rPr>
                <w:b/>
                <w:bCs/>
                <w:color w:val="000000"/>
                <w:sz w:val="16"/>
                <w:szCs w:val="16"/>
                <w:lang w:eastAsia="en-GB"/>
              </w:rPr>
              <w:t>10</w:t>
            </w:r>
          </w:p>
        </w:tc>
        <w:tc>
          <w:tcPr>
            <w:tcW w:w="1881" w:type="dxa"/>
            <w:tcBorders>
              <w:top w:val="single" w:sz="4" w:space="0" w:color="000000"/>
              <w:left w:val="nil"/>
              <w:bottom w:val="single" w:sz="4" w:space="0" w:color="auto"/>
              <w:right w:val="single" w:sz="4" w:space="0" w:color="000000"/>
            </w:tcBorders>
            <w:shd w:val="clear" w:color="auto" w:fill="auto"/>
            <w:vAlign w:val="center"/>
            <w:hideMark/>
          </w:tcPr>
          <w:p w:rsidR="00FB3DA1" w:rsidRPr="00791F03" w:rsidP="00BC203E" w14:paraId="62B1BBDC" w14:textId="77777777">
            <w:pPr>
              <w:ind w:firstLine="160" w:firstLineChars="100"/>
              <w:rPr>
                <w:b/>
                <w:bCs/>
                <w:color w:val="000000"/>
                <w:sz w:val="16"/>
                <w:szCs w:val="16"/>
                <w:lang w:eastAsia="en-GB"/>
              </w:rPr>
            </w:pPr>
            <w:r w:rsidRPr="00791F03">
              <w:rPr>
                <w:b/>
                <w:bCs/>
                <w:color w:val="000000"/>
                <w:sz w:val="16"/>
                <w:szCs w:val="16"/>
                <w:lang w:eastAsia="en-GB"/>
              </w:rPr>
              <w:t>Sociālā aizsardzība</w:t>
            </w:r>
          </w:p>
        </w:tc>
        <w:tc>
          <w:tcPr>
            <w:tcW w:w="1276" w:type="dxa"/>
            <w:tcBorders>
              <w:top w:val="single" w:sz="4" w:space="0" w:color="000000"/>
              <w:left w:val="nil"/>
              <w:bottom w:val="single" w:sz="4" w:space="0" w:color="auto"/>
              <w:right w:val="single" w:sz="4" w:space="0" w:color="000000"/>
            </w:tcBorders>
            <w:shd w:val="clear" w:color="auto" w:fill="auto"/>
            <w:noWrap/>
            <w:vAlign w:val="center"/>
            <w:hideMark/>
          </w:tcPr>
          <w:p w:rsidR="00FB3DA1" w:rsidRPr="00791F03" w:rsidP="00BC203E" w14:paraId="5780CFE5" w14:textId="77777777">
            <w:pPr>
              <w:jc w:val="right"/>
              <w:rPr>
                <w:b/>
                <w:bCs/>
                <w:color w:val="000000"/>
                <w:sz w:val="16"/>
                <w:szCs w:val="16"/>
                <w:lang w:eastAsia="en-GB"/>
              </w:rPr>
            </w:pPr>
            <w:r w:rsidRPr="00791F03">
              <w:rPr>
                <w:b/>
                <w:bCs/>
                <w:color w:val="000000"/>
                <w:sz w:val="16"/>
                <w:szCs w:val="16"/>
                <w:lang w:eastAsia="en-GB"/>
              </w:rPr>
              <w:t>3,834,372</w:t>
            </w:r>
          </w:p>
        </w:tc>
        <w:tc>
          <w:tcPr>
            <w:tcW w:w="1026" w:type="dxa"/>
            <w:tcBorders>
              <w:top w:val="single" w:sz="4" w:space="0" w:color="000000"/>
              <w:left w:val="nil"/>
              <w:bottom w:val="single" w:sz="4" w:space="0" w:color="auto"/>
              <w:right w:val="single" w:sz="4" w:space="0" w:color="000000"/>
            </w:tcBorders>
            <w:shd w:val="clear" w:color="auto" w:fill="auto"/>
            <w:noWrap/>
            <w:vAlign w:val="center"/>
            <w:hideMark/>
          </w:tcPr>
          <w:p w:rsidR="00FB3DA1" w:rsidRPr="00791F03" w:rsidP="00BC203E" w14:paraId="03B47064" w14:textId="77777777">
            <w:pPr>
              <w:jc w:val="right"/>
              <w:rPr>
                <w:b/>
                <w:bCs/>
                <w:color w:val="000000"/>
                <w:sz w:val="16"/>
                <w:szCs w:val="16"/>
                <w:lang w:eastAsia="en-GB"/>
              </w:rPr>
            </w:pPr>
            <w:r w:rsidRPr="00791F03">
              <w:rPr>
                <w:b/>
                <w:bCs/>
                <w:color w:val="000000"/>
                <w:sz w:val="16"/>
                <w:szCs w:val="16"/>
                <w:lang w:eastAsia="en-GB"/>
              </w:rPr>
              <w:t>3,832,063</w:t>
            </w:r>
          </w:p>
        </w:tc>
        <w:tc>
          <w:tcPr>
            <w:tcW w:w="1418" w:type="dxa"/>
            <w:tcBorders>
              <w:top w:val="single" w:sz="4" w:space="0" w:color="000000"/>
              <w:left w:val="nil"/>
              <w:bottom w:val="single" w:sz="4" w:space="0" w:color="auto"/>
              <w:right w:val="single" w:sz="4" w:space="0" w:color="000000"/>
            </w:tcBorders>
            <w:shd w:val="clear" w:color="auto" w:fill="auto"/>
            <w:noWrap/>
            <w:vAlign w:val="center"/>
            <w:hideMark/>
          </w:tcPr>
          <w:p w:rsidR="00FB3DA1" w:rsidRPr="00791F03" w:rsidP="00BC203E" w14:paraId="3C486AE5" w14:textId="77777777">
            <w:pPr>
              <w:jc w:val="right"/>
              <w:rPr>
                <w:b/>
                <w:bCs/>
                <w:color w:val="000000"/>
                <w:sz w:val="16"/>
                <w:szCs w:val="16"/>
                <w:lang w:eastAsia="en-GB"/>
              </w:rPr>
            </w:pPr>
            <w:r w:rsidRPr="00791F03">
              <w:rPr>
                <w:b/>
                <w:bCs/>
                <w:color w:val="000000"/>
                <w:sz w:val="16"/>
                <w:szCs w:val="16"/>
                <w:lang w:eastAsia="en-GB"/>
              </w:rPr>
              <w:t>-2,309</w:t>
            </w:r>
          </w:p>
        </w:tc>
        <w:tc>
          <w:tcPr>
            <w:tcW w:w="1276" w:type="dxa"/>
            <w:tcBorders>
              <w:top w:val="single" w:sz="4" w:space="0" w:color="000000"/>
              <w:left w:val="nil"/>
              <w:bottom w:val="single" w:sz="4" w:space="0" w:color="auto"/>
              <w:right w:val="single" w:sz="4" w:space="0" w:color="000000"/>
            </w:tcBorders>
            <w:shd w:val="clear" w:color="auto" w:fill="auto"/>
            <w:noWrap/>
            <w:vAlign w:val="center"/>
            <w:hideMark/>
          </w:tcPr>
          <w:p w:rsidR="00FB3DA1" w:rsidRPr="00791F03" w:rsidP="00BC203E" w14:paraId="4139A05E" w14:textId="77777777">
            <w:pPr>
              <w:jc w:val="right"/>
              <w:rPr>
                <w:b/>
                <w:bCs/>
                <w:color w:val="000000"/>
                <w:sz w:val="16"/>
                <w:szCs w:val="16"/>
                <w:lang w:eastAsia="en-GB"/>
              </w:rPr>
            </w:pPr>
            <w:r w:rsidRPr="00791F03">
              <w:rPr>
                <w:b/>
                <w:bCs/>
                <w:color w:val="000000"/>
                <w:sz w:val="16"/>
                <w:szCs w:val="16"/>
                <w:lang w:eastAsia="en-GB"/>
              </w:rPr>
              <w:t>2,888,795</w:t>
            </w:r>
          </w:p>
        </w:tc>
        <w:tc>
          <w:tcPr>
            <w:tcW w:w="1052" w:type="dxa"/>
            <w:tcBorders>
              <w:top w:val="single" w:sz="4" w:space="0" w:color="000000"/>
              <w:left w:val="nil"/>
              <w:bottom w:val="single" w:sz="4" w:space="0" w:color="auto"/>
              <w:right w:val="single" w:sz="4" w:space="0" w:color="000000"/>
            </w:tcBorders>
            <w:shd w:val="clear" w:color="auto" w:fill="auto"/>
            <w:noWrap/>
            <w:vAlign w:val="center"/>
            <w:hideMark/>
          </w:tcPr>
          <w:p w:rsidR="00FB3DA1" w:rsidRPr="00791F03" w:rsidP="00BC203E" w14:paraId="5ACA136F" w14:textId="77777777">
            <w:pPr>
              <w:jc w:val="right"/>
              <w:rPr>
                <w:b/>
                <w:bCs/>
                <w:color w:val="000000"/>
                <w:sz w:val="16"/>
                <w:szCs w:val="16"/>
                <w:lang w:eastAsia="en-GB"/>
              </w:rPr>
            </w:pPr>
            <w:r w:rsidRPr="00791F03">
              <w:rPr>
                <w:b/>
                <w:bCs/>
                <w:color w:val="000000"/>
                <w:sz w:val="16"/>
                <w:szCs w:val="16"/>
                <w:lang w:eastAsia="en-GB"/>
              </w:rPr>
              <w:t>-945,577</w:t>
            </w:r>
          </w:p>
        </w:tc>
        <w:tc>
          <w:tcPr>
            <w:tcW w:w="756" w:type="dxa"/>
            <w:tcBorders>
              <w:top w:val="single" w:sz="4" w:space="0" w:color="000000"/>
              <w:left w:val="nil"/>
              <w:bottom w:val="single" w:sz="4" w:space="0" w:color="auto"/>
              <w:right w:val="single" w:sz="4" w:space="0" w:color="000000"/>
            </w:tcBorders>
            <w:shd w:val="clear" w:color="auto" w:fill="auto"/>
            <w:noWrap/>
            <w:vAlign w:val="center"/>
            <w:hideMark/>
          </w:tcPr>
          <w:p w:rsidR="00FB3DA1" w:rsidRPr="00791F03" w:rsidP="00BC203E" w14:paraId="155868A3" w14:textId="77777777">
            <w:pPr>
              <w:jc w:val="right"/>
              <w:rPr>
                <w:b/>
                <w:bCs/>
                <w:color w:val="000000"/>
                <w:sz w:val="16"/>
                <w:szCs w:val="16"/>
                <w:lang w:eastAsia="en-GB"/>
              </w:rPr>
            </w:pPr>
            <w:r w:rsidRPr="00791F03">
              <w:rPr>
                <w:b/>
                <w:bCs/>
                <w:color w:val="000000"/>
                <w:sz w:val="16"/>
                <w:szCs w:val="16"/>
                <w:lang w:eastAsia="en-GB"/>
              </w:rPr>
              <w:t>-943,268</w:t>
            </w:r>
          </w:p>
        </w:tc>
        <w:tc>
          <w:tcPr>
            <w:tcW w:w="1026" w:type="dxa"/>
            <w:tcBorders>
              <w:top w:val="single" w:sz="4" w:space="0" w:color="000000"/>
              <w:left w:val="nil"/>
              <w:bottom w:val="single" w:sz="4" w:space="0" w:color="auto"/>
              <w:right w:val="single" w:sz="4" w:space="0" w:color="000000"/>
            </w:tcBorders>
            <w:shd w:val="clear" w:color="auto" w:fill="auto"/>
            <w:noWrap/>
            <w:vAlign w:val="center"/>
            <w:hideMark/>
          </w:tcPr>
          <w:p w:rsidR="00FB3DA1" w:rsidRPr="00791F03" w:rsidP="00BC203E" w14:paraId="7BB2EA7C" w14:textId="77777777">
            <w:pPr>
              <w:jc w:val="right"/>
              <w:rPr>
                <w:b/>
                <w:bCs/>
                <w:color w:val="000000"/>
                <w:sz w:val="16"/>
                <w:szCs w:val="16"/>
                <w:lang w:eastAsia="en-GB"/>
              </w:rPr>
            </w:pPr>
            <w:r w:rsidRPr="00791F03">
              <w:rPr>
                <w:b/>
                <w:bCs/>
                <w:color w:val="000000"/>
                <w:sz w:val="16"/>
                <w:szCs w:val="16"/>
                <w:lang w:eastAsia="en-GB"/>
              </w:rPr>
              <w:t>3,286,806</w:t>
            </w:r>
          </w:p>
        </w:tc>
        <w:tc>
          <w:tcPr>
            <w:tcW w:w="960" w:type="dxa"/>
            <w:gridSpan w:val="2"/>
            <w:tcBorders>
              <w:top w:val="nil"/>
              <w:left w:val="nil"/>
              <w:bottom w:val="nil"/>
              <w:right w:val="nil"/>
            </w:tcBorders>
            <w:shd w:val="clear" w:color="auto" w:fill="auto"/>
            <w:noWrap/>
            <w:vAlign w:val="center"/>
            <w:hideMark/>
          </w:tcPr>
          <w:p w:rsidR="00FB3DA1" w:rsidRPr="00791F03" w:rsidP="00BC203E" w14:paraId="19DA9CDF" w14:textId="77777777">
            <w:pPr>
              <w:jc w:val="right"/>
              <w:rPr>
                <w:b/>
                <w:bCs/>
                <w:color w:val="000000"/>
                <w:sz w:val="16"/>
                <w:szCs w:val="16"/>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72C0DA5F" w14:textId="77777777">
            <w:pPr>
              <w:rPr>
                <w:b/>
                <w:bCs/>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6B8653AA" w14:textId="77777777">
            <w:pPr>
              <w:rPr>
                <w:b/>
                <w:bCs/>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1B4482FE" w14:textId="77777777">
            <w:pPr>
              <w:rPr>
                <w:b/>
                <w:bCs/>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2E6202D8" w14:textId="77777777">
            <w:pPr>
              <w:rPr>
                <w:b/>
                <w:bCs/>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0113F7A2" w14:textId="77777777">
            <w:pPr>
              <w:rPr>
                <w:b/>
                <w:bCs/>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760FA930" w14:textId="77777777">
            <w:pPr>
              <w:rPr>
                <w:b/>
                <w:bCs/>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51DA7E23" w14:textId="77777777">
            <w:pPr>
              <w:rPr>
                <w:b/>
                <w:bCs/>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4625F914" w14:textId="77777777">
            <w:pPr>
              <w:rPr>
                <w:b/>
                <w:bCs/>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39D1517A" w14:textId="77777777">
            <w:pPr>
              <w:rPr>
                <w:b/>
                <w:bCs/>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2E2F8DAA" w14:textId="77777777">
            <w:pPr>
              <w:rPr>
                <w:b/>
                <w:bCs/>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715A6C26" w14:textId="77777777">
            <w:pPr>
              <w:rPr>
                <w:b/>
                <w:bCs/>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34F3F341" w14:textId="77777777">
            <w:pPr>
              <w:rPr>
                <w:b/>
                <w:bCs/>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0DC7CB6D" w14:textId="77777777">
            <w:pPr>
              <w:rPr>
                <w:b/>
                <w:bCs/>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44D3BAA9" w14:textId="77777777">
            <w:pPr>
              <w:rPr>
                <w:b/>
                <w:bCs/>
                <w:sz w:val="20"/>
                <w:szCs w:val="20"/>
                <w:lang w:eastAsia="en-GB"/>
              </w:rPr>
            </w:pPr>
          </w:p>
        </w:tc>
        <w:tc>
          <w:tcPr>
            <w:tcW w:w="960" w:type="dxa"/>
            <w:gridSpan w:val="2"/>
            <w:tcBorders>
              <w:top w:val="nil"/>
              <w:left w:val="nil"/>
              <w:bottom w:val="nil"/>
              <w:right w:val="nil"/>
            </w:tcBorders>
            <w:shd w:val="clear" w:color="auto" w:fill="auto"/>
            <w:noWrap/>
            <w:vAlign w:val="center"/>
            <w:hideMark/>
          </w:tcPr>
          <w:p w:rsidR="00FB3DA1" w:rsidRPr="00791F03" w:rsidP="00BC203E" w14:paraId="09ACC9BA" w14:textId="77777777">
            <w:pPr>
              <w:rPr>
                <w:b/>
                <w:bCs/>
                <w:sz w:val="20"/>
                <w:szCs w:val="20"/>
                <w:lang w:eastAsia="en-GB"/>
              </w:rPr>
            </w:pPr>
          </w:p>
        </w:tc>
      </w:tr>
    </w:tbl>
    <w:p w:rsidR="00820AB7" w:rsidP="003A771E" w14:paraId="1CF81E0F" w14:textId="77777777">
      <w:pPr>
        <w:jc w:val="both"/>
        <w:rPr>
          <w:color w:val="ED0000"/>
          <w:highlight w:val="yellow"/>
          <w:lang w:eastAsia="en-US"/>
        </w:rPr>
      </w:pPr>
    </w:p>
    <w:p w:rsidR="003A771E" w:rsidRPr="00E22C32" w:rsidP="003A771E" w14:paraId="6A7D5C76" w14:textId="77777777">
      <w:pPr>
        <w:spacing w:after="120"/>
        <w:jc w:val="both"/>
        <w:rPr>
          <w:lang w:eastAsia="en-US"/>
        </w:rPr>
      </w:pPr>
      <w:r w:rsidRPr="00E22C32">
        <w:rPr>
          <w:lang w:eastAsia="en-US"/>
        </w:rPr>
        <w:t xml:space="preserve">Saskaņā ar aizņēmumu atmaksu grafiku no iepriekšējos gados saņemtajiem kredītlīdzekļiem, tika </w:t>
      </w:r>
      <w:bookmarkStart w:id="3" w:name="_Hlk160103684"/>
      <w:bookmarkStart w:id="4" w:name="_Hlk132110736"/>
      <w:r w:rsidRPr="00E22C32">
        <w:rPr>
          <w:lang w:eastAsia="en-US"/>
        </w:rPr>
        <w:t xml:space="preserve">veikti maksājumi kredītu atmaksai </w:t>
      </w:r>
      <w:r w:rsidRPr="00E22C32">
        <w:rPr>
          <w:bCs/>
        </w:rPr>
        <w:t>3 757 218</w:t>
      </w:r>
      <w:r w:rsidRPr="00922EDC">
        <w:rPr>
          <w:i/>
          <w:iCs/>
        </w:rPr>
        <w:t xml:space="preserve"> </w:t>
      </w:r>
      <w:r w:rsidRPr="00922EDC">
        <w:rPr>
          <w:i/>
          <w:iCs/>
        </w:rPr>
        <w:t>euro</w:t>
      </w:r>
      <w:r w:rsidRPr="00922EDC">
        <w:rPr>
          <w:i/>
          <w:iCs/>
        </w:rPr>
        <w:t xml:space="preserve"> </w:t>
      </w:r>
      <w:r w:rsidRPr="00E22C32">
        <w:rPr>
          <w:lang w:eastAsia="en-US"/>
        </w:rPr>
        <w:t xml:space="preserve">(2023. g. </w:t>
      </w:r>
      <w:r w:rsidRPr="00E22C32">
        <w:rPr>
          <w:bCs/>
        </w:rPr>
        <w:t>3 584 831</w:t>
      </w:r>
      <w:r w:rsidRPr="00922EDC">
        <w:rPr>
          <w:i/>
          <w:iCs/>
        </w:rPr>
        <w:t xml:space="preserve"> </w:t>
      </w:r>
      <w:r w:rsidRPr="00922EDC">
        <w:rPr>
          <w:i/>
          <w:iCs/>
        </w:rPr>
        <w:t>euro</w:t>
      </w:r>
      <w:r w:rsidRPr="00E22C32">
        <w:rPr>
          <w:lang w:eastAsia="en-US"/>
        </w:rPr>
        <w:t xml:space="preserve">). </w:t>
      </w:r>
    </w:p>
    <w:p w:rsidR="003A771E" w:rsidRPr="00E22C32" w:rsidP="003A771E" w14:paraId="6650FCCC" w14:textId="77777777">
      <w:pPr>
        <w:spacing w:after="120"/>
        <w:jc w:val="both"/>
        <w:rPr>
          <w:lang w:eastAsia="en-US"/>
        </w:rPr>
      </w:pPr>
      <w:r w:rsidRPr="00E22C32">
        <w:rPr>
          <w:lang w:eastAsia="en-US"/>
        </w:rPr>
        <w:t>Pašvaldība 2024. gadā ieguldīja kapitālsabiedrību kapitālā:</w:t>
      </w:r>
    </w:p>
    <w:p w:rsidR="003A771E" w:rsidRPr="00E22C32" w:rsidP="002A2925" w14:paraId="4BFF0775" w14:textId="33F9F029">
      <w:pPr>
        <w:pStyle w:val="ListParagraph"/>
        <w:numPr>
          <w:ilvl w:val="0"/>
          <w:numId w:val="8"/>
        </w:numPr>
        <w:tabs>
          <w:tab w:val="left" w:pos="9214"/>
        </w:tabs>
        <w:suppressAutoHyphens w:val="0"/>
        <w:spacing w:before="60" w:after="120"/>
        <w:ind w:left="777" w:hanging="357"/>
        <w:contextualSpacing w:val="0"/>
        <w:jc w:val="both"/>
        <w:rPr>
          <w:rFonts w:eastAsia="Calibri"/>
          <w:lang w:eastAsia="en-US"/>
        </w:rPr>
      </w:pPr>
      <w:r w:rsidRPr="00E22C32">
        <w:rPr>
          <w:rFonts w:eastAsia="Calibri"/>
          <w:lang w:eastAsia="en-US"/>
        </w:rPr>
        <w:t>6 727 077</w:t>
      </w:r>
      <w:r w:rsidRPr="00922EDC">
        <w:rPr>
          <w:i/>
          <w:iCs/>
        </w:rPr>
        <w:t xml:space="preserve"> </w:t>
      </w:r>
      <w:r w:rsidRPr="00922EDC">
        <w:rPr>
          <w:i/>
          <w:iCs/>
        </w:rPr>
        <w:t>euro</w:t>
      </w:r>
      <w:r w:rsidRPr="00E22C32">
        <w:rPr>
          <w:rFonts w:eastAsia="Calibri"/>
          <w:lang w:eastAsia="en-US"/>
        </w:rPr>
        <w:t xml:space="preserve"> – mantiskais ieguldījums SIA „Ādažu Ūdens” pamatkapitālā, saskaņā ar Ādažu novada pašvaldības domes 2024.</w:t>
      </w:r>
      <w:r w:rsidRPr="00E22C32" w:rsidR="009F246F">
        <w:rPr>
          <w:rFonts w:eastAsia="Calibri"/>
          <w:lang w:eastAsia="en-US"/>
        </w:rPr>
        <w:t xml:space="preserve"> </w:t>
      </w:r>
      <w:r w:rsidRPr="00E22C32">
        <w:rPr>
          <w:rFonts w:eastAsia="Calibri"/>
          <w:lang w:eastAsia="en-US"/>
        </w:rPr>
        <w:t>gada 31.</w:t>
      </w:r>
      <w:r w:rsidRPr="00E22C32" w:rsidR="009F246F">
        <w:rPr>
          <w:rFonts w:eastAsia="Calibri"/>
          <w:lang w:eastAsia="en-US"/>
        </w:rPr>
        <w:t xml:space="preserve"> </w:t>
      </w:r>
      <w:r w:rsidRPr="00E22C32">
        <w:rPr>
          <w:rFonts w:eastAsia="Calibri"/>
          <w:lang w:eastAsia="en-US"/>
        </w:rPr>
        <w:t>oktobra lēmumu Nr.</w:t>
      </w:r>
      <w:r w:rsidRPr="00E22C32" w:rsidR="009F246F">
        <w:rPr>
          <w:rFonts w:eastAsia="Calibri"/>
          <w:lang w:eastAsia="en-US"/>
        </w:rPr>
        <w:t xml:space="preserve"> </w:t>
      </w:r>
      <w:r w:rsidRPr="00E22C32">
        <w:rPr>
          <w:rFonts w:eastAsia="Calibri"/>
          <w:lang w:eastAsia="en-US"/>
        </w:rPr>
        <w:t xml:space="preserve">429 ar mērķi nodot kapitālsabiedrībai </w:t>
      </w:r>
      <w:r w:rsidRPr="00E22C32">
        <w:t xml:space="preserve">nekustamā īpašuma un kustamās mantu, SIA </w:t>
      </w:r>
      <w:r w:rsidRPr="00E22C32" w:rsidR="001C7917">
        <w:t>“</w:t>
      </w:r>
      <w:r w:rsidRPr="00E22C32">
        <w:t>Ādažu ūdens</w:t>
      </w:r>
      <w:r w:rsidRPr="00E22C32" w:rsidR="001C7917">
        <w:t>”</w:t>
      </w:r>
      <w:r w:rsidRPr="00E22C32">
        <w:t xml:space="preserve"> centralizētās ūdenssaimniecības funkciju nodrošināšanai, </w:t>
      </w:r>
      <w:r w:rsidRPr="00E22C32">
        <w:rPr>
          <w:rFonts w:eastAsia="Calibri"/>
          <w:lang w:eastAsia="en-US"/>
        </w:rPr>
        <w:t>ieguldot Sabiedrības pamatkapitālā;</w:t>
      </w:r>
    </w:p>
    <w:p w:rsidR="003A771E" w:rsidRPr="00E22C32" w:rsidP="002A2925" w14:paraId="11CDFC2F" w14:textId="4189A09A">
      <w:pPr>
        <w:pStyle w:val="ListParagraph"/>
        <w:numPr>
          <w:ilvl w:val="0"/>
          <w:numId w:val="8"/>
        </w:numPr>
        <w:tabs>
          <w:tab w:val="left" w:pos="9214"/>
        </w:tabs>
        <w:suppressAutoHyphens w:val="0"/>
        <w:spacing w:before="120" w:after="120"/>
        <w:ind w:left="777" w:hanging="357"/>
        <w:contextualSpacing w:val="0"/>
        <w:jc w:val="both"/>
        <w:rPr>
          <w:rFonts w:eastAsia="Calibri"/>
          <w:lang w:eastAsia="en-US"/>
        </w:rPr>
      </w:pPr>
      <w:r w:rsidRPr="00E22C32">
        <w:rPr>
          <w:rFonts w:eastAsia="Calibri"/>
          <w:lang w:eastAsia="en-US"/>
        </w:rPr>
        <w:t>147 759</w:t>
      </w:r>
      <w:r w:rsidRPr="00922EDC">
        <w:rPr>
          <w:i/>
          <w:iCs/>
        </w:rPr>
        <w:t xml:space="preserve"> </w:t>
      </w:r>
      <w:r w:rsidRPr="00922EDC">
        <w:rPr>
          <w:i/>
          <w:iCs/>
        </w:rPr>
        <w:t>euro</w:t>
      </w:r>
      <w:r w:rsidRPr="00E22C32">
        <w:rPr>
          <w:rFonts w:eastAsia="Calibri"/>
          <w:lang w:eastAsia="en-US"/>
        </w:rPr>
        <w:t xml:space="preserve"> – mantiskais ieguldījums SIA „Ādažu Namsaimnieks” pamatkapitālā, saskaņā ar domes 2024.</w:t>
      </w:r>
      <w:r w:rsidRPr="00E22C32" w:rsidR="009F246F">
        <w:rPr>
          <w:rFonts w:eastAsia="Calibri"/>
          <w:lang w:eastAsia="en-US"/>
        </w:rPr>
        <w:t xml:space="preserve"> </w:t>
      </w:r>
      <w:r w:rsidRPr="00E22C32">
        <w:rPr>
          <w:rFonts w:eastAsia="Calibri"/>
          <w:lang w:eastAsia="en-US"/>
        </w:rPr>
        <w:t>gada 28.</w:t>
      </w:r>
      <w:r w:rsidRPr="00E22C32" w:rsidR="009F246F">
        <w:rPr>
          <w:rFonts w:eastAsia="Calibri"/>
          <w:lang w:eastAsia="en-US"/>
        </w:rPr>
        <w:t xml:space="preserve"> </w:t>
      </w:r>
      <w:r w:rsidRPr="00E22C32">
        <w:rPr>
          <w:rFonts w:eastAsia="Calibri"/>
          <w:lang w:eastAsia="en-US"/>
        </w:rPr>
        <w:t xml:space="preserve">novembra lēmumu Nr. 469 ar mērķi – </w:t>
      </w:r>
      <w:r w:rsidRPr="00E22C32">
        <w:t xml:space="preserve">deleģēto funkciju izpildes nolūkā </w:t>
      </w:r>
      <w:r w:rsidRPr="00E22C32" w:rsidR="001C7917">
        <w:t xml:space="preserve">ieguldīt Sabiedrības pamatkapitālā </w:t>
      </w:r>
      <w:r w:rsidRPr="00E22C32">
        <w:t>pašvaldības nekustamo</w:t>
      </w:r>
      <w:r w:rsidRPr="00E22C32" w:rsidR="001C7917">
        <w:t>s</w:t>
      </w:r>
      <w:r w:rsidRPr="00E22C32">
        <w:t xml:space="preserve"> īpašumu</w:t>
      </w:r>
      <w:r w:rsidRPr="00E22C32" w:rsidR="001C7917">
        <w:t>s</w:t>
      </w:r>
      <w:r w:rsidRPr="00E22C32">
        <w:t xml:space="preserve"> </w:t>
      </w:r>
      <w:r w:rsidRPr="00E22C32" w:rsidR="001C7917">
        <w:t>(</w:t>
      </w:r>
      <w:r w:rsidRPr="00E22C32">
        <w:rPr>
          <w:rFonts w:eastAsia="Lucida Sans Unicode"/>
        </w:rPr>
        <w:t>ūdensapgādes un sadzīves kanalizācijas sistēmas</w:t>
      </w:r>
      <w:r w:rsidRPr="00E22C32" w:rsidR="001C7917">
        <w:rPr>
          <w:rFonts w:eastAsia="Lucida Sans Unicode"/>
        </w:rPr>
        <w:t>)</w:t>
      </w:r>
      <w:r w:rsidRPr="00E22C32">
        <w:t xml:space="preserve"> Carnikavas pagasta Carnikavas ciema daļās, Ādažu nov</w:t>
      </w:r>
      <w:r w:rsidRPr="00E22C32" w:rsidR="001C7917">
        <w:t>adā</w:t>
      </w:r>
      <w:r w:rsidRPr="00E22C32">
        <w:rPr>
          <w:rFonts w:eastAsia="Calibri"/>
          <w:lang w:eastAsia="en-US"/>
        </w:rPr>
        <w:t>;</w:t>
      </w:r>
    </w:p>
    <w:bookmarkEnd w:id="3"/>
    <w:bookmarkEnd w:id="4"/>
    <w:p w:rsidR="003A771E" w:rsidRPr="00922EDC" w:rsidP="002A2925" w14:paraId="1C35B144" w14:textId="65236A3B">
      <w:pPr>
        <w:numPr>
          <w:ilvl w:val="0"/>
          <w:numId w:val="5"/>
        </w:numPr>
        <w:spacing w:after="120"/>
        <w:rPr>
          <w:b/>
          <w:lang w:eastAsia="en-US"/>
        </w:rPr>
      </w:pPr>
      <w:r w:rsidRPr="00922EDC">
        <w:rPr>
          <w:lang w:eastAsia="en-US"/>
        </w:rPr>
        <w:t>202</w:t>
      </w:r>
      <w:r w:rsidRPr="00922EDC">
        <w:rPr>
          <w:lang w:eastAsia="en-US"/>
        </w:rPr>
        <w:t>5</w:t>
      </w:r>
      <w:r w:rsidRPr="00922EDC">
        <w:rPr>
          <w:lang w:eastAsia="en-US"/>
        </w:rPr>
        <w:t xml:space="preserve">. gadā </w:t>
      </w:r>
      <w:r w:rsidRPr="00922EDC">
        <w:rPr>
          <w:rFonts w:eastAsia="Calibri"/>
        </w:rPr>
        <w:t>Ādažu novada pašvaldības aģentūra “Carnikavas komunālserviss”</w:t>
      </w:r>
      <w:r w:rsidRPr="00922EDC">
        <w:rPr>
          <w:lang w:eastAsia="en-US"/>
        </w:rPr>
        <w:t xml:space="preserve"> turpinās uzturē</w:t>
      </w:r>
      <w:r w:rsidRPr="00922EDC" w:rsidR="009F246F">
        <w:rPr>
          <w:lang w:eastAsia="en-US"/>
        </w:rPr>
        <w:t>t</w:t>
      </w:r>
      <w:r w:rsidRPr="00922EDC">
        <w:rPr>
          <w:lang w:eastAsia="en-US"/>
        </w:rPr>
        <w:t xml:space="preserve"> kārtībā un apsaimnieko</w:t>
      </w:r>
      <w:r w:rsidRPr="00922EDC" w:rsidR="009F246F">
        <w:rPr>
          <w:lang w:eastAsia="en-US"/>
        </w:rPr>
        <w:t>t</w:t>
      </w:r>
      <w:r w:rsidRPr="00922EDC">
        <w:rPr>
          <w:lang w:eastAsia="en-US"/>
        </w:rPr>
        <w:t xml:space="preserve"> </w:t>
      </w:r>
      <w:r w:rsidRPr="00922EDC" w:rsidR="009F246F">
        <w:rPr>
          <w:lang w:eastAsia="en-US"/>
        </w:rPr>
        <w:t>p</w:t>
      </w:r>
      <w:r w:rsidRPr="00922EDC">
        <w:rPr>
          <w:lang w:eastAsia="en-US"/>
        </w:rPr>
        <w:t>ašvaldības īpašumus</w:t>
      </w:r>
      <w:r w:rsidRPr="00922EDC">
        <w:rPr>
          <w:lang w:eastAsia="en-US"/>
        </w:rPr>
        <w:t>.</w:t>
      </w:r>
    </w:p>
    <w:p w:rsidR="00294961" w:rsidRPr="003A771E" w:rsidP="002A2925" w14:paraId="6F8959DD" w14:textId="6CF2084F">
      <w:pPr>
        <w:spacing w:before="240" w:after="120"/>
        <w:jc w:val="center"/>
        <w:rPr>
          <w:b/>
          <w:lang w:eastAsia="en-US"/>
        </w:rPr>
      </w:pPr>
      <w:r w:rsidRPr="003A771E">
        <w:rPr>
          <w:b/>
          <w:lang w:eastAsia="en-US"/>
        </w:rPr>
        <w:t>5. Informācija par būtiskiem riskiem un neskaidriem apstākļiem</w:t>
      </w:r>
    </w:p>
    <w:p w:rsidR="001E1828" w:rsidRPr="001E1828" w:rsidP="001E1828" w14:paraId="571CC518" w14:textId="6EFFC3C2">
      <w:pPr>
        <w:spacing w:before="120" w:after="120"/>
        <w:jc w:val="both"/>
        <w:rPr>
          <w:iCs/>
        </w:rPr>
      </w:pPr>
      <w:bookmarkStart w:id="5" w:name="_Hlk153554295"/>
      <w:r w:rsidRPr="001E1828">
        <w:t>2022. gada 24. februārī Krievijas Federācija uzsāka plaša mēroga militāru iebrukumu Ukrainā ar mērķi apdraudēt tās suverenitāti, kas radīja nepieciešamību ieviest starptautiskas ekonomiska rakstura sankcijas attiecībā uz Krievijas Federāciju un Baltkrieviju un to pilsoņiem</w:t>
      </w:r>
      <w:r w:rsidRPr="001E1828">
        <w:rPr>
          <w:iCs/>
        </w:rPr>
        <w:t xml:space="preserve">. Tas </w:t>
      </w:r>
      <w:bookmarkEnd w:id="5"/>
      <w:r w:rsidRPr="001E1828">
        <w:rPr>
          <w:iCs/>
        </w:rPr>
        <w:t>radīja būtisku ietekmi uz politekonomiskajiem procesiem nozīmīgā pasaules daļā un nav paredzams, kā situācija varētu attīstīties nākotnē, un līdz ar to pastāv ekonomikas attīstības nenoteiktība.</w:t>
      </w:r>
    </w:p>
    <w:p w:rsidR="001E1828" w:rsidRPr="001E1828" w:rsidP="001E1828" w14:paraId="05C21D0A" w14:textId="2CDEAE9E">
      <w:pPr>
        <w:jc w:val="both"/>
        <w:rPr>
          <w:iCs/>
        </w:rPr>
      </w:pPr>
      <w:r w:rsidRPr="001E1828">
        <w:rPr>
          <w:iCs/>
        </w:rPr>
        <w:t>Pašvaldība darbība turpin</w:t>
      </w:r>
      <w:r w:rsidR="001C7917">
        <w:rPr>
          <w:iCs/>
        </w:rPr>
        <w:t>āj</w:t>
      </w:r>
      <w:r w:rsidRPr="001E1828">
        <w:rPr>
          <w:iCs/>
        </w:rPr>
        <w:t>ās ierastajā ritmā un n</w:t>
      </w:r>
      <w:r w:rsidR="001C7917">
        <w:rPr>
          <w:iCs/>
        </w:rPr>
        <w:t>av</w:t>
      </w:r>
      <w:r w:rsidRPr="001E1828">
        <w:rPr>
          <w:iCs/>
        </w:rPr>
        <w:t xml:space="preserve"> vērojamas grūtības nodrošināt ikdienas saimniecisko darbību. </w:t>
      </w:r>
      <w:r w:rsidR="009F246F">
        <w:rPr>
          <w:iCs/>
        </w:rPr>
        <w:t>S</w:t>
      </w:r>
      <w:r w:rsidRPr="001E1828">
        <w:rPr>
          <w:iCs/>
        </w:rPr>
        <w:t xml:space="preserve">ecinājums balstās uz informāciju, kas ir pieejama šī finanšu pārskata parakstīšanas brīdī un turpmāko notikumu ietekme uz pašvaldības darbību nākotnē var atšķirties no vadības </w:t>
      </w:r>
      <w:r w:rsidRPr="001E1828">
        <w:rPr>
          <w:iCs/>
        </w:rPr>
        <w:t>izvērtējuma</w:t>
      </w:r>
      <w:r w:rsidRPr="001E1828">
        <w:rPr>
          <w:iCs/>
        </w:rPr>
        <w:t>.</w:t>
      </w:r>
    </w:p>
    <w:p w:rsidR="001E1828" w:rsidRPr="001E1828" w:rsidP="002A2925" w14:paraId="02E0AAA8" w14:textId="73EAC18D">
      <w:pPr>
        <w:spacing w:before="120" w:after="120"/>
        <w:jc w:val="both"/>
        <w:rPr>
          <w:iCs/>
        </w:rPr>
      </w:pPr>
      <w:r w:rsidRPr="001E1828">
        <w:rPr>
          <w:iCs/>
        </w:rPr>
        <w:t xml:space="preserve">Pašvaldības vadība </w:t>
      </w:r>
      <w:r w:rsidR="009F246F">
        <w:rPr>
          <w:iCs/>
        </w:rPr>
        <w:t>periodiski</w:t>
      </w:r>
      <w:r w:rsidRPr="001E1828" w:rsidR="009F246F">
        <w:rPr>
          <w:iCs/>
        </w:rPr>
        <w:t xml:space="preserve"> </w:t>
      </w:r>
      <w:r w:rsidRPr="001E1828">
        <w:rPr>
          <w:iCs/>
        </w:rPr>
        <w:t xml:space="preserve">izvērtē situāciju un visu pieejamo informāciju, tai skaitā energoresursu sadārdzinājuma, karadarbības Ukrainā un </w:t>
      </w:r>
      <w:r w:rsidR="009F246F">
        <w:rPr>
          <w:iCs/>
        </w:rPr>
        <w:t xml:space="preserve">pret </w:t>
      </w:r>
      <w:r w:rsidR="009F246F">
        <w:rPr>
          <w:iCs/>
        </w:rPr>
        <w:t>agresorvalsti</w:t>
      </w:r>
      <w:r w:rsidR="009F246F">
        <w:rPr>
          <w:iCs/>
        </w:rPr>
        <w:t xml:space="preserve"> un tās satelītu </w:t>
      </w:r>
      <w:r w:rsidRPr="001E1828">
        <w:rPr>
          <w:iCs/>
        </w:rPr>
        <w:t>ieviesto sankciju izraisītās krīzes ietekmi uz pašvaldības darbību, un uzskat</w:t>
      </w:r>
      <w:r w:rsidR="009F246F">
        <w:rPr>
          <w:iCs/>
        </w:rPr>
        <w:t>a</w:t>
      </w:r>
      <w:r w:rsidRPr="001E1828">
        <w:rPr>
          <w:iCs/>
        </w:rPr>
        <w:t xml:space="preserve">, ka </w:t>
      </w:r>
      <w:r w:rsidR="001C7917">
        <w:rPr>
          <w:iCs/>
        </w:rPr>
        <w:t xml:space="preserve">pašvaldības </w:t>
      </w:r>
      <w:r w:rsidRPr="001E1828">
        <w:rPr>
          <w:iCs/>
        </w:rPr>
        <w:t>darbības turpināšanās princips finanšu pārskata sagatavošanā ir pilnībā piemērojams.</w:t>
      </w:r>
    </w:p>
    <w:p w:rsidR="004C2C49" w:rsidRPr="001E1828" w:rsidP="002A2925" w14:paraId="2AAB6FDB" w14:textId="4D3C2FFA">
      <w:pPr>
        <w:spacing w:before="120" w:after="120"/>
        <w:jc w:val="both"/>
        <w:rPr>
          <w:lang w:eastAsia="en-US"/>
        </w:rPr>
      </w:pPr>
      <w:r w:rsidRPr="001E1828">
        <w:rPr>
          <w:lang w:eastAsia="en-US"/>
        </w:rPr>
        <w:t>Gada pārskata pielikumā sniegta informācija par nekoriģējošiem notikumiem pēc bilances datuma.</w:t>
      </w:r>
    </w:p>
    <w:p w:rsidR="00294961" w:rsidRPr="002A2925" w:rsidP="00294961" w14:paraId="04EE0899" w14:textId="7F4A5808">
      <w:pPr>
        <w:spacing w:before="120" w:after="120"/>
        <w:jc w:val="both"/>
        <w:rPr>
          <w:b/>
          <w:i/>
          <w:iCs/>
          <w:lang w:eastAsia="en-US"/>
        </w:rPr>
      </w:pPr>
      <w:r w:rsidRPr="002A2925">
        <w:rPr>
          <w:b/>
          <w:i/>
          <w:iCs/>
          <w:lang w:eastAsia="en-US"/>
        </w:rPr>
        <w:t>Notikumi pēc bilances datuma</w:t>
      </w:r>
    </w:p>
    <w:p w:rsidR="001E1828" w:rsidRPr="001E1828" w:rsidP="001E1828" w14:paraId="68035467" w14:textId="68F94F00">
      <w:pPr>
        <w:spacing w:before="120" w:after="120"/>
        <w:jc w:val="both"/>
        <w:rPr>
          <w:bCs/>
          <w:lang w:eastAsia="en-US"/>
        </w:rPr>
      </w:pPr>
      <w:r w:rsidRPr="001E1828">
        <w:rPr>
          <w:bCs/>
          <w:lang w:eastAsia="en-US"/>
        </w:rPr>
        <w:t>Ukrainas Republikā turpinās karadarbība. Nav paredzams, kā situācija varētu attīstīties nākotnē, un pastāv ekonomikas attīstības nenoteiktība un riski energoresursu sadārdzinājum</w:t>
      </w:r>
      <w:r w:rsidR="009F246F">
        <w:rPr>
          <w:bCs/>
          <w:lang w:eastAsia="en-US"/>
        </w:rPr>
        <w:t>am</w:t>
      </w:r>
      <w:r w:rsidRPr="001E1828">
        <w:rPr>
          <w:bCs/>
          <w:lang w:eastAsia="en-US"/>
        </w:rPr>
        <w:t xml:space="preserve"> un situācijas </w:t>
      </w:r>
      <w:r w:rsidRPr="001E1828">
        <w:rPr>
          <w:bCs/>
          <w:lang w:eastAsia="en-US"/>
        </w:rPr>
        <w:t>neprognozējamīb</w:t>
      </w:r>
      <w:r w:rsidR="009F246F">
        <w:rPr>
          <w:bCs/>
          <w:lang w:eastAsia="en-US"/>
        </w:rPr>
        <w:t>ai</w:t>
      </w:r>
      <w:r w:rsidRPr="001E1828">
        <w:rPr>
          <w:bCs/>
          <w:lang w:eastAsia="en-US"/>
        </w:rPr>
        <w:t xml:space="preserve"> ilgtermiņā. Pašvaldības vadība regulāri izvērtē situāciju un uzskata, ka pašvaldība spēs pārvarēt šo situāciju. </w:t>
      </w:r>
      <w:r w:rsidR="009F246F">
        <w:rPr>
          <w:bCs/>
          <w:lang w:eastAsia="en-US"/>
        </w:rPr>
        <w:t>S</w:t>
      </w:r>
      <w:r w:rsidRPr="001E1828">
        <w:rPr>
          <w:bCs/>
          <w:lang w:eastAsia="en-US"/>
        </w:rPr>
        <w:t xml:space="preserve">ecinājums balstās uz informāciju, kas pieejama šī finanšu pārskata parakstīšanas brīdī un turpmāko notikumu ietekme uz pašvaldības darbību nākotnē var atšķirties no vadības </w:t>
      </w:r>
      <w:r w:rsidRPr="001E1828">
        <w:rPr>
          <w:bCs/>
          <w:lang w:eastAsia="en-US"/>
        </w:rPr>
        <w:t>izvērtējuma</w:t>
      </w:r>
      <w:r w:rsidRPr="001E1828">
        <w:rPr>
          <w:bCs/>
          <w:lang w:eastAsia="en-US"/>
        </w:rPr>
        <w:t>.</w:t>
      </w:r>
    </w:p>
    <w:p w:rsidR="001E1828" w:rsidRPr="001E1828" w:rsidP="001E1828" w14:paraId="62C9E203" w14:textId="4133F15C">
      <w:pPr>
        <w:spacing w:before="120" w:after="120"/>
        <w:jc w:val="both"/>
        <w:rPr>
          <w:bCs/>
          <w:lang w:eastAsia="en-US"/>
        </w:rPr>
      </w:pPr>
      <w:r w:rsidRPr="001E1828">
        <w:rPr>
          <w:bCs/>
          <w:lang w:eastAsia="en-US"/>
        </w:rPr>
        <w:t>Minētais notikums pēc bilances neatstāj ietekmi uz 202</w:t>
      </w:r>
      <w:r w:rsidR="003A771E">
        <w:rPr>
          <w:bCs/>
          <w:lang w:eastAsia="en-US"/>
        </w:rPr>
        <w:t>4</w:t>
      </w:r>
      <w:r w:rsidRPr="001E1828">
        <w:rPr>
          <w:bCs/>
          <w:lang w:eastAsia="en-US"/>
        </w:rPr>
        <w:t>. gada pārskata rezultātiem.</w:t>
      </w:r>
    </w:p>
    <w:p w:rsidR="00294961" w:rsidRPr="001E1828" w:rsidP="001E1828" w14:paraId="7D4D0212" w14:textId="77777777">
      <w:pPr>
        <w:shd w:val="clear" w:color="auto" w:fill="FFFFFF"/>
        <w:spacing w:before="240" w:after="120"/>
        <w:jc w:val="center"/>
        <w:rPr>
          <w:b/>
          <w:lang w:eastAsia="en-US"/>
        </w:rPr>
      </w:pPr>
      <w:r w:rsidRPr="001E1828">
        <w:rPr>
          <w:b/>
          <w:lang w:eastAsia="en-US"/>
        </w:rPr>
        <w:t>6. Pētniecības darbi</w:t>
      </w:r>
    </w:p>
    <w:p w:rsidR="0056163C" w:rsidP="0056163C" w14:paraId="284217DD" w14:textId="1FC5E13E">
      <w:pPr>
        <w:shd w:val="clear" w:color="auto" w:fill="FFFFFF"/>
        <w:spacing w:before="120"/>
        <w:jc w:val="both"/>
      </w:pPr>
      <w:r w:rsidRPr="001E1828">
        <w:rPr>
          <w:bCs/>
          <w:lang w:eastAsia="en-US"/>
        </w:rPr>
        <w:t>202</w:t>
      </w:r>
      <w:r w:rsidR="003A771E">
        <w:rPr>
          <w:bCs/>
          <w:lang w:eastAsia="en-US"/>
        </w:rPr>
        <w:t>4</w:t>
      </w:r>
      <w:r w:rsidRPr="001E1828">
        <w:rPr>
          <w:bCs/>
          <w:lang w:eastAsia="en-US"/>
        </w:rPr>
        <w:t>. gadā</w:t>
      </w:r>
      <w:r w:rsidRPr="001E1828">
        <w:rPr>
          <w:b/>
          <w:lang w:eastAsia="en-US"/>
        </w:rPr>
        <w:t xml:space="preserve"> </w:t>
      </w:r>
      <w:r w:rsidRPr="001E1828">
        <w:t>pētniecības darbi netika veikti.</w:t>
      </w:r>
    </w:p>
    <w:p w:rsidR="00294961" w:rsidRPr="001E1828" w:rsidP="001E1828" w14:paraId="7FB23D87" w14:textId="77777777">
      <w:pPr>
        <w:spacing w:before="240" w:after="120"/>
        <w:jc w:val="center"/>
        <w:rPr>
          <w:b/>
          <w:lang w:eastAsia="en-US"/>
        </w:rPr>
      </w:pPr>
      <w:r w:rsidRPr="001E1828">
        <w:rPr>
          <w:b/>
          <w:lang w:eastAsia="en-US"/>
        </w:rPr>
        <w:t>7. Finanšu instrumenti un finanšu riska vadības mērķi un politika</w:t>
      </w:r>
    </w:p>
    <w:p w:rsidR="001E1828" w:rsidRPr="001E1828" w:rsidP="001E1828" w14:paraId="7BB865DB" w14:textId="1F8FEA92">
      <w:pPr>
        <w:spacing w:after="120"/>
        <w:jc w:val="both"/>
        <w:rPr>
          <w:lang w:eastAsia="en-US"/>
        </w:rPr>
      </w:pPr>
      <w:bookmarkStart w:id="6" w:name="_Hlk132186549"/>
      <w:r w:rsidRPr="001E1828">
        <w:rPr>
          <w:lang w:eastAsia="en-US"/>
        </w:rPr>
        <w:t>Prognozējot nākotnes darījumus, pašvaldība regulāri pārskata finanšu politikas prognozes un kontrolē situāciju</w:t>
      </w:r>
      <w:r w:rsidR="009F246F">
        <w:rPr>
          <w:lang w:eastAsia="en-US"/>
        </w:rPr>
        <w:t>,</w:t>
      </w:r>
      <w:r w:rsidRPr="001E1828">
        <w:rPr>
          <w:lang w:eastAsia="en-US"/>
        </w:rPr>
        <w:t xml:space="preserve"> gan norobežojot finanšu riskus, gan izvērtējot katras savas iestādes un kapitālsabiedrības maksātspēju un ieguldījumu efektivitāti. </w:t>
      </w:r>
    </w:p>
    <w:p w:rsidR="001E1828" w:rsidRPr="001E1828" w:rsidP="001E1828" w14:paraId="6C288575" w14:textId="6F26B30F">
      <w:pPr>
        <w:spacing w:after="120"/>
        <w:jc w:val="both"/>
        <w:rPr>
          <w:lang w:eastAsia="en-US"/>
        </w:rPr>
      </w:pPr>
      <w:r w:rsidRPr="001E1828">
        <w:rPr>
          <w:lang w:eastAsia="en-US"/>
        </w:rPr>
        <w:t>Pašvaldība realizē stingru finanšu politiku, nodrošinot budžeta izstrādes procesa pārskatāmību, kā arī precīzu finanšu uzskaiti. Pašvaldības finanšu politika saimnieciskajā darbībā ir vērsta uz stabilitātes un ekonomiskās attīstības nodrošināšanas, attīstības plānu pēctecības un budžeta līdzekļu efektīvas izmantošanas principu konsekvenci.</w:t>
      </w:r>
    </w:p>
    <w:bookmarkEnd w:id="6"/>
    <w:p w:rsidR="00294961" w:rsidRPr="001E1828" w:rsidP="001E1828" w14:paraId="0FDED623" w14:textId="0111E9D0">
      <w:pPr>
        <w:spacing w:before="240" w:after="120"/>
        <w:jc w:val="center"/>
        <w:rPr>
          <w:b/>
          <w:lang w:eastAsia="en-US"/>
        </w:rPr>
      </w:pPr>
      <w:r w:rsidRPr="001E1828">
        <w:rPr>
          <w:b/>
          <w:lang w:eastAsia="en-US"/>
        </w:rPr>
        <w:t>8. Cita publiski pieejam</w:t>
      </w:r>
      <w:r w:rsidRPr="001E1828" w:rsidR="00B73F4A">
        <w:rPr>
          <w:b/>
          <w:lang w:eastAsia="en-US"/>
        </w:rPr>
        <w:t>ā</w:t>
      </w:r>
      <w:r w:rsidRPr="001E1828">
        <w:rPr>
          <w:b/>
          <w:lang w:eastAsia="en-US"/>
        </w:rPr>
        <w:t xml:space="preserve"> informācija par </w:t>
      </w:r>
      <w:r w:rsidRPr="001E1828" w:rsidR="00B73F4A">
        <w:rPr>
          <w:b/>
          <w:lang w:eastAsia="en-US"/>
        </w:rPr>
        <w:t>pašvaldību</w:t>
      </w:r>
    </w:p>
    <w:p w:rsidR="001E1828" w:rsidRPr="001E1828" w:rsidP="001E1828" w14:paraId="2517DD12" w14:textId="77777777">
      <w:pPr>
        <w:spacing w:after="120"/>
        <w:jc w:val="both"/>
      </w:pPr>
      <w:bookmarkStart w:id="7" w:name="_Hlk160103986"/>
      <w:r w:rsidRPr="001E1828">
        <w:rPr>
          <w:lang w:eastAsia="en-US"/>
        </w:rPr>
        <w:t xml:space="preserve">Pašvaldības publiskie pārskati pieejami pašvaldības oficiālajā tīmekļvietnē </w:t>
      </w:r>
      <w:hyperlink r:id="rId5" w:history="1">
        <w:r w:rsidRPr="001E1828">
          <w:rPr>
            <w:rStyle w:val="Hyperlink"/>
          </w:rPr>
          <w:t>https://www.adazunovads.lv/lv</w:t>
        </w:r>
      </w:hyperlink>
      <w:r w:rsidRPr="001E1828">
        <w:rPr>
          <w:lang w:eastAsia="en-US"/>
        </w:rPr>
        <w:t>.</w:t>
      </w:r>
    </w:p>
    <w:p w:rsidR="001E1828" w:rsidRPr="001E1828" w:rsidP="001E1828" w14:paraId="1F88B1F0" w14:textId="77F9CD5A">
      <w:pPr>
        <w:spacing w:after="120"/>
        <w:jc w:val="both"/>
        <w:rPr>
          <w:lang w:eastAsia="en-US"/>
        </w:rPr>
      </w:pPr>
      <w:r w:rsidRPr="001E1828">
        <w:rPr>
          <w:lang w:eastAsia="en-US"/>
        </w:rPr>
        <w:t xml:space="preserve">Ādažu novada Attīstības programma (2021-2027), Rīcības plāns un Investīciju plāns </w:t>
      </w:r>
      <w:r w:rsidR="009C3C5A">
        <w:rPr>
          <w:lang w:eastAsia="en-US"/>
        </w:rPr>
        <w:t xml:space="preserve">ir </w:t>
      </w:r>
      <w:r w:rsidRPr="001E1828">
        <w:rPr>
          <w:lang w:eastAsia="en-US"/>
        </w:rPr>
        <w:t>pieejam</w:t>
      </w:r>
      <w:r w:rsidR="009C3C5A">
        <w:rPr>
          <w:lang w:eastAsia="en-US"/>
        </w:rPr>
        <w:t>i</w:t>
      </w:r>
      <w:r w:rsidRPr="001E1828">
        <w:rPr>
          <w:lang w:eastAsia="en-US"/>
        </w:rPr>
        <w:t xml:space="preserve"> pašvaldības tīmekļvietnē </w:t>
      </w:r>
      <w:hyperlink r:id="rId5" w:history="1">
        <w:r w:rsidRPr="001E1828">
          <w:rPr>
            <w:rStyle w:val="Hyperlink"/>
          </w:rPr>
          <w:t>https://www.adazunovads.lv/lv</w:t>
        </w:r>
      </w:hyperlink>
      <w:r w:rsidRPr="001E1828">
        <w:rPr>
          <w:lang w:eastAsia="en-US"/>
        </w:rPr>
        <w:t>.</w:t>
      </w:r>
    </w:p>
    <w:bookmarkEnd w:id="7"/>
    <w:p w:rsidR="001C7917" w:rsidP="00294961" w14:paraId="5C39C334" w14:textId="77777777">
      <w:pPr>
        <w:tabs>
          <w:tab w:val="left" w:pos="1134"/>
        </w:tabs>
      </w:pPr>
    </w:p>
    <w:p w:rsidR="009C3C5A" w:rsidP="00294961" w14:paraId="16DC034C" w14:textId="77777777">
      <w:pPr>
        <w:tabs>
          <w:tab w:val="left" w:pos="1134"/>
        </w:tabs>
      </w:pPr>
    </w:p>
    <w:p w:rsidR="00E80E10" w:rsidP="00294961" w14:paraId="58520A6F" w14:textId="77777777">
      <w:pPr>
        <w:tabs>
          <w:tab w:val="left" w:pos="1134"/>
        </w:tabs>
      </w:pPr>
    </w:p>
    <w:p w:rsidR="00294961" w:rsidRPr="001E1828" w:rsidP="00294961" w14:paraId="0417D770" w14:textId="5EA263D0">
      <w:pPr>
        <w:tabs>
          <w:tab w:val="left" w:pos="1134"/>
        </w:tabs>
      </w:pPr>
      <w:r>
        <w:t xml:space="preserve">Pašvaldības </w:t>
      </w:r>
      <w:r w:rsidRPr="00EE141B">
        <w:t>domes pr</w:t>
      </w:r>
      <w:r>
        <w:t>iekšsēdētāja</w:t>
      </w:r>
      <w:r w:rsidRPr="001C7917">
        <w:rPr>
          <w:noProof/>
          <w:color w:val="000000"/>
          <w:sz w:val="23"/>
          <w:szCs w:val="23"/>
        </w:rPr>
        <w:t xml:space="preserve"> </w:t>
      </w:r>
      <w:r w:rsidR="009C3C5A">
        <w:rPr>
          <w:noProof/>
          <w:color w:val="000000"/>
          <w:sz w:val="23"/>
          <w:szCs w:val="23"/>
        </w:rPr>
        <w:tab/>
      </w:r>
      <w:r w:rsidR="009C3C5A">
        <w:rPr>
          <w:noProof/>
          <w:color w:val="000000"/>
          <w:sz w:val="23"/>
          <w:szCs w:val="23"/>
        </w:rPr>
        <w:tab/>
      </w:r>
      <w:r w:rsidR="009C3C5A">
        <w:rPr>
          <w:noProof/>
          <w:color w:val="000000"/>
          <w:sz w:val="23"/>
          <w:szCs w:val="23"/>
        </w:rPr>
        <w:tab/>
      </w:r>
      <w:r w:rsidR="009C3C5A">
        <w:rPr>
          <w:noProof/>
          <w:color w:val="000000"/>
          <w:sz w:val="23"/>
          <w:szCs w:val="23"/>
        </w:rPr>
        <w:tab/>
      </w:r>
      <w:r w:rsidR="009C3C5A">
        <w:rPr>
          <w:noProof/>
          <w:color w:val="000000"/>
          <w:sz w:val="23"/>
          <w:szCs w:val="23"/>
        </w:rPr>
        <w:tab/>
      </w:r>
      <w:r>
        <w:rPr>
          <w:noProof/>
          <w:color w:val="000000"/>
          <w:sz w:val="23"/>
          <w:szCs w:val="23"/>
        </w:rPr>
        <w:t>Karīna Miķelsone</w:t>
      </w:r>
    </w:p>
    <w:p w:rsidR="00294961" w:rsidRPr="001E1828" w:rsidP="00294961" w14:paraId="21B08C4D" w14:textId="77777777">
      <w:pPr>
        <w:tabs>
          <w:tab w:val="left" w:pos="1134"/>
        </w:tabs>
      </w:pPr>
    </w:p>
    <w:p w:rsidR="00294961" w:rsidRPr="000E518A" w:rsidP="002A2925" w14:paraId="2D7DBB4A" w14:textId="77B01C9D">
      <w:pPr>
        <w:jc w:val="center"/>
      </w:pPr>
      <w:r w:rsidRPr="001E1828">
        <w:t>ŠIS DOKUMENTS IR PARAKSTĪTS AR</w:t>
      </w:r>
      <w:r w:rsidR="009F246F">
        <w:t xml:space="preserve"> </w:t>
      </w:r>
      <w:r w:rsidRPr="001E1828">
        <w:t>DROŠU ELEKTRONISKO PARAKSTU UN SATUR LAIKA ZĪMOGU</w:t>
      </w:r>
    </w:p>
    <w:p w:rsidR="00E80E10" w:rsidP="00294961" w14:paraId="3492A7B7" w14:textId="77777777">
      <w:pPr>
        <w:rPr>
          <w:sz w:val="20"/>
          <w:szCs w:val="20"/>
        </w:rPr>
      </w:pPr>
    </w:p>
    <w:p w:rsidR="00E80E10" w:rsidP="00294961" w14:paraId="18580AEC" w14:textId="77777777">
      <w:pPr>
        <w:rPr>
          <w:sz w:val="20"/>
          <w:szCs w:val="20"/>
        </w:rPr>
      </w:pPr>
    </w:p>
    <w:p w:rsidR="00E80E10" w:rsidP="00294961" w14:paraId="30C0EE39" w14:textId="77777777">
      <w:pPr>
        <w:rPr>
          <w:sz w:val="20"/>
          <w:szCs w:val="20"/>
        </w:rPr>
      </w:pPr>
    </w:p>
    <w:p w:rsidR="00294961" w:rsidRPr="000E518A" w:rsidP="00294961" w14:paraId="4B86D2D5" w14:textId="04A7B46A">
      <w:pPr>
        <w:rPr>
          <w:sz w:val="20"/>
          <w:szCs w:val="20"/>
        </w:rPr>
      </w:pPr>
      <w:r w:rsidRPr="000E518A">
        <w:rPr>
          <w:sz w:val="20"/>
          <w:szCs w:val="20"/>
        </w:rPr>
        <w:t xml:space="preserve">Porietis, </w:t>
      </w:r>
      <w:r w:rsidRPr="00A13160" w:rsidR="00CB6C33">
        <w:rPr>
          <w:sz w:val="20"/>
          <w:szCs w:val="20"/>
        </w:rPr>
        <w:t>26544977</w:t>
      </w:r>
    </w:p>
    <w:p w:rsidR="00501B0B" w:rsidRPr="001B318F" w:rsidP="002A2925" w14:paraId="08CD3F57" w14:textId="0BED1AFF">
      <w:pPr>
        <w:rPr>
          <w:color w:val="FF0000"/>
        </w:rPr>
      </w:pPr>
      <w:hyperlink r:id="rId6" w:history="1">
        <w:r w:rsidRPr="009F246F">
          <w:rPr>
            <w:rStyle w:val="Hyperlink"/>
            <w:sz w:val="20"/>
            <w:szCs w:val="20"/>
          </w:rPr>
          <w:t>guntis.porietis@adazunovads.lv</w:t>
        </w:r>
      </w:hyperlink>
      <w:r w:rsidRPr="005E3469" w:rsidR="00F54C73">
        <w:rPr>
          <w:sz w:val="20"/>
          <w:szCs w:val="20"/>
        </w:rPr>
        <w:t xml:space="preserve"> </w:t>
      </w:r>
    </w:p>
    <w:sectPr w:rsidSect="00F2519C">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RobustaTLPro-Regular">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1">
    <w:nsid w:val="01DD284B"/>
    <w:multiLevelType w:val="hybridMultilevel"/>
    <w:tmpl w:val="06F2C5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1">
    <w:nsid w:val="02A07211"/>
    <w:multiLevelType w:val="hybridMultilevel"/>
    <w:tmpl w:val="8CF299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15:restartNumberingAfterBreak="1">
    <w:nsid w:val="12F57D6D"/>
    <w:multiLevelType w:val="hybridMultilevel"/>
    <w:tmpl w:val="4342C34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1DEC16BF"/>
    <w:multiLevelType w:val="hybridMultilevel"/>
    <w:tmpl w:val="A17ED46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2A146A3C"/>
    <w:multiLevelType w:val="multilevel"/>
    <w:tmpl w:val="B09010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2ED67D22"/>
    <w:multiLevelType w:val="hybridMultilevel"/>
    <w:tmpl w:val="92C621EC"/>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6" w15:restartNumberingAfterBreak="1">
    <w:nsid w:val="2FD539F5"/>
    <w:multiLevelType w:val="hybridMultilevel"/>
    <w:tmpl w:val="61A8D9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15:restartNumberingAfterBreak="1">
    <w:nsid w:val="42B32264"/>
    <w:multiLevelType w:val="hybridMultilevel"/>
    <w:tmpl w:val="1CC6497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15:restartNumberingAfterBreak="1">
    <w:nsid w:val="54836598"/>
    <w:multiLevelType w:val="hybridMultilevel"/>
    <w:tmpl w:val="62D2ACD2"/>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7DC29AC"/>
    <w:multiLevelType w:val="hybridMultilevel"/>
    <w:tmpl w:val="ACCEF5C2"/>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num w:numId="1" w16cid:durableId="1657222763">
    <w:abstractNumId w:val="3"/>
  </w:num>
  <w:num w:numId="2" w16cid:durableId="977535777">
    <w:abstractNumId w:val="8"/>
  </w:num>
  <w:num w:numId="3" w16cid:durableId="1955626950">
    <w:abstractNumId w:val="2"/>
  </w:num>
  <w:num w:numId="4" w16cid:durableId="441654279">
    <w:abstractNumId w:val="6"/>
  </w:num>
  <w:num w:numId="5" w16cid:durableId="1044672917">
    <w:abstractNumId w:val="1"/>
  </w:num>
  <w:num w:numId="6" w16cid:durableId="1944876618">
    <w:abstractNumId w:val="0"/>
  </w:num>
  <w:num w:numId="7" w16cid:durableId="1775587237">
    <w:abstractNumId w:val="7"/>
  </w:num>
  <w:num w:numId="8" w16cid:durableId="1483542683">
    <w:abstractNumId w:val="5"/>
  </w:num>
  <w:num w:numId="9" w16cid:durableId="2063285581">
    <w:abstractNumId w:val="9"/>
  </w:num>
  <w:num w:numId="10" w16cid:durableId="6302827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4E0"/>
    <w:rsid w:val="0005043B"/>
    <w:rsid w:val="00057AEF"/>
    <w:rsid w:val="000616A3"/>
    <w:rsid w:val="000A7527"/>
    <w:rsid w:val="000B6AC8"/>
    <w:rsid w:val="000C216F"/>
    <w:rsid w:val="000E518A"/>
    <w:rsid w:val="000F45FB"/>
    <w:rsid w:val="0010793B"/>
    <w:rsid w:val="001217D0"/>
    <w:rsid w:val="00123963"/>
    <w:rsid w:val="00126E68"/>
    <w:rsid w:val="00145AB0"/>
    <w:rsid w:val="00151906"/>
    <w:rsid w:val="00163ED7"/>
    <w:rsid w:val="001863D3"/>
    <w:rsid w:val="00192508"/>
    <w:rsid w:val="0019476B"/>
    <w:rsid w:val="001B318F"/>
    <w:rsid w:val="001C071B"/>
    <w:rsid w:val="001C7917"/>
    <w:rsid w:val="001E1828"/>
    <w:rsid w:val="001F1C11"/>
    <w:rsid w:val="00202240"/>
    <w:rsid w:val="002154E6"/>
    <w:rsid w:val="00224B1D"/>
    <w:rsid w:val="00225928"/>
    <w:rsid w:val="00242701"/>
    <w:rsid w:val="002569CF"/>
    <w:rsid w:val="002603D1"/>
    <w:rsid w:val="0026519A"/>
    <w:rsid w:val="00267685"/>
    <w:rsid w:val="00271340"/>
    <w:rsid w:val="00271ABA"/>
    <w:rsid w:val="00276191"/>
    <w:rsid w:val="00280702"/>
    <w:rsid w:val="00285129"/>
    <w:rsid w:val="00293FD6"/>
    <w:rsid w:val="00294961"/>
    <w:rsid w:val="002A2925"/>
    <w:rsid w:val="002A2FD2"/>
    <w:rsid w:val="002C412C"/>
    <w:rsid w:val="002D571C"/>
    <w:rsid w:val="00323C50"/>
    <w:rsid w:val="00330A57"/>
    <w:rsid w:val="0034212E"/>
    <w:rsid w:val="00343E1E"/>
    <w:rsid w:val="00386746"/>
    <w:rsid w:val="003924DD"/>
    <w:rsid w:val="003A771E"/>
    <w:rsid w:val="003B44A3"/>
    <w:rsid w:val="003B53E7"/>
    <w:rsid w:val="003C02B1"/>
    <w:rsid w:val="00406BAA"/>
    <w:rsid w:val="00410895"/>
    <w:rsid w:val="0042457F"/>
    <w:rsid w:val="00462611"/>
    <w:rsid w:val="00477126"/>
    <w:rsid w:val="0048506E"/>
    <w:rsid w:val="004871C8"/>
    <w:rsid w:val="004A78D5"/>
    <w:rsid w:val="004B08A8"/>
    <w:rsid w:val="004C26CE"/>
    <w:rsid w:val="004C2C49"/>
    <w:rsid w:val="004D48A7"/>
    <w:rsid w:val="004D7CEB"/>
    <w:rsid w:val="00501B0B"/>
    <w:rsid w:val="005069BB"/>
    <w:rsid w:val="0052574D"/>
    <w:rsid w:val="005438A3"/>
    <w:rsid w:val="005451B9"/>
    <w:rsid w:val="0056163C"/>
    <w:rsid w:val="005A5629"/>
    <w:rsid w:val="005E3469"/>
    <w:rsid w:val="0060767D"/>
    <w:rsid w:val="00607B1D"/>
    <w:rsid w:val="00611E6F"/>
    <w:rsid w:val="00627193"/>
    <w:rsid w:val="006409DE"/>
    <w:rsid w:val="00646EB7"/>
    <w:rsid w:val="0066721B"/>
    <w:rsid w:val="00692D69"/>
    <w:rsid w:val="006A0C00"/>
    <w:rsid w:val="006A2AC3"/>
    <w:rsid w:val="006A2CA7"/>
    <w:rsid w:val="006A4384"/>
    <w:rsid w:val="006B5103"/>
    <w:rsid w:val="006D5B9A"/>
    <w:rsid w:val="006E425B"/>
    <w:rsid w:val="00715DEA"/>
    <w:rsid w:val="00720D97"/>
    <w:rsid w:val="00727DC5"/>
    <w:rsid w:val="00730D32"/>
    <w:rsid w:val="00734B7C"/>
    <w:rsid w:val="00752C86"/>
    <w:rsid w:val="00753AF3"/>
    <w:rsid w:val="00770901"/>
    <w:rsid w:val="00785ECF"/>
    <w:rsid w:val="00791F03"/>
    <w:rsid w:val="007A5E6B"/>
    <w:rsid w:val="007B31D5"/>
    <w:rsid w:val="007B6C56"/>
    <w:rsid w:val="007D6E2B"/>
    <w:rsid w:val="007E5F89"/>
    <w:rsid w:val="007E61FF"/>
    <w:rsid w:val="007F42AD"/>
    <w:rsid w:val="00810162"/>
    <w:rsid w:val="00820AB7"/>
    <w:rsid w:val="00823F40"/>
    <w:rsid w:val="0082419E"/>
    <w:rsid w:val="00830053"/>
    <w:rsid w:val="00854F4F"/>
    <w:rsid w:val="008B5B7E"/>
    <w:rsid w:val="008D4FB5"/>
    <w:rsid w:val="008F188B"/>
    <w:rsid w:val="008F1CC4"/>
    <w:rsid w:val="00922EDC"/>
    <w:rsid w:val="00955156"/>
    <w:rsid w:val="00972FBF"/>
    <w:rsid w:val="00973CAC"/>
    <w:rsid w:val="0098540B"/>
    <w:rsid w:val="00987DB0"/>
    <w:rsid w:val="00991CDC"/>
    <w:rsid w:val="00996CB7"/>
    <w:rsid w:val="009A4952"/>
    <w:rsid w:val="009A6D04"/>
    <w:rsid w:val="009C3C5A"/>
    <w:rsid w:val="009E0284"/>
    <w:rsid w:val="009E5B30"/>
    <w:rsid w:val="009F2452"/>
    <w:rsid w:val="009F246F"/>
    <w:rsid w:val="00A13160"/>
    <w:rsid w:val="00A22000"/>
    <w:rsid w:val="00A2668F"/>
    <w:rsid w:val="00A5060C"/>
    <w:rsid w:val="00A56568"/>
    <w:rsid w:val="00A607B7"/>
    <w:rsid w:val="00A964E7"/>
    <w:rsid w:val="00AA0BC1"/>
    <w:rsid w:val="00AA19FA"/>
    <w:rsid w:val="00AA37FE"/>
    <w:rsid w:val="00AA7F0A"/>
    <w:rsid w:val="00AD7679"/>
    <w:rsid w:val="00AE1306"/>
    <w:rsid w:val="00AE1E2B"/>
    <w:rsid w:val="00AE426E"/>
    <w:rsid w:val="00AF74E0"/>
    <w:rsid w:val="00AF7E2A"/>
    <w:rsid w:val="00B042D3"/>
    <w:rsid w:val="00B133B6"/>
    <w:rsid w:val="00B160A1"/>
    <w:rsid w:val="00B562E4"/>
    <w:rsid w:val="00B5632A"/>
    <w:rsid w:val="00B73F4A"/>
    <w:rsid w:val="00B82EB0"/>
    <w:rsid w:val="00B90916"/>
    <w:rsid w:val="00B92346"/>
    <w:rsid w:val="00BB04C8"/>
    <w:rsid w:val="00BC203E"/>
    <w:rsid w:val="00BC251F"/>
    <w:rsid w:val="00BD2C7B"/>
    <w:rsid w:val="00BD7FE3"/>
    <w:rsid w:val="00BE499A"/>
    <w:rsid w:val="00BE7A62"/>
    <w:rsid w:val="00C03554"/>
    <w:rsid w:val="00C120C8"/>
    <w:rsid w:val="00C17B15"/>
    <w:rsid w:val="00C45B5A"/>
    <w:rsid w:val="00C53EDB"/>
    <w:rsid w:val="00C64179"/>
    <w:rsid w:val="00C93858"/>
    <w:rsid w:val="00C93A91"/>
    <w:rsid w:val="00CA2BD6"/>
    <w:rsid w:val="00CB6C33"/>
    <w:rsid w:val="00CD6072"/>
    <w:rsid w:val="00D130B1"/>
    <w:rsid w:val="00D1401D"/>
    <w:rsid w:val="00D23F1B"/>
    <w:rsid w:val="00D25029"/>
    <w:rsid w:val="00D3008C"/>
    <w:rsid w:val="00D30138"/>
    <w:rsid w:val="00D446D5"/>
    <w:rsid w:val="00D506C1"/>
    <w:rsid w:val="00D513F0"/>
    <w:rsid w:val="00D62CD2"/>
    <w:rsid w:val="00D65EFB"/>
    <w:rsid w:val="00D7152C"/>
    <w:rsid w:val="00D83CDF"/>
    <w:rsid w:val="00D85FA5"/>
    <w:rsid w:val="00DE1ED4"/>
    <w:rsid w:val="00DE2192"/>
    <w:rsid w:val="00DF2372"/>
    <w:rsid w:val="00E07D6B"/>
    <w:rsid w:val="00E13F34"/>
    <w:rsid w:val="00E1701D"/>
    <w:rsid w:val="00E17CBB"/>
    <w:rsid w:val="00E22C32"/>
    <w:rsid w:val="00E24C66"/>
    <w:rsid w:val="00E26658"/>
    <w:rsid w:val="00E4230E"/>
    <w:rsid w:val="00E5001D"/>
    <w:rsid w:val="00E711DA"/>
    <w:rsid w:val="00E80E10"/>
    <w:rsid w:val="00EB27D7"/>
    <w:rsid w:val="00EB5CB3"/>
    <w:rsid w:val="00EC2F31"/>
    <w:rsid w:val="00EE141B"/>
    <w:rsid w:val="00EE1822"/>
    <w:rsid w:val="00F00B5B"/>
    <w:rsid w:val="00F140FC"/>
    <w:rsid w:val="00F2519C"/>
    <w:rsid w:val="00F54C73"/>
    <w:rsid w:val="00F80B88"/>
    <w:rsid w:val="00FA44F3"/>
    <w:rsid w:val="00FB12DC"/>
    <w:rsid w:val="00FB3DA1"/>
    <w:rsid w:val="00FB6056"/>
    <w:rsid w:val="00FE05ED"/>
    <w:rsid w:val="00FE0D1B"/>
    <w:rsid w:val="00FE364A"/>
    <w:rsid w:val="00FE4326"/>
    <w:rsid w:val="00FF321F"/>
    <w:rsid w:val="00FF7828"/>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3A026FCF"/>
  <w15:docId w15:val="{F8B79D3E-B636-461F-A2F4-B03637E78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06BAA"/>
    <w:rPr>
      <w:color w:val="0000FF"/>
      <w:u w:val="single"/>
    </w:rPr>
  </w:style>
  <w:style w:type="paragraph" w:styleId="BalloonText">
    <w:name w:val="Balloon Text"/>
    <w:basedOn w:val="Normal"/>
    <w:link w:val="BalloonTextChar"/>
    <w:rsid w:val="00276191"/>
    <w:rPr>
      <w:rFonts w:ascii="Tahoma" w:hAnsi="Tahoma" w:cs="Tahoma"/>
      <w:sz w:val="16"/>
      <w:szCs w:val="16"/>
    </w:rPr>
  </w:style>
  <w:style w:type="character" w:customStyle="1" w:styleId="BalloonTextChar">
    <w:name w:val="Balloon Text Char"/>
    <w:basedOn w:val="DefaultParagraphFont"/>
    <w:link w:val="BalloonText"/>
    <w:rsid w:val="00276191"/>
    <w:rPr>
      <w:rFonts w:ascii="Tahoma" w:hAnsi="Tahoma" w:cs="Tahoma"/>
      <w:sz w:val="16"/>
      <w:szCs w:val="16"/>
    </w:rPr>
  </w:style>
  <w:style w:type="paragraph" w:styleId="NoSpacing">
    <w:name w:val="No Spacing"/>
    <w:uiPriority w:val="1"/>
    <w:qFormat/>
    <w:rsid w:val="002569CF"/>
    <w:pPr>
      <w:widowControl w:val="0"/>
    </w:pPr>
    <w:rPr>
      <w:rFonts w:ascii="Calibri" w:eastAsia="Calibri" w:hAnsi="Calibri"/>
      <w:sz w:val="22"/>
      <w:szCs w:val="22"/>
      <w:lang w:val="en-US" w:eastAsia="en-US"/>
    </w:rPr>
  </w:style>
  <w:style w:type="paragraph" w:styleId="ListParagraph">
    <w:name w:val="List Paragraph"/>
    <w:basedOn w:val="Normal"/>
    <w:uiPriority w:val="34"/>
    <w:qFormat/>
    <w:rsid w:val="00294961"/>
    <w:pPr>
      <w:suppressAutoHyphens/>
      <w:ind w:left="720"/>
      <w:contextualSpacing/>
    </w:pPr>
    <w:rPr>
      <w:lang w:eastAsia="ar-SA"/>
    </w:rPr>
  </w:style>
  <w:style w:type="character" w:styleId="UnresolvedMention">
    <w:name w:val="Unresolved Mention"/>
    <w:basedOn w:val="DefaultParagraphFont"/>
    <w:uiPriority w:val="99"/>
    <w:semiHidden/>
    <w:unhideWhenUsed/>
    <w:rsid w:val="00B5632A"/>
    <w:rPr>
      <w:color w:val="605E5C"/>
      <w:shd w:val="clear" w:color="auto" w:fill="E1DFDD"/>
    </w:rPr>
  </w:style>
  <w:style w:type="paragraph" w:styleId="Revision">
    <w:name w:val="Revision"/>
    <w:hidden/>
    <w:uiPriority w:val="99"/>
    <w:semiHidden/>
    <w:rsid w:val="009F246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s://www.adazunovads.lv/lv" TargetMode="External" /><Relationship Id="rId6" Type="http://schemas.openxmlformats.org/officeDocument/2006/relationships/hyperlink" Target="mailto:guntis.porietis@adazunovads.lv"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Jevgenija.Sviridenko\AppData\Roaming\Microsoft\Templates\and_veidlapa_vestulem_mb.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and_veidlapa_vestulem_mb</Template>
  <TotalTime>2</TotalTime>
  <Pages>7</Pages>
  <Words>13719</Words>
  <Characters>7820</Characters>
  <Application>Microsoft Office Word</Application>
  <DocSecurity>0</DocSecurity>
  <Lines>65</Lines>
  <Paragraphs>42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 Company</Company>
  <LinksUpToDate>false</LinksUpToDate>
  <CharactersWithSpaces>21497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Jevgēnija Sviridenko</dc:creator>
  <cp:lastModifiedBy>Sintija Tenisa</cp:lastModifiedBy>
  <cp:revision>3</cp:revision>
  <dcterms:created xsi:type="dcterms:W3CDTF">2025-03-24T07:20:00Z</dcterms:created>
  <dcterms:modified xsi:type="dcterms:W3CDTF">2025-03-24T07:21:00Z</dcterms:modified>
</cp:coreProperties>
</file>