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ĀDAŽU PILSĒTAS IEDZĪVOTĀJU PADOMES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KĀRTĒJĀ SAPULCE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DARBA KĀRTĪBA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Ādažos, 2025. gada 19. februārī, plkst. 19.00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Gaujas ielā 33A, Ādažos</w:t>
      </w:r>
    </w:p>
    <w:p w:rsidR="00000000" w:rsidDel="00000000" w:rsidP="00000000" w:rsidRDefault="00000000" w:rsidRPr="00000000" w14:paraId="00000006">
      <w:pPr>
        <w:spacing w:after="60" w:before="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60" w:before="60" w:line="276" w:lineRule="auto"/>
        <w:ind w:left="540" w:hanging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 Ādažu pilsētas iedzīvotāju padomes 2025. gada 19. februāra kārtējās sapulces darba kārtības apstiprināšanu (ziņo Irīna Alziņa).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60" w:before="60" w:line="276" w:lineRule="auto"/>
        <w:ind w:left="540" w:hanging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Ādažu iedzīvotāju padomes vīzija un darbība (ziņo Kristīne Pudiste)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60" w:before="60" w:line="276" w:lineRule="auto"/>
        <w:ind w:left="540" w:hanging="54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Iedzīvotāju padomju sadarbība ar Ādažu novada pašvaldības struktūrvienību speciālistiem. Kuri speciālisti būtu jāaicina uz nākamajām sapulcēm? Vai nepieciešams sapulces veidot ar konkrētu regularitāti un pa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tēmām?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60" w:before="60" w:line="276" w:lineRule="auto"/>
        <w:ind w:left="540" w:hanging="54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Darbu uzdevumu, kompetenču un atbildību sadalījums starp iedzīvotāju padomes locekļiem.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60" w:before="60" w:line="276" w:lineRule="auto"/>
        <w:ind w:left="540" w:hanging="54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Komunikācija ar iedzīvotājiem:</w:t>
      </w:r>
    </w:p>
    <w:p w:rsidR="00000000" w:rsidDel="00000000" w:rsidP="00000000" w:rsidRDefault="00000000" w:rsidRPr="00000000" w14:paraId="0000000C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.1.</w:t>
        <w:tab/>
        <w:t xml:space="preserve">Facebook grupa, avīze, e-pasts, pasta kastīte;</w:t>
      </w:r>
    </w:p>
    <w:p w:rsidR="00000000" w:rsidDel="00000000" w:rsidP="00000000" w:rsidRDefault="00000000" w:rsidRPr="00000000" w14:paraId="0000000D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.2.</w:t>
        <w:tab/>
        <w:t xml:space="preserve">Ar laiku, kad tiks nodefinētas apkaimes un apkaimju “vecākie”, iespējams nepieciešama WA grupas izveide katrā apkaimē;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Regulāras padomes sapulces - jājautā iedzīvotājiem, cik bieži viņi vēlas apmeklēt un vai tiešām būs aktivitāte?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5.4.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Ādažu novada avīze – varam publicēt informāciju par plānotajiem pasākumiem, bet nevaram publicēt informāciju par sasniedzamajiem rezultātiem.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Nepieciešamība noteikt )precizēt) Ādažu pilsētas apkaimes: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5"/>
        </w:tabs>
        <w:spacing w:after="0" w:before="0" w:line="276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publicēt Facebook grupā apkaimju kartes;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5"/>
        </w:tabs>
        <w:spacing w:after="0" w:before="0" w:line="276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aptaujāt (aptaujas veidā) par iespējamajiem apkaimju robežām un to nosaukumiem.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Informācija par “Bērnu un jauniešu centru Ādažu pilsētā” - aptaujas rezultāti, mazliet paskaidrot, ko mēs ar šo gribējām sasniegt, kāds bija pašvaldības uzdevums un kāda mūsu loma šajā visā.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Aptauju rīkošana caur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forms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varbūt kādam ir kāda vēl ideja? Varbūt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forms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nav labākais veids. Varbūt ir vērts izzināt arī citus rīkus?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Lielās talkas organizēšana un iedzīvotāju iesaistīšana 2025. Finansējums. Talkas punkti.</w:t>
      </w:r>
    </w:p>
    <w:p w:rsidR="00000000" w:rsidDel="00000000" w:rsidP="00000000" w:rsidRDefault="00000000" w:rsidRPr="00000000" w14:paraId="00000016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.1.</w:t>
        <w:tab/>
        <w:t xml:space="preserve">Lielajā talkā ūdensrožu stādīšana - varbūt varam izdrukāt karti ar Vējupes posmu no Kaula tiltiņa līdz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Kontiki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 iedzīvotājiem pajautāt, kur viņiem liekas labāk mēs varētu organizēt šo talku?</w:t>
      </w:r>
    </w:p>
    <w:p w:rsidR="00000000" w:rsidDel="00000000" w:rsidP="00000000" w:rsidRDefault="00000000" w:rsidRPr="00000000" w14:paraId="00000017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.2. </w:t>
        <w:tab/>
        <w:t xml:space="preserve">Sakārtot, attīrīt no atkritumiem pašvaldības objektu – Pirmā iela 42A, Ādažos?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Informācijas stendi apkaimēs – esamība, stāvoklis un nepieciešamie uzlabojumi.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Labdarības projekti un Ādažu pilsētas iedzīvotāju padomes iesaiste tajos.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Ādažu pilsētas padomes plānotās aktivitātes:</w:t>
      </w:r>
    </w:p>
    <w:p w:rsidR="00000000" w:rsidDel="00000000" w:rsidP="00000000" w:rsidRDefault="00000000" w:rsidRPr="00000000" w14:paraId="0000001B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.1. </w:t>
        <w:tab/>
        <w:t xml:space="preserve">Apkaimju svētku rīkošana.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.2.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Tirgus laukuma atdzīvināšana.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.3.</w:t>
        <w:tab/>
        <w:t xml:space="preserve">Tūrisma informācijas centra (punkta) izveide pilsētā.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.4.</w:t>
        <w:tab/>
        <w:t xml:space="preserve">Interaktīvais panelis ar jaunumiem pilsētā un novadā, digitālais gids.</w:t>
      </w:r>
    </w:p>
    <w:p w:rsidR="00000000" w:rsidDel="00000000" w:rsidP="00000000" w:rsidRDefault="00000000" w:rsidRPr="00000000" w14:paraId="0000001F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.5.</w:t>
        <w:tab/>
        <w:t xml:space="preserve">Mākslas, muzeju un tūrisma attīstība pilsētā.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.5.   Ādažu stāstu veidošana un apkopošana, publicēšana.</w:t>
      </w:r>
    </w:p>
    <w:p w:rsidR="00000000" w:rsidDel="00000000" w:rsidP="00000000" w:rsidRDefault="00000000" w:rsidRPr="00000000" w14:paraId="00000021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.6  </w:t>
        <w:tab/>
        <w:t xml:space="preserve">Patvertņu kartes veidošana, privātpersonu un daudzdzīvokļu ēkas iedzīvotāju un pārvaldnieku uzrunāšana par iespējamo patvertņu izvietošanu.</w:t>
      </w:r>
    </w:p>
    <w:p w:rsidR="00000000" w:rsidDel="00000000" w:rsidP="00000000" w:rsidRDefault="00000000" w:rsidRPr="00000000" w14:paraId="00000022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.7   Pašvaldībai piederošu ēku, kuras atrodas bez aktīva pielietojuma, kartes veidošana.</w:t>
      </w:r>
    </w:p>
    <w:p w:rsidR="00000000" w:rsidDel="00000000" w:rsidP="00000000" w:rsidRDefault="00000000" w:rsidRPr="00000000" w14:paraId="00000023">
      <w:pPr>
        <w:spacing w:after="60" w:before="60" w:line="276" w:lineRule="auto"/>
        <w:ind w:left="1170" w:hanging="63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.8.</w:t>
        <w:tab/>
        <w:t xml:space="preserve">Pirmā iela 42A, Ādažos - objekta potenciālā attīstība.</w:t>
      </w:r>
    </w:p>
    <w:p w:rsidR="00000000" w:rsidDel="00000000" w:rsidP="00000000" w:rsidRDefault="00000000" w:rsidRPr="00000000" w14:paraId="00000024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60" w:lineRule="auto"/>
        <w:ind w:left="1170" w:hanging="117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6"/>
      <w:numFmt w:val="decimal"/>
      <w:lvlText w:val="%1."/>
      <w:lvlJc w:val="left"/>
      <w:pPr>
        <w:ind w:left="360" w:hanging="360"/>
      </w:pPr>
      <w:rPr/>
    </w:lvl>
    <w:lvl w:ilvl="1">
      <w:start w:val="3"/>
      <w:numFmt w:val="decimal"/>
      <w:lvlText w:val="%1.%2."/>
      <w:lvlJc w:val="left"/>
      <w:pPr>
        <w:ind w:left="900" w:hanging="36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340" w:hanging="720"/>
      </w:pPr>
      <w:rPr/>
    </w:lvl>
    <w:lvl w:ilvl="4">
      <w:start w:val="1"/>
      <w:numFmt w:val="decimal"/>
      <w:lvlText w:val="%1.%2.%3.%4.%5."/>
      <w:lvlJc w:val="left"/>
      <w:pPr>
        <w:ind w:left="3240" w:hanging="1080"/>
      </w:pPr>
      <w:rPr/>
    </w:lvl>
    <w:lvl w:ilvl="5">
      <w:start w:val="1"/>
      <w:numFmt w:val="decimal"/>
      <w:lvlText w:val="%1.%2.%3.%4.%5.%6."/>
      <w:lvlJc w:val="left"/>
      <w:pPr>
        <w:ind w:left="3780" w:hanging="1080"/>
      </w:pPr>
      <w:rPr/>
    </w:lvl>
    <w:lvl w:ilvl="6">
      <w:start w:val="1"/>
      <w:numFmt w:val="decimal"/>
      <w:lvlText w:val="%1.%2.%3.%4.%5.%6.%7."/>
      <w:lvlJc w:val="left"/>
      <w:pPr>
        <w:ind w:left="4680" w:hanging="1440"/>
      </w:pPr>
      <w:rPr/>
    </w:lvl>
    <w:lvl w:ilvl="7">
      <w:start w:val="1"/>
      <w:numFmt w:val="decimal"/>
      <w:lvlText w:val="%1.%2.%3.%4.%5.%6.%7.%8."/>
      <w:lvlJc w:val="left"/>
      <w:pPr>
        <w:ind w:left="5220" w:hanging="1440"/>
      </w:pPr>
      <w:rPr/>
    </w:lvl>
    <w:lvl w:ilvl="8">
      <w:start w:val="1"/>
      <w:numFmt w:val="decimal"/>
      <w:lvlText w:val="%1.%2.%3.%4.%5.%6.%7.%8.%9."/>
      <w:lvlJc w:val="left"/>
      <w:pPr>
        <w:ind w:left="6120" w:hanging="1800"/>
      </w:pPr>
      <w:rPr/>
    </w:lvl>
  </w:abstractNum>
  <w:abstractNum w:abstractNumId="3">
    <w:lvl w:ilvl="0">
      <w:start w:val="7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440" w:hanging="720"/>
      </w:pPr>
      <w:rPr/>
    </w:lvl>
    <w:lvl w:ilvl="3">
      <w:start w:val="1"/>
      <w:numFmt w:val="decimal"/>
      <w:lvlText w:val="%1.%2.%3.%4."/>
      <w:lvlJc w:val="left"/>
      <w:pPr>
        <w:ind w:left="1800" w:hanging="720"/>
      </w:pPr>
      <w:rPr/>
    </w:lvl>
    <w:lvl w:ilvl="4">
      <w:start w:val="1"/>
      <w:numFmt w:val="decimal"/>
      <w:lvlText w:val="%1.%2.%3.%4.%5."/>
      <w:lvlJc w:val="left"/>
      <w:pPr>
        <w:ind w:left="2520" w:hanging="1080"/>
      </w:pPr>
      <w:rPr/>
    </w:lvl>
    <w:lvl w:ilvl="5">
      <w:start w:val="1"/>
      <w:numFmt w:val="decimal"/>
      <w:lvlText w:val="%1.%2.%3.%4.%5.%6."/>
      <w:lvlJc w:val="left"/>
      <w:pPr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ind w:left="468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16246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16246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6246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6246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6246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62461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6246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6246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6246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62461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lv-LV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62461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lv-LV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62461"/>
    <w:rPr>
      <w:rFonts w:cstheme="majorBidi" w:eastAsiaTheme="majorEastAsia"/>
      <w:color w:val="0f4761" w:themeColor="accent1" w:themeShade="0000BF"/>
      <w:sz w:val="28"/>
      <w:szCs w:val="28"/>
      <w:lang w:val="lv-LV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62461"/>
    <w:rPr>
      <w:rFonts w:cstheme="majorBidi" w:eastAsiaTheme="majorEastAsia"/>
      <w:i w:val="1"/>
      <w:iCs w:val="1"/>
      <w:color w:val="0f4761" w:themeColor="accent1" w:themeShade="0000BF"/>
      <w:lang w:val="lv-LV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62461"/>
    <w:rPr>
      <w:rFonts w:cstheme="majorBidi" w:eastAsiaTheme="majorEastAsia"/>
      <w:color w:val="0f4761" w:themeColor="accent1" w:themeShade="0000BF"/>
      <w:lang w:val="lv-LV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62461"/>
    <w:rPr>
      <w:rFonts w:cstheme="majorBidi" w:eastAsiaTheme="majorEastAsia"/>
      <w:i w:val="1"/>
      <w:iCs w:val="1"/>
      <w:color w:val="595959" w:themeColor="text1" w:themeTint="0000A6"/>
      <w:lang w:val="lv-LV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62461"/>
    <w:rPr>
      <w:rFonts w:cstheme="majorBidi" w:eastAsiaTheme="majorEastAsia"/>
      <w:color w:val="595959" w:themeColor="text1" w:themeTint="0000A6"/>
      <w:lang w:val="lv-LV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62461"/>
    <w:rPr>
      <w:rFonts w:cstheme="majorBidi" w:eastAsiaTheme="majorEastAsia"/>
      <w:i w:val="1"/>
      <w:iCs w:val="1"/>
      <w:color w:val="272727" w:themeColor="text1" w:themeTint="0000D8"/>
      <w:lang w:val="lv-LV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62461"/>
    <w:rPr>
      <w:rFonts w:cstheme="majorBidi" w:eastAsiaTheme="majorEastAsia"/>
      <w:color w:val="272727" w:themeColor="text1" w:themeTint="0000D8"/>
      <w:lang w:val="lv-LV"/>
    </w:rPr>
  </w:style>
  <w:style w:type="paragraph" w:styleId="Title">
    <w:name w:val="Title"/>
    <w:basedOn w:val="Normal"/>
    <w:next w:val="Normal"/>
    <w:link w:val="TitleChar"/>
    <w:uiPriority w:val="10"/>
    <w:qFormat w:val="1"/>
    <w:rsid w:val="00162461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2461"/>
    <w:rPr>
      <w:rFonts w:asciiTheme="majorHAnsi" w:cstheme="majorBidi" w:eastAsiaTheme="majorEastAsia" w:hAnsiTheme="majorHAns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62461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2461"/>
    <w:rPr>
      <w:rFonts w:cstheme="majorBidi" w:eastAsiaTheme="majorEastAsia"/>
      <w:color w:val="595959" w:themeColor="text1" w:themeTint="0000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6246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62461"/>
    <w:rPr>
      <w:i w:val="1"/>
      <w:iCs w:val="1"/>
      <w:color w:val="404040" w:themeColor="text1" w:themeTint="0000BF"/>
      <w:lang w:val="lv-LV"/>
    </w:rPr>
  </w:style>
  <w:style w:type="paragraph" w:styleId="ListParagraph">
    <w:name w:val="List Paragraph"/>
    <w:basedOn w:val="Normal"/>
    <w:uiPriority w:val="34"/>
    <w:qFormat w:val="1"/>
    <w:rsid w:val="001624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624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624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2461"/>
    <w:rPr>
      <w:i w:val="1"/>
      <w:iCs w:val="1"/>
      <w:color w:val="0f4761" w:themeColor="accent1" w:themeShade="0000BF"/>
      <w:lang w:val="lv-LV"/>
    </w:rPr>
  </w:style>
  <w:style w:type="character" w:styleId="IntenseReference">
    <w:name w:val="Intense Reference"/>
    <w:basedOn w:val="DefaultParagraphFont"/>
    <w:uiPriority w:val="32"/>
    <w:qFormat w:val="1"/>
    <w:rsid w:val="0016246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162461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val="en-US"/>
    </w:rPr>
  </w:style>
  <w:style w:type="character" w:styleId="apple-tab-span" w:customStyle="1">
    <w:name w:val="apple-tab-span"/>
    <w:basedOn w:val="DefaultParagraphFont"/>
    <w:rsid w:val="00162461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rt4OZMrsZPaTQpJRWFz7m9CoVg==">CgMxLjA4AHIhMS1heHh4eWVmM05WUWZ4VWpBQlZJOWdwbnNXYXRRSjFY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2025-02-17T10:23:00Z</dcterms:created>
  <dc:creator>Alziņa Irīna</dc:creator>
</cp:coreProperties>
</file>