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7A0B3" w14:textId="77777777" w:rsidR="004D516C" w:rsidRPr="00C4032E" w:rsidRDefault="00C051EE" w:rsidP="00564CA6">
      <w:pPr>
        <w:rPr>
          <w:rFonts w:ascii="Times New Roman" w:hAnsi="Times New Roman" w:cs="Times New Roman"/>
        </w:rPr>
      </w:pPr>
      <w:r w:rsidRPr="00C4032E">
        <w:rPr>
          <w:rFonts w:ascii="Times New Roman" w:hAnsi="Times New Roman" w:cs="Times New Roman"/>
          <w:noProof/>
        </w:rPr>
        <w:drawing>
          <wp:inline distT="0" distB="0" distL="0" distR="0" wp14:anchorId="4C511CBE" wp14:editId="5EC8919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07CED04" w14:textId="77777777" w:rsidR="00564CA6" w:rsidRPr="00627788" w:rsidRDefault="00C051EE" w:rsidP="00195A73">
      <w:pPr>
        <w:tabs>
          <w:tab w:val="center" w:pos="4535"/>
          <w:tab w:val="left" w:pos="7116"/>
        </w:tabs>
        <w:rPr>
          <w:rFonts w:ascii="Times New Roman" w:hAnsi="Times New Roman" w:cs="Times New Roman"/>
          <w:noProof/>
          <w:sz w:val="28"/>
          <w:szCs w:val="28"/>
        </w:rPr>
      </w:pPr>
      <w:r w:rsidRPr="00C4032E">
        <w:rPr>
          <w:rFonts w:ascii="Times New Roman" w:hAnsi="Times New Roman" w:cs="Times New Roman"/>
          <w:noProof/>
        </w:rPr>
        <w:tab/>
      </w:r>
      <w:r w:rsidRPr="00627788">
        <w:rPr>
          <w:rFonts w:ascii="Times New Roman" w:hAnsi="Times New Roman" w:cs="Times New Roman"/>
          <w:noProof/>
          <w:sz w:val="28"/>
          <w:szCs w:val="28"/>
        </w:rPr>
        <w:t>LĒMUMS</w:t>
      </w:r>
      <w:r w:rsidRPr="00627788">
        <w:rPr>
          <w:rFonts w:ascii="Times New Roman" w:hAnsi="Times New Roman" w:cs="Times New Roman"/>
          <w:noProof/>
          <w:sz w:val="28"/>
          <w:szCs w:val="28"/>
        </w:rPr>
        <w:tab/>
      </w:r>
    </w:p>
    <w:p w14:paraId="239D5AD7" w14:textId="77777777" w:rsidR="00564CA6" w:rsidRPr="00C4032E" w:rsidRDefault="00C051EE" w:rsidP="00564CA6">
      <w:pPr>
        <w:jc w:val="center"/>
        <w:rPr>
          <w:rFonts w:ascii="Times New Roman" w:hAnsi="Times New Roman" w:cs="Times New Roman"/>
          <w:noProof/>
        </w:rPr>
      </w:pPr>
      <w:r w:rsidRPr="00C4032E">
        <w:rPr>
          <w:rFonts w:ascii="Times New Roman" w:hAnsi="Times New Roman" w:cs="Times New Roman"/>
          <w:noProof/>
        </w:rPr>
        <w:t>Ādažos, Ādažu novadā</w:t>
      </w:r>
    </w:p>
    <w:p w14:paraId="66B2C045" w14:textId="77777777" w:rsidR="00564CA6" w:rsidRPr="00C4032E" w:rsidRDefault="00C051EE" w:rsidP="00564CA6">
      <w:pPr>
        <w:rPr>
          <w:rFonts w:ascii="Times New Roman" w:hAnsi="Times New Roman" w:cs="Times New Roman"/>
        </w:rPr>
      </w:pPr>
      <w:r w:rsidRPr="00C4032E">
        <w:rPr>
          <w:rFonts w:ascii="Times New Roman" w:hAnsi="Times New Roman" w:cs="Times New Roman"/>
          <w:noProof/>
        </w:rPr>
        <w:tab/>
      </w:r>
      <w:r w:rsidRPr="00C4032E">
        <w:rPr>
          <w:rFonts w:ascii="Times New Roman" w:hAnsi="Times New Roman" w:cs="Times New Roman"/>
          <w:noProof/>
        </w:rPr>
        <w:tab/>
      </w:r>
      <w:r w:rsidRPr="00C4032E">
        <w:rPr>
          <w:rFonts w:ascii="Times New Roman" w:hAnsi="Times New Roman" w:cs="Times New Roman"/>
          <w:noProof/>
        </w:rPr>
        <w:tab/>
      </w:r>
      <w:r w:rsidRPr="00C4032E">
        <w:rPr>
          <w:rFonts w:ascii="Times New Roman" w:hAnsi="Times New Roman" w:cs="Times New Roman"/>
          <w:noProof/>
        </w:rPr>
        <w:tab/>
      </w:r>
    </w:p>
    <w:p w14:paraId="728712EC" w14:textId="77777777" w:rsidR="00564CA6" w:rsidRPr="00C4032E" w:rsidRDefault="00C051EE" w:rsidP="00564CA6">
      <w:pPr>
        <w:rPr>
          <w:rFonts w:ascii="Times New Roman" w:hAnsi="Times New Roman" w:cs="Times New Roman"/>
          <w:b/>
        </w:rPr>
      </w:pPr>
      <w:r w:rsidRPr="00C4032E">
        <w:rPr>
          <w:rFonts w:ascii="Times New Roman" w:hAnsi="Times New Roman" w:cs="Times New Roman"/>
        </w:rPr>
        <w:t>202</w:t>
      </w:r>
      <w:r w:rsidR="00C4032E" w:rsidRPr="00C4032E">
        <w:rPr>
          <w:rFonts w:ascii="Times New Roman" w:hAnsi="Times New Roman" w:cs="Times New Roman"/>
        </w:rPr>
        <w:t>4</w:t>
      </w:r>
      <w:r w:rsidRPr="00C4032E">
        <w:rPr>
          <w:rFonts w:ascii="Times New Roman" w:hAnsi="Times New Roman" w:cs="Times New Roman"/>
        </w:rPr>
        <w:t xml:space="preserve">. gada </w:t>
      </w:r>
      <w:r w:rsidR="00C4032E" w:rsidRPr="00C4032E">
        <w:rPr>
          <w:rFonts w:ascii="Times New Roman" w:hAnsi="Times New Roman" w:cs="Times New Roman"/>
        </w:rPr>
        <w:t>27.</w:t>
      </w:r>
      <w:r w:rsidR="00627788">
        <w:rPr>
          <w:rFonts w:ascii="Times New Roman" w:hAnsi="Times New Roman" w:cs="Times New Roman"/>
        </w:rPr>
        <w:t xml:space="preserve"> </w:t>
      </w:r>
      <w:r w:rsidR="00C4032E" w:rsidRPr="00C4032E">
        <w:rPr>
          <w:rFonts w:ascii="Times New Roman" w:hAnsi="Times New Roman" w:cs="Times New Roman"/>
        </w:rPr>
        <w:t>decembrī</w:t>
      </w:r>
      <w:r w:rsidRPr="00C4032E">
        <w:rPr>
          <w:rFonts w:ascii="Times New Roman" w:hAnsi="Times New Roman" w:cs="Times New Roman"/>
        </w:rPr>
        <w:t xml:space="preserve"> </w:t>
      </w:r>
      <w:r w:rsidRPr="00C4032E">
        <w:rPr>
          <w:rFonts w:ascii="Times New Roman" w:hAnsi="Times New Roman" w:cs="Times New Roman"/>
        </w:rPr>
        <w:tab/>
      </w:r>
      <w:r w:rsidRPr="00C4032E">
        <w:rPr>
          <w:rFonts w:ascii="Times New Roman" w:hAnsi="Times New Roman" w:cs="Times New Roman"/>
        </w:rPr>
        <w:tab/>
      </w:r>
      <w:r w:rsidRPr="00C4032E">
        <w:rPr>
          <w:rFonts w:ascii="Times New Roman" w:hAnsi="Times New Roman" w:cs="Times New Roman"/>
        </w:rPr>
        <w:tab/>
      </w:r>
      <w:r w:rsidRPr="00C4032E">
        <w:rPr>
          <w:rFonts w:ascii="Times New Roman" w:hAnsi="Times New Roman" w:cs="Times New Roman"/>
        </w:rPr>
        <w:tab/>
      </w:r>
      <w:r w:rsidRPr="00C4032E">
        <w:rPr>
          <w:rFonts w:ascii="Times New Roman" w:hAnsi="Times New Roman" w:cs="Times New Roman"/>
        </w:rPr>
        <w:tab/>
      </w:r>
      <w:r w:rsidR="00627788">
        <w:rPr>
          <w:rFonts w:ascii="Times New Roman" w:hAnsi="Times New Roman" w:cs="Times New Roman"/>
        </w:rPr>
        <w:tab/>
      </w:r>
      <w:r w:rsidR="00627788">
        <w:rPr>
          <w:rFonts w:ascii="Times New Roman" w:hAnsi="Times New Roman" w:cs="Times New Roman"/>
        </w:rPr>
        <w:tab/>
      </w:r>
      <w:r w:rsidR="00627788">
        <w:rPr>
          <w:rFonts w:ascii="Times New Roman" w:hAnsi="Times New Roman" w:cs="Times New Roman"/>
        </w:rPr>
        <w:tab/>
      </w:r>
      <w:r w:rsidRPr="00C4032E">
        <w:rPr>
          <w:rFonts w:ascii="Times New Roman" w:hAnsi="Times New Roman" w:cs="Times New Roman"/>
          <w:b/>
        </w:rPr>
        <w:t>Nr.</w:t>
      </w:r>
      <w:r w:rsidR="00627788">
        <w:rPr>
          <w:rFonts w:ascii="Times New Roman" w:hAnsi="Times New Roman" w:cs="Times New Roman"/>
          <w:noProof/>
        </w:rPr>
        <w:t xml:space="preserve"> </w:t>
      </w:r>
      <w:r w:rsidRPr="00627788">
        <w:rPr>
          <w:rFonts w:ascii="Times New Roman" w:hAnsi="Times New Roman" w:cs="Times New Roman"/>
          <w:b/>
          <w:bCs/>
          <w:noProof/>
        </w:rPr>
        <w:t>494</w:t>
      </w:r>
    </w:p>
    <w:p w14:paraId="42EDCB3D" w14:textId="77777777" w:rsidR="00564CA6" w:rsidRPr="00C4032E" w:rsidRDefault="00564CA6" w:rsidP="00564CA6">
      <w:pPr>
        <w:rPr>
          <w:rFonts w:ascii="Times New Roman" w:hAnsi="Times New Roman" w:cs="Times New Roman"/>
        </w:rPr>
      </w:pPr>
    </w:p>
    <w:p w14:paraId="379AC564" w14:textId="77777777" w:rsidR="00564CA6" w:rsidRPr="00C4032E" w:rsidRDefault="00C051EE" w:rsidP="00C4032E">
      <w:pPr>
        <w:jc w:val="center"/>
        <w:rPr>
          <w:rFonts w:ascii="Times New Roman" w:hAnsi="Times New Roman" w:cs="Times New Roman"/>
          <w:b/>
        </w:rPr>
      </w:pPr>
      <w:r w:rsidRPr="00C4032E">
        <w:rPr>
          <w:rFonts w:ascii="Times New Roman" w:hAnsi="Times New Roman" w:cs="Times New Roman"/>
          <w:b/>
        </w:rPr>
        <w:t>Par saistošo noteikumu “Par Ādažu novada domes 2018. gada 27. marta saistošo noteikumu Nr. 7/2018 “Ādažu novada teritorijas plānojuma grafiskā daļa un teritorijas izmantošanas un apbūves noteikumi” atzīšanu par spēku zaudējušiem daļā (grafiskās daļas kartē “Ādažu novada funkcionālā zonējuma karte” noteikto plānoto ielu sarkano līniju atcelšana daļā)</w:t>
      </w:r>
    </w:p>
    <w:p w14:paraId="47936C30" w14:textId="77777777" w:rsidR="00C4032E" w:rsidRPr="00C4032E" w:rsidRDefault="00C4032E" w:rsidP="00C4032E">
      <w:pPr>
        <w:jc w:val="center"/>
        <w:rPr>
          <w:rFonts w:ascii="Times New Roman" w:hAnsi="Times New Roman" w:cs="Times New Roman"/>
          <w:b/>
          <w:i/>
          <w:color w:val="FF0000"/>
        </w:rPr>
      </w:pPr>
    </w:p>
    <w:p w14:paraId="7DAA45A0" w14:textId="77777777" w:rsidR="00C4032E" w:rsidRPr="00C4032E" w:rsidRDefault="00C051EE" w:rsidP="00C4032E">
      <w:pPr>
        <w:spacing w:after="120"/>
        <w:ind w:right="41"/>
        <w:jc w:val="both"/>
        <w:rPr>
          <w:rFonts w:ascii="Times New Roman" w:hAnsi="Times New Roman" w:cs="Times New Roman"/>
        </w:rPr>
      </w:pPr>
      <w:r>
        <w:rPr>
          <w:rFonts w:ascii="Times New Roman" w:hAnsi="Times New Roman" w:cs="Times New Roman"/>
        </w:rPr>
        <w:t>Ādažu novada p</w:t>
      </w:r>
      <w:r w:rsidRPr="00C4032E">
        <w:rPr>
          <w:rFonts w:ascii="Times New Roman" w:hAnsi="Times New Roman" w:cs="Times New Roman"/>
        </w:rPr>
        <w:t>ašvaldības</w:t>
      </w:r>
      <w:r w:rsidR="00CB33F4">
        <w:rPr>
          <w:rFonts w:ascii="Times New Roman" w:hAnsi="Times New Roman" w:cs="Times New Roman"/>
        </w:rPr>
        <w:t xml:space="preserve"> (turpmāk – Pašvaldība)</w:t>
      </w:r>
      <w:r w:rsidRPr="00C4032E">
        <w:rPr>
          <w:rFonts w:ascii="Times New Roman" w:hAnsi="Times New Roman" w:cs="Times New Roman"/>
        </w:rPr>
        <w:t xml:space="preserve"> dome 2022. gada 23. novembrī pieņēma lēmumu Nr. 558 “Par Ādažu novada teritorijas plānojuma izstrādes uzsākšanu” saskaņā ar ko uzsākta Ādažu novada teritorijas plānojuma 2025.-2037. gadam izstrāde un apstiprināts darba uzdevums (turpmāk – darba uzdevums). </w:t>
      </w:r>
    </w:p>
    <w:p w14:paraId="083E0350" w14:textId="77777777" w:rsidR="00C4032E" w:rsidRPr="00C4032E" w:rsidRDefault="00C051EE" w:rsidP="00C4032E">
      <w:pPr>
        <w:spacing w:after="120"/>
        <w:ind w:right="41"/>
        <w:jc w:val="both"/>
        <w:rPr>
          <w:rFonts w:ascii="Times New Roman" w:hAnsi="Times New Roman" w:cs="Times New Roman"/>
        </w:rPr>
      </w:pPr>
      <w:r w:rsidRPr="00C4032E">
        <w:rPr>
          <w:rFonts w:ascii="Times New Roman" w:hAnsi="Times New Roman" w:cs="Times New Roman"/>
        </w:rPr>
        <w:t xml:space="preserve">Saskaņā ar Teritorijas attīstības plānošanas likuma 3. pantā nostiprināto pēctecības principu un  Ministru kabineta </w:t>
      </w:r>
      <w:r w:rsidRPr="00C4032E">
        <w:rPr>
          <w:rFonts w:ascii="Times New Roman" w:hAnsi="Times New Roman" w:cs="Times New Roman"/>
          <w:bCs/>
        </w:rPr>
        <w:t xml:space="preserve">2014. gada 14. oktobra </w:t>
      </w:r>
      <w:r w:rsidRPr="00C4032E">
        <w:rPr>
          <w:rFonts w:ascii="Times New Roman" w:hAnsi="Times New Roman" w:cs="Times New Roman"/>
        </w:rPr>
        <w:t xml:space="preserve">noteikumu Nr. 628 “Noteikumi par pašvaldību teritorijas attīstības plānošanas dokumentiem” 29. punktu, uzsākot teritorijas plānojuma vai </w:t>
      </w:r>
      <w:proofErr w:type="spellStart"/>
      <w:r w:rsidRPr="00C4032E">
        <w:rPr>
          <w:rFonts w:ascii="Times New Roman" w:hAnsi="Times New Roman" w:cs="Times New Roman"/>
        </w:rPr>
        <w:t>lokālplānojuma</w:t>
      </w:r>
      <w:proofErr w:type="spellEnd"/>
      <w:r w:rsidRPr="00C4032E">
        <w:rPr>
          <w:rFonts w:ascii="Times New Roman" w:hAnsi="Times New Roman" w:cs="Times New Roman"/>
        </w:rPr>
        <w:t xml:space="preserve"> izstrādi ir jāveic spēkā esošo detālplānojumu izvērtēšana – </w:t>
      </w:r>
      <w:proofErr w:type="spellStart"/>
      <w:r w:rsidRPr="00C4032E">
        <w:rPr>
          <w:rFonts w:ascii="Times New Roman" w:hAnsi="Times New Roman" w:cs="Times New Roman"/>
        </w:rPr>
        <w:t>izvērtējums</w:t>
      </w:r>
      <w:proofErr w:type="spellEnd"/>
      <w:r w:rsidRPr="00C4032E">
        <w:rPr>
          <w:rFonts w:ascii="Times New Roman" w:hAnsi="Times New Roman" w:cs="Times New Roman"/>
        </w:rPr>
        <w:t xml:space="preserve"> ietverams teritorijas plānojuma vai </w:t>
      </w:r>
      <w:proofErr w:type="spellStart"/>
      <w:r w:rsidRPr="00C4032E">
        <w:rPr>
          <w:rFonts w:ascii="Times New Roman" w:hAnsi="Times New Roman" w:cs="Times New Roman"/>
        </w:rPr>
        <w:t>lokālplānojuma</w:t>
      </w:r>
      <w:proofErr w:type="spellEnd"/>
      <w:r w:rsidRPr="00C4032E">
        <w:rPr>
          <w:rFonts w:ascii="Times New Roman" w:hAnsi="Times New Roman" w:cs="Times New Roman"/>
        </w:rPr>
        <w:t xml:space="preserve"> paskaidrojuma rakstā.</w:t>
      </w:r>
    </w:p>
    <w:p w14:paraId="4E11D506" w14:textId="77777777" w:rsidR="00C4032E" w:rsidRPr="00C4032E" w:rsidRDefault="00C051EE" w:rsidP="00C4032E">
      <w:pPr>
        <w:spacing w:after="120"/>
        <w:ind w:right="41"/>
        <w:jc w:val="both"/>
        <w:rPr>
          <w:rFonts w:ascii="Times New Roman" w:hAnsi="Times New Roman" w:cs="Times New Roman"/>
        </w:rPr>
      </w:pPr>
      <w:r w:rsidRPr="00C4032E">
        <w:rPr>
          <w:rFonts w:ascii="Times New Roman" w:hAnsi="Times New Roman" w:cs="Times New Roman"/>
        </w:rPr>
        <w:t xml:space="preserve">Atbilstoši darba uzdevuma 4.3. apakšpunktam, veicot detālplānojumu izvērtēšanu spēkā esošo detālplānojumu teritorijā esošo nekustamo īpašumu īpašniekiem </w:t>
      </w:r>
      <w:r w:rsidR="00CB33F4">
        <w:rPr>
          <w:rFonts w:ascii="Times New Roman" w:hAnsi="Times New Roman" w:cs="Times New Roman"/>
        </w:rPr>
        <w:t>P</w:t>
      </w:r>
      <w:r w:rsidRPr="00C4032E">
        <w:rPr>
          <w:rFonts w:ascii="Times New Roman" w:hAnsi="Times New Roman" w:cs="Times New Roman"/>
        </w:rPr>
        <w:t>ašvaldība 2023.gada aprīlī nosūtīja vēstules ar lūgumu sniegt viedokli par detālplānojuma īstenošanas turpināšanu vai atcelšanu.</w:t>
      </w:r>
    </w:p>
    <w:p w14:paraId="1D263387" w14:textId="77777777" w:rsidR="00C4032E" w:rsidRPr="00C4032E" w:rsidRDefault="00C051EE" w:rsidP="00C4032E">
      <w:pPr>
        <w:spacing w:after="120"/>
        <w:ind w:right="41"/>
        <w:jc w:val="both"/>
        <w:rPr>
          <w:rFonts w:ascii="Times New Roman" w:hAnsi="Times New Roman" w:cs="Times New Roman"/>
        </w:rPr>
      </w:pPr>
      <w:r w:rsidRPr="00C4032E">
        <w:rPr>
          <w:rFonts w:ascii="Times New Roman" w:hAnsi="Times New Roman" w:cs="Times New Roman"/>
        </w:rPr>
        <w:t xml:space="preserve">Ņemot vērā īpašnieku sniegtās atbildes un pamatojoties uz </w:t>
      </w:r>
      <w:bookmarkStart w:id="0" w:name="_Hlk149894280"/>
      <w:r w:rsidRPr="00C4032E">
        <w:rPr>
          <w:rFonts w:ascii="Times New Roman" w:hAnsi="Times New Roman" w:cs="Times New Roman"/>
        </w:rPr>
        <w:t xml:space="preserve">spēkā esošā </w:t>
      </w:r>
      <w:r w:rsidRPr="00C4032E">
        <w:rPr>
          <w:rFonts w:ascii="Times New Roman" w:hAnsi="Times New Roman" w:cs="Times New Roman"/>
          <w:bCs/>
        </w:rPr>
        <w:t>Ādažu novada teritorijas plānojuma</w:t>
      </w:r>
      <w:bookmarkEnd w:id="0"/>
      <w:r w:rsidRPr="00C4032E">
        <w:rPr>
          <w:rFonts w:ascii="Times New Roman" w:hAnsi="Times New Roman" w:cs="Times New Roman"/>
          <w:bCs/>
        </w:rPr>
        <w:t xml:space="preserve"> (turpmāk – teritorijas plānojums) Teritorijas izmantošanas un apbūves noteikumu (apstiprināti ar Ādažu novada domes 2018. gada 27. marta saistošajiem noteikumiem Nr. 7 “Ādažu novada teritorijas plānojuma grafiskā daļa un teritorijas izmantošanas un apbūves noteikumi”, kas grozīti ar 2021. gada 23. marta saistošajiem noteikumiem Nr. 12/2021</w:t>
      </w:r>
      <w:r w:rsidR="00CB33F4">
        <w:rPr>
          <w:rFonts w:ascii="Times New Roman" w:hAnsi="Times New Roman" w:cs="Times New Roman"/>
          <w:bCs/>
        </w:rPr>
        <w:t xml:space="preserve"> un atzīti par spēkā neesošiem daļā ar 2023. gada 23. novembra saistošajiem noteikumiem Nr.46/2023</w:t>
      </w:r>
      <w:r w:rsidRPr="00C4032E">
        <w:rPr>
          <w:rFonts w:ascii="Times New Roman" w:hAnsi="Times New Roman" w:cs="Times New Roman"/>
          <w:bCs/>
        </w:rPr>
        <w:t>) 1064. punktu, kas noteic, ka, ja piecu gadu laikā pēc teritorijas plānojuma stāšanās spēkā dienas šai punktā minēto detālplānojuma īstenošana nav uzsākta, pašvaldībai ir tiesības pieņemt lēmumu par detālplānojuma atcelšanu,</w:t>
      </w:r>
      <w:r w:rsidRPr="00C4032E">
        <w:rPr>
          <w:rFonts w:ascii="Times New Roman" w:hAnsi="Times New Roman" w:cs="Times New Roman"/>
        </w:rPr>
        <w:t xml:space="preserve"> pašvaldības dome ir pieņēmusi vairākus lēmumus par detālplānojumu, </w:t>
      </w:r>
      <w:r w:rsidR="00CB33F4" w:rsidRPr="00C4032E">
        <w:rPr>
          <w:rFonts w:ascii="Times New Roman" w:hAnsi="Times New Roman" w:cs="Times New Roman"/>
        </w:rPr>
        <w:t>k</w:t>
      </w:r>
      <w:r w:rsidR="00CB33F4">
        <w:rPr>
          <w:rFonts w:ascii="Times New Roman" w:hAnsi="Times New Roman" w:cs="Times New Roman"/>
        </w:rPr>
        <w:t>uru</w:t>
      </w:r>
      <w:r w:rsidR="00CB33F4" w:rsidRPr="00C4032E">
        <w:rPr>
          <w:rFonts w:ascii="Times New Roman" w:hAnsi="Times New Roman" w:cs="Times New Roman"/>
        </w:rPr>
        <w:t xml:space="preserve"> </w:t>
      </w:r>
      <w:r w:rsidRPr="00C4032E">
        <w:rPr>
          <w:rFonts w:ascii="Times New Roman" w:hAnsi="Times New Roman" w:cs="Times New Roman"/>
        </w:rPr>
        <w:t>īstenošana nav uzsākta, atzīšanu par spēkā neesošiem, izdodot attiecīgus saistošos noteikumus.</w:t>
      </w:r>
    </w:p>
    <w:p w14:paraId="5D938E8B" w14:textId="77777777" w:rsidR="00C4032E" w:rsidRPr="00C4032E" w:rsidRDefault="00C051EE" w:rsidP="00C4032E">
      <w:pPr>
        <w:pStyle w:val="ListParagraph"/>
        <w:spacing w:after="120"/>
        <w:ind w:left="0" w:right="41"/>
        <w:contextualSpacing w:val="0"/>
        <w:jc w:val="both"/>
        <w:rPr>
          <w:szCs w:val="24"/>
        </w:rPr>
      </w:pPr>
      <w:r w:rsidRPr="00C4032E">
        <w:rPr>
          <w:szCs w:val="24"/>
        </w:rPr>
        <w:t>Atceltajos detālplānojumos atbilstoši to risinājumiem tika noteiktas arī plānoto ielu sarkanās līnijas.</w:t>
      </w:r>
    </w:p>
    <w:p w14:paraId="00D055CC" w14:textId="77777777" w:rsidR="00C4032E" w:rsidRPr="00C4032E" w:rsidRDefault="00C051EE" w:rsidP="00C4032E">
      <w:pPr>
        <w:spacing w:after="120"/>
        <w:ind w:right="41"/>
        <w:jc w:val="both"/>
        <w:rPr>
          <w:rFonts w:ascii="Times New Roman" w:hAnsi="Times New Roman" w:cs="Times New Roman"/>
        </w:rPr>
      </w:pPr>
      <w:r w:rsidRPr="00C4032E">
        <w:rPr>
          <w:rFonts w:ascii="Times New Roman" w:hAnsi="Times New Roman" w:cs="Times New Roman"/>
        </w:rPr>
        <w:t>Saskaņā ar Aizsargjoslu likuma 1. panta pirmās daļas 13. punktu sarkanā līnija ir līnija, kas norobežo ielas vai piebrauktuves (arī inženierkomunikāciju koridoru) izbūvei nepieciešamo teritoriju, kurā nekustamā īpašuma lietošanas tiesības aprobežotas saskaņā ar normatīvajiem aktiem, no apbūvējamās vai citādā veidā izmantojamās teritorijas un to pilsētās un ciemos nosaka vietējā pašvaldība normatīvajos aktos noteiktajā kārtībā.</w:t>
      </w:r>
    </w:p>
    <w:p w14:paraId="53782AC8" w14:textId="77777777" w:rsidR="00C4032E" w:rsidRPr="00C4032E" w:rsidRDefault="00C051EE" w:rsidP="00C4032E">
      <w:pPr>
        <w:spacing w:after="120"/>
        <w:ind w:right="41"/>
        <w:jc w:val="both"/>
        <w:rPr>
          <w:rFonts w:ascii="Times New Roman" w:hAnsi="Times New Roman" w:cs="Times New Roman"/>
        </w:rPr>
      </w:pPr>
      <w:r w:rsidRPr="00C4032E">
        <w:rPr>
          <w:rFonts w:ascii="Times New Roman" w:hAnsi="Times New Roman" w:cs="Times New Roman"/>
        </w:rPr>
        <w:lastRenderedPageBreak/>
        <w:t xml:space="preserve">Saskaņā ar Ministru kabineta 2013. gada 30. aprīļa noteikumu Nr. 240 “Vispārīgie teritorijas plānošanas, izmantošanas un apbūves noteikumi” 90. punktu esošo un plānoto ielu sarkanās līnijas nosaka teritorijas plānojuma vai </w:t>
      </w:r>
      <w:proofErr w:type="spellStart"/>
      <w:r w:rsidRPr="00C4032E">
        <w:rPr>
          <w:rFonts w:ascii="Times New Roman" w:hAnsi="Times New Roman" w:cs="Times New Roman"/>
        </w:rPr>
        <w:t>lokālplānojuma</w:t>
      </w:r>
      <w:proofErr w:type="spellEnd"/>
      <w:r w:rsidRPr="00C4032E">
        <w:rPr>
          <w:rFonts w:ascii="Times New Roman" w:hAnsi="Times New Roman" w:cs="Times New Roman"/>
        </w:rPr>
        <w:t xml:space="preserve"> apbūves noteikumos vai detālplānojuma teritorijas izmantošanas un apbūves nosacījumos un atkarībā no detalizācijas pakāpes attēlo grafiskajā daļā.</w:t>
      </w:r>
    </w:p>
    <w:p w14:paraId="440E12EC" w14:textId="77777777" w:rsidR="00C4032E" w:rsidRPr="00C4032E" w:rsidRDefault="00C051EE" w:rsidP="00C4032E">
      <w:pPr>
        <w:spacing w:after="120"/>
        <w:ind w:right="41"/>
        <w:jc w:val="both"/>
        <w:rPr>
          <w:rFonts w:ascii="Times New Roman" w:hAnsi="Times New Roman" w:cs="Times New Roman"/>
        </w:rPr>
      </w:pPr>
      <w:r w:rsidRPr="00C4032E">
        <w:rPr>
          <w:rFonts w:ascii="Times New Roman" w:hAnsi="Times New Roman" w:cs="Times New Roman"/>
        </w:rPr>
        <w:t xml:space="preserve">Ar detālplānojumu atcelšanu tiek likvidēti objekti, kuriem noteiktas aizsargjoslas (plānotās ielas), līdz ar to atbilstoši Aizsargjoslu likuma </w:t>
      </w:r>
      <w:bookmarkStart w:id="1" w:name="_Hlk149908343"/>
      <w:r w:rsidRPr="00C4032E">
        <w:rPr>
          <w:rFonts w:ascii="Times New Roman" w:hAnsi="Times New Roman" w:cs="Times New Roman"/>
        </w:rPr>
        <w:t>33. panta sestajai daļai</w:t>
      </w:r>
      <w:bookmarkEnd w:id="1"/>
      <w:r w:rsidRPr="00C4032E">
        <w:rPr>
          <w:rFonts w:ascii="Times New Roman" w:hAnsi="Times New Roman" w:cs="Times New Roman"/>
        </w:rPr>
        <w:t>, nepieciešams likvidēt arī pašas aizsargjoslas (sarkanās līnijas).</w:t>
      </w:r>
    </w:p>
    <w:p w14:paraId="6AF8CBFC" w14:textId="77777777" w:rsidR="00C4032E" w:rsidRPr="00C4032E" w:rsidRDefault="00C051EE" w:rsidP="00C4032E">
      <w:pPr>
        <w:spacing w:after="120"/>
        <w:ind w:right="41"/>
        <w:jc w:val="both"/>
        <w:rPr>
          <w:rFonts w:ascii="Times New Roman" w:hAnsi="Times New Roman" w:cs="Times New Roman"/>
          <w:bCs/>
        </w:rPr>
      </w:pPr>
      <w:r w:rsidRPr="00C4032E">
        <w:rPr>
          <w:rFonts w:ascii="Times New Roman" w:hAnsi="Times New Roman" w:cs="Times New Roman"/>
        </w:rPr>
        <w:t>Tā kā plānoto ielu sarkanās līnijas, kas tika noteiktas ar atceltajiem detālplānojumiem, ir integrētas (ietvertas) arī T</w:t>
      </w:r>
      <w:r w:rsidRPr="00C4032E">
        <w:rPr>
          <w:rFonts w:ascii="Times New Roman" w:hAnsi="Times New Roman" w:cs="Times New Roman"/>
          <w:bCs/>
        </w:rPr>
        <w:t>eritorijas plānojuma grafiskās daļas kartē “Ādažu novada funkcionālā zonējuma karte”, tad ir nepieciešams izdot saistošos noteikumus par Ādažu novada domes 2018. gada 27. marta saistošo noteikumu Nr. 7/2018 “Ādažu novada teritorijas plānojuma grafiskā daļa un teritorijas izmantošanas un apbūves noteikumi” atzīšanu par spēku zaudējušiem daļā – atceļot grafiskās daļas kartē “Ādažu novada funkcionālā zonējuma karte” noteiktās plānotās ielu sarkanās līnijas daļā:</w:t>
      </w:r>
    </w:p>
    <w:p w14:paraId="65B68419" w14:textId="77777777" w:rsidR="00C4032E" w:rsidRPr="00C4032E" w:rsidRDefault="00C051EE" w:rsidP="00C4032E">
      <w:pPr>
        <w:pStyle w:val="ListParagraph"/>
        <w:numPr>
          <w:ilvl w:val="0"/>
          <w:numId w:val="3"/>
        </w:numPr>
        <w:spacing w:after="120"/>
        <w:ind w:left="284" w:hanging="284"/>
        <w:contextualSpacing w:val="0"/>
        <w:jc w:val="both"/>
        <w:rPr>
          <w:bCs/>
          <w:szCs w:val="24"/>
        </w:rPr>
      </w:pPr>
      <w:r w:rsidRPr="00C4032E">
        <w:rPr>
          <w:bCs/>
          <w:szCs w:val="24"/>
        </w:rPr>
        <w:t xml:space="preserve">nekustamā īpašuma “Smiltāji” (kadastra Nr. </w:t>
      </w:r>
      <w:r w:rsidRPr="00C4032E">
        <w:rPr>
          <w:szCs w:val="24"/>
        </w:rPr>
        <w:t>80440020224</w:t>
      </w:r>
      <w:r w:rsidRPr="00C4032E">
        <w:rPr>
          <w:bCs/>
          <w:szCs w:val="24"/>
        </w:rPr>
        <w:t xml:space="preserve">) zemes vienībā ar kadastra apzīmējumu </w:t>
      </w:r>
      <w:r w:rsidRPr="00C4032E">
        <w:rPr>
          <w:szCs w:val="24"/>
        </w:rPr>
        <w:t>80440020224</w:t>
      </w:r>
      <w:r w:rsidRPr="00C4032E">
        <w:rPr>
          <w:bCs/>
          <w:szCs w:val="24"/>
        </w:rPr>
        <w:t xml:space="preserve">, </w:t>
      </w:r>
      <w:r w:rsidRPr="00C4032E">
        <w:rPr>
          <w:szCs w:val="24"/>
        </w:rPr>
        <w:t xml:space="preserve">nekustamā īpašuma “Atpūtnieki” (kadastra Nr. 80440020332) </w:t>
      </w:r>
      <w:r w:rsidRPr="00C4032E">
        <w:rPr>
          <w:bCs/>
          <w:szCs w:val="24"/>
        </w:rPr>
        <w:t>zemes vienīb</w:t>
      </w:r>
      <w:r w:rsidR="00CB33F4">
        <w:rPr>
          <w:bCs/>
          <w:szCs w:val="24"/>
        </w:rPr>
        <w:t>as</w:t>
      </w:r>
      <w:r w:rsidRPr="00C4032E">
        <w:rPr>
          <w:szCs w:val="24"/>
        </w:rPr>
        <w:t xml:space="preserve"> ar kadastra apzīmējumu 80440020332</w:t>
      </w:r>
      <w:r w:rsidR="00CB33F4">
        <w:rPr>
          <w:szCs w:val="24"/>
        </w:rPr>
        <w:t xml:space="preserve"> daļā</w:t>
      </w:r>
      <w:r w:rsidRPr="00C4032E">
        <w:rPr>
          <w:szCs w:val="24"/>
        </w:rPr>
        <w:t xml:space="preserve">, nekustamā īpašuma “Vēži” (kadastra Nr. 80440020170) </w:t>
      </w:r>
      <w:r w:rsidRPr="00C4032E">
        <w:rPr>
          <w:bCs/>
          <w:szCs w:val="24"/>
        </w:rPr>
        <w:t xml:space="preserve">zemes vienībā ar kadastra apzīmējumu </w:t>
      </w:r>
      <w:r w:rsidRPr="00C4032E">
        <w:rPr>
          <w:szCs w:val="24"/>
        </w:rPr>
        <w:t>80440020170</w:t>
      </w:r>
      <w:r w:rsidRPr="00C4032E">
        <w:rPr>
          <w:bCs/>
          <w:szCs w:val="24"/>
        </w:rPr>
        <w:t xml:space="preserve"> (</w:t>
      </w:r>
      <w:bookmarkStart w:id="2" w:name="_Hlk150153678"/>
      <w:r w:rsidRPr="00C4032E">
        <w:rPr>
          <w:bCs/>
          <w:szCs w:val="24"/>
        </w:rPr>
        <w:t xml:space="preserve">sarkanās līnijas tika noteiktas ar detālplānojumu nekustamajiem īpašumiem </w:t>
      </w:r>
      <w:bookmarkEnd w:id="2"/>
      <w:r w:rsidRPr="00C4032E">
        <w:rPr>
          <w:bCs/>
          <w:szCs w:val="24"/>
        </w:rPr>
        <w:t xml:space="preserve">“Smiltāji”, “Asari” un “Vēži”, kas atcelts ar </w:t>
      </w:r>
      <w:r w:rsidR="00CB33F4">
        <w:rPr>
          <w:bCs/>
          <w:szCs w:val="24"/>
        </w:rPr>
        <w:t>P</w:t>
      </w:r>
      <w:r w:rsidRPr="00C4032E">
        <w:rPr>
          <w:bCs/>
          <w:szCs w:val="24"/>
        </w:rPr>
        <w:t xml:space="preserve">ašvaldības domes 2024.gada 25.jūlija saistošajiem noteikumiem Nr. 35/2024 “Par Ādažu novada domes 24.04.2007. saistošo noteikumu Nr.14 “Par detālplānojuma Ādažu novada </w:t>
      </w:r>
      <w:proofErr w:type="spellStart"/>
      <w:r w:rsidRPr="00C4032E">
        <w:rPr>
          <w:bCs/>
          <w:szCs w:val="24"/>
        </w:rPr>
        <w:t>Kadagas</w:t>
      </w:r>
      <w:proofErr w:type="spellEnd"/>
      <w:r w:rsidRPr="00C4032E">
        <w:rPr>
          <w:bCs/>
          <w:szCs w:val="24"/>
        </w:rPr>
        <w:t xml:space="preserve"> ciema nekustamajiem īpašumiem “Smiltāji”, “Asari” un “Vēži” grafisko daļu un teritorijas izmantošanas un apbūves noteikumiem” atzīšanu par spēku zaudējušiem”); </w:t>
      </w:r>
    </w:p>
    <w:p w14:paraId="25F68F2C" w14:textId="77777777" w:rsidR="00C4032E" w:rsidRPr="00C4032E" w:rsidRDefault="00C051EE" w:rsidP="00C4032E">
      <w:pPr>
        <w:pStyle w:val="ListParagraph"/>
        <w:numPr>
          <w:ilvl w:val="0"/>
          <w:numId w:val="3"/>
        </w:numPr>
        <w:spacing w:after="120"/>
        <w:ind w:left="284" w:hanging="284"/>
        <w:contextualSpacing w:val="0"/>
        <w:jc w:val="both"/>
        <w:rPr>
          <w:bCs/>
          <w:szCs w:val="24"/>
        </w:rPr>
      </w:pPr>
      <w:r w:rsidRPr="00C4032E">
        <w:rPr>
          <w:bCs/>
          <w:szCs w:val="24"/>
        </w:rPr>
        <w:t>nekustamā īpašuma “</w:t>
      </w:r>
      <w:proofErr w:type="spellStart"/>
      <w:r w:rsidRPr="00C4032E">
        <w:rPr>
          <w:bCs/>
          <w:szCs w:val="24"/>
        </w:rPr>
        <w:t>Birzlejas</w:t>
      </w:r>
      <w:proofErr w:type="spellEnd"/>
      <w:r w:rsidRPr="00C4032E">
        <w:rPr>
          <w:bCs/>
          <w:szCs w:val="24"/>
        </w:rPr>
        <w:t xml:space="preserve">” (kadastra Nr. 80440040305) zemes vienībā ar kadastra apzīmējumu 80440040305 (sarkanās līnijas tika noteiktas ar </w:t>
      </w:r>
      <w:bookmarkStart w:id="3" w:name="_Hlk184245177"/>
      <w:r w:rsidRPr="00C4032E">
        <w:rPr>
          <w:bCs/>
          <w:szCs w:val="24"/>
        </w:rPr>
        <w:t>detālplānojumu nekustamajam īpašumam “</w:t>
      </w:r>
      <w:proofErr w:type="spellStart"/>
      <w:r w:rsidRPr="00C4032E">
        <w:rPr>
          <w:bCs/>
          <w:szCs w:val="24"/>
        </w:rPr>
        <w:t>Birzlejas</w:t>
      </w:r>
      <w:proofErr w:type="spellEnd"/>
      <w:r w:rsidRPr="00C4032E">
        <w:rPr>
          <w:bCs/>
          <w:szCs w:val="24"/>
        </w:rPr>
        <w:t>”</w:t>
      </w:r>
      <w:bookmarkEnd w:id="3"/>
      <w:r w:rsidRPr="00C4032E">
        <w:rPr>
          <w:bCs/>
          <w:szCs w:val="24"/>
        </w:rPr>
        <w:t xml:space="preserve">, kas atcelts ar </w:t>
      </w:r>
      <w:r w:rsidR="00CB33F4">
        <w:rPr>
          <w:bCs/>
          <w:szCs w:val="24"/>
        </w:rPr>
        <w:t>P</w:t>
      </w:r>
      <w:r w:rsidRPr="00C4032E">
        <w:rPr>
          <w:bCs/>
          <w:szCs w:val="24"/>
        </w:rPr>
        <w:t>ašvaldības domes 2024.gada 25.aprīļa saistošajiem noteikumiem Nr. 22/2024 “Par Ādažu novada domes 29.05.2007. saistošo noteikumu Nr.16 “Par detālplānojuma Ādažu novada Ādažu ciema nekustamajam īpašumam “</w:t>
      </w:r>
      <w:proofErr w:type="spellStart"/>
      <w:r w:rsidRPr="00C4032E">
        <w:rPr>
          <w:bCs/>
          <w:szCs w:val="24"/>
        </w:rPr>
        <w:t>Birzlejas</w:t>
      </w:r>
      <w:proofErr w:type="spellEnd"/>
      <w:r w:rsidRPr="00C4032E">
        <w:rPr>
          <w:bCs/>
          <w:szCs w:val="24"/>
        </w:rPr>
        <w:t>” grafisko daļu un teritorijas izmantošanas un apbūves noteikumiem” atzīšanu par spēku zaudējušiem”)</w:t>
      </w:r>
      <w:r w:rsidR="009C3A9C" w:rsidRPr="009C3A9C">
        <w:t xml:space="preserve"> nekustamā īpašuma “Lindas ceļš” (kadastra Nr. 80440040913) zemes vienības ar kadastra apzīmējumu 80440040913 daļā, nekustamā īpašuma “</w:t>
      </w:r>
      <w:proofErr w:type="spellStart"/>
      <w:r w:rsidR="009C3A9C" w:rsidRPr="009C3A9C">
        <w:t>Otiņi</w:t>
      </w:r>
      <w:proofErr w:type="spellEnd"/>
      <w:r w:rsidR="009C3A9C" w:rsidRPr="009C3A9C">
        <w:t xml:space="preserve">” (kadastra Nr. </w:t>
      </w:r>
      <w:r w:rsidR="009C3A9C" w:rsidRPr="009C3A9C">
        <w:tab/>
        <w:t xml:space="preserve">80440040024) zemes vienībā ar kadastra apzīmējumu 80440040024, nekustamā īpašuma “Kļaviņas” (kadastra Nr. 80440040056) zemes vienībā ar kadastra apzīmējumu 80440040056 </w:t>
      </w:r>
      <w:r w:rsidR="009C3A9C" w:rsidRPr="009C3A9C">
        <w:rPr>
          <w:bCs/>
          <w:szCs w:val="24"/>
        </w:rPr>
        <w:t>(sarkanās līnijas tika noteiktas ar Teritorijas plānojumu, lai veidotu vienotu tīklu ar blakus esošajām teritorijām, kurās bija izstrādāts detālplānojum</w:t>
      </w:r>
      <w:r w:rsidR="009C3A9C">
        <w:rPr>
          <w:bCs/>
          <w:szCs w:val="24"/>
        </w:rPr>
        <w:t>s</w:t>
      </w:r>
      <w:r w:rsidR="009C3A9C" w:rsidRPr="009C3A9C">
        <w:rPr>
          <w:bCs/>
          <w:szCs w:val="24"/>
        </w:rPr>
        <w:t xml:space="preserve"> nekustamajam īpašumam “</w:t>
      </w:r>
      <w:proofErr w:type="spellStart"/>
      <w:r w:rsidR="009C3A9C" w:rsidRPr="009C3A9C">
        <w:rPr>
          <w:bCs/>
          <w:szCs w:val="24"/>
        </w:rPr>
        <w:t>Birzlejas</w:t>
      </w:r>
      <w:proofErr w:type="spellEnd"/>
      <w:r w:rsidR="009C3A9C" w:rsidRPr="009C3A9C">
        <w:rPr>
          <w:bCs/>
          <w:szCs w:val="24"/>
        </w:rPr>
        <w:t>”. Pēc šī detālplānojuma atcelšanas, zūd pamatojums minēto nekustamo īpašumu apgrūtināšanai. Ņemot vērā minēto un to ka pašvaldība neplāno ielu izbūvi konkrētajos nekustamajos īpašumos, nepieciešams atcelt arī šo nekustamo īpašumu sastāvā esošo plānoto ielu sarkanās līnijas)</w:t>
      </w:r>
      <w:r w:rsidRPr="00C4032E">
        <w:rPr>
          <w:bCs/>
          <w:szCs w:val="24"/>
        </w:rPr>
        <w:t>;</w:t>
      </w:r>
    </w:p>
    <w:p w14:paraId="7EDF4786" w14:textId="77777777" w:rsidR="00C4032E" w:rsidRPr="00C4032E" w:rsidRDefault="00C051EE" w:rsidP="00C4032E">
      <w:pPr>
        <w:pStyle w:val="ListParagraph"/>
        <w:numPr>
          <w:ilvl w:val="0"/>
          <w:numId w:val="3"/>
        </w:numPr>
        <w:spacing w:after="120"/>
        <w:ind w:left="284" w:hanging="284"/>
        <w:contextualSpacing w:val="0"/>
        <w:jc w:val="both"/>
        <w:rPr>
          <w:bCs/>
          <w:szCs w:val="24"/>
        </w:rPr>
      </w:pPr>
      <w:r w:rsidRPr="00C4032E">
        <w:rPr>
          <w:bCs/>
          <w:szCs w:val="24"/>
        </w:rPr>
        <w:t>nekustamā īpašuma “</w:t>
      </w:r>
      <w:proofErr w:type="spellStart"/>
      <w:r w:rsidRPr="00C4032E">
        <w:rPr>
          <w:bCs/>
          <w:szCs w:val="24"/>
        </w:rPr>
        <w:t>Rītarasas</w:t>
      </w:r>
      <w:proofErr w:type="spellEnd"/>
      <w:r w:rsidRPr="00C4032E">
        <w:rPr>
          <w:bCs/>
          <w:szCs w:val="24"/>
        </w:rPr>
        <w:t>” (kadastra Nr. 80440050138) zemes vienīb</w:t>
      </w:r>
      <w:r w:rsidR="009C3A9C">
        <w:rPr>
          <w:bCs/>
          <w:szCs w:val="24"/>
        </w:rPr>
        <w:t>as</w:t>
      </w:r>
      <w:r w:rsidRPr="00C4032E">
        <w:rPr>
          <w:bCs/>
          <w:szCs w:val="24"/>
        </w:rPr>
        <w:t xml:space="preserve"> ar kadastra apzīmējumu 80440050138 </w:t>
      </w:r>
      <w:r w:rsidR="009C3A9C">
        <w:rPr>
          <w:bCs/>
          <w:szCs w:val="24"/>
        </w:rPr>
        <w:t xml:space="preserve">daļā </w:t>
      </w:r>
      <w:r w:rsidRPr="00C4032E">
        <w:rPr>
          <w:bCs/>
          <w:szCs w:val="24"/>
        </w:rPr>
        <w:t>(sarkanās līnijas tika noteiktas ar detālplānojumu nekustamajiem īpašumiem “Vālodzītes”, “Vīgriezes”, “</w:t>
      </w:r>
      <w:proofErr w:type="spellStart"/>
      <w:r w:rsidRPr="00C4032E">
        <w:rPr>
          <w:bCs/>
          <w:szCs w:val="24"/>
        </w:rPr>
        <w:t>Rītarasas</w:t>
      </w:r>
      <w:proofErr w:type="spellEnd"/>
      <w:r w:rsidRPr="00C4032E">
        <w:rPr>
          <w:bCs/>
          <w:szCs w:val="24"/>
        </w:rPr>
        <w:t>” un “</w:t>
      </w:r>
      <w:proofErr w:type="spellStart"/>
      <w:r w:rsidRPr="00C4032E">
        <w:rPr>
          <w:bCs/>
          <w:szCs w:val="24"/>
        </w:rPr>
        <w:t>Saulespļava</w:t>
      </w:r>
      <w:proofErr w:type="spellEnd"/>
      <w:r w:rsidRPr="00C4032E">
        <w:rPr>
          <w:bCs/>
          <w:szCs w:val="24"/>
        </w:rPr>
        <w:t xml:space="preserve">”, kas atcelts daļā ar </w:t>
      </w:r>
      <w:r w:rsidR="00CB33F4">
        <w:rPr>
          <w:bCs/>
          <w:szCs w:val="24"/>
        </w:rPr>
        <w:t>P</w:t>
      </w:r>
      <w:r w:rsidRPr="00C4032E">
        <w:rPr>
          <w:bCs/>
          <w:szCs w:val="24"/>
        </w:rPr>
        <w:t xml:space="preserve">ašvaldības domes 2024.gada 25.janvāra saistošajiem noteikumiem Nr. 6/2024 </w:t>
      </w:r>
      <w:r w:rsidR="00CB33F4">
        <w:rPr>
          <w:bCs/>
          <w:szCs w:val="24"/>
        </w:rPr>
        <w:t>“</w:t>
      </w:r>
      <w:r w:rsidRPr="00C4032E">
        <w:rPr>
          <w:bCs/>
          <w:szCs w:val="24"/>
        </w:rPr>
        <w:t>Par Ādažu pagasta padomes 17.08.2004. saistošo noteikumu Nr.34 “Par nekustamo īpašumu “Vālodzītes”, “Vīgriezes”, “</w:t>
      </w:r>
      <w:proofErr w:type="spellStart"/>
      <w:r w:rsidRPr="00C4032E">
        <w:rPr>
          <w:bCs/>
          <w:szCs w:val="24"/>
        </w:rPr>
        <w:t>Rītarasas</w:t>
      </w:r>
      <w:proofErr w:type="spellEnd"/>
      <w:r w:rsidRPr="00C4032E">
        <w:rPr>
          <w:bCs/>
          <w:szCs w:val="24"/>
        </w:rPr>
        <w:t>” un “</w:t>
      </w:r>
      <w:proofErr w:type="spellStart"/>
      <w:r w:rsidRPr="00C4032E">
        <w:rPr>
          <w:bCs/>
          <w:szCs w:val="24"/>
        </w:rPr>
        <w:t>Saulespļava</w:t>
      </w:r>
      <w:proofErr w:type="spellEnd"/>
      <w:r w:rsidRPr="00C4032E">
        <w:rPr>
          <w:bCs/>
          <w:szCs w:val="24"/>
        </w:rPr>
        <w:t>” sadalīšanu apbūves gabalos un apbūves noteikumiem” atzīšanu par spēku zaudējušiem daļā – nekustamā īpašuma “</w:t>
      </w:r>
      <w:proofErr w:type="spellStart"/>
      <w:r w:rsidRPr="00C4032E">
        <w:rPr>
          <w:bCs/>
          <w:szCs w:val="24"/>
        </w:rPr>
        <w:t>Rītarasas</w:t>
      </w:r>
      <w:proofErr w:type="spellEnd"/>
      <w:r w:rsidRPr="00C4032E">
        <w:rPr>
          <w:bCs/>
          <w:szCs w:val="24"/>
        </w:rPr>
        <w:t>” zemes vienībā ar kadastra apzīmējumu 80440050138”);</w:t>
      </w:r>
    </w:p>
    <w:p w14:paraId="56C7D6E4" w14:textId="77777777" w:rsidR="00C4032E" w:rsidRPr="00C4032E" w:rsidRDefault="00C051EE" w:rsidP="00C4032E">
      <w:pPr>
        <w:pStyle w:val="ListParagraph"/>
        <w:numPr>
          <w:ilvl w:val="0"/>
          <w:numId w:val="3"/>
        </w:numPr>
        <w:spacing w:after="120"/>
        <w:ind w:left="284" w:hanging="284"/>
        <w:contextualSpacing w:val="0"/>
        <w:jc w:val="both"/>
        <w:rPr>
          <w:bCs/>
          <w:szCs w:val="24"/>
        </w:rPr>
      </w:pPr>
      <w:r w:rsidRPr="00C4032E">
        <w:rPr>
          <w:bCs/>
          <w:szCs w:val="24"/>
        </w:rPr>
        <w:lastRenderedPageBreak/>
        <w:t>nekustamā īpašuma “</w:t>
      </w:r>
      <w:proofErr w:type="spellStart"/>
      <w:r w:rsidRPr="00C4032E">
        <w:rPr>
          <w:bCs/>
          <w:szCs w:val="24"/>
        </w:rPr>
        <w:t>Valumi</w:t>
      </w:r>
      <w:proofErr w:type="spellEnd"/>
      <w:r w:rsidRPr="00C4032E">
        <w:rPr>
          <w:bCs/>
          <w:szCs w:val="24"/>
        </w:rPr>
        <w:t xml:space="preserve">” </w:t>
      </w:r>
      <w:r w:rsidRPr="00C4032E">
        <w:rPr>
          <w:szCs w:val="24"/>
        </w:rPr>
        <w:t xml:space="preserve">(kadastra Nr. 80440050067) zemes vienībā ar kadastra apzīmējumu 80440050067 (sarkanās līnijas </w:t>
      </w:r>
      <w:r w:rsidRPr="00C4032E">
        <w:rPr>
          <w:bCs/>
          <w:szCs w:val="24"/>
        </w:rPr>
        <w:t>tika noteiktas ar detālplānojumu nekustamajam īpašumam “</w:t>
      </w:r>
      <w:proofErr w:type="spellStart"/>
      <w:r w:rsidRPr="00C4032E">
        <w:rPr>
          <w:bCs/>
          <w:szCs w:val="24"/>
        </w:rPr>
        <w:t>Valumi</w:t>
      </w:r>
      <w:proofErr w:type="spellEnd"/>
      <w:r w:rsidRPr="00C4032E">
        <w:rPr>
          <w:bCs/>
          <w:szCs w:val="24"/>
        </w:rPr>
        <w:t xml:space="preserve">”, kas atcelts ar </w:t>
      </w:r>
      <w:r w:rsidR="009C3A9C">
        <w:rPr>
          <w:bCs/>
          <w:szCs w:val="24"/>
        </w:rPr>
        <w:t>P</w:t>
      </w:r>
      <w:r w:rsidRPr="00C4032E">
        <w:rPr>
          <w:bCs/>
          <w:szCs w:val="24"/>
        </w:rPr>
        <w:t xml:space="preserve">ašvaldības domes 2023.gada 28.decembra saistošajiem noteikumiem Nr. 49/2023 “Par Ādažu novada domes 23.09.2008. saistošo noteikumu Nr. 25 “Par detālplānojuma Ādažu novada </w:t>
      </w:r>
      <w:proofErr w:type="spellStart"/>
      <w:r w:rsidRPr="00C4032E">
        <w:rPr>
          <w:bCs/>
          <w:szCs w:val="24"/>
        </w:rPr>
        <w:t>Kadagas</w:t>
      </w:r>
      <w:proofErr w:type="spellEnd"/>
      <w:r w:rsidRPr="00C4032E">
        <w:rPr>
          <w:bCs/>
          <w:szCs w:val="24"/>
        </w:rPr>
        <w:t xml:space="preserve"> ciema nekustamajam īpašumam “</w:t>
      </w:r>
      <w:proofErr w:type="spellStart"/>
      <w:r w:rsidRPr="00C4032E">
        <w:rPr>
          <w:bCs/>
          <w:szCs w:val="24"/>
        </w:rPr>
        <w:t>Valumi</w:t>
      </w:r>
      <w:proofErr w:type="spellEnd"/>
      <w:r w:rsidRPr="00C4032E">
        <w:rPr>
          <w:bCs/>
          <w:szCs w:val="24"/>
        </w:rPr>
        <w:t>” grafisko daļu un teritorijas izmantošanas un apbūves noteikumiem” atzīšanu par spēku zaudējušiem</w:t>
      </w:r>
      <w:r w:rsidR="009C3A9C">
        <w:rPr>
          <w:bCs/>
          <w:szCs w:val="24"/>
        </w:rPr>
        <w:t>”</w:t>
      </w:r>
      <w:r w:rsidRPr="00C4032E">
        <w:rPr>
          <w:bCs/>
          <w:szCs w:val="24"/>
        </w:rPr>
        <w:t>);</w:t>
      </w:r>
    </w:p>
    <w:p w14:paraId="4B8BC25E" w14:textId="77777777" w:rsidR="00C4032E" w:rsidRPr="00C4032E" w:rsidRDefault="00C051EE" w:rsidP="00C4032E">
      <w:pPr>
        <w:pStyle w:val="ListParagraph"/>
        <w:numPr>
          <w:ilvl w:val="0"/>
          <w:numId w:val="3"/>
        </w:numPr>
        <w:spacing w:after="120"/>
        <w:ind w:left="284" w:hanging="284"/>
        <w:contextualSpacing w:val="0"/>
        <w:jc w:val="both"/>
        <w:rPr>
          <w:bCs/>
          <w:szCs w:val="24"/>
        </w:rPr>
      </w:pPr>
      <w:r w:rsidRPr="00C4032E">
        <w:rPr>
          <w:bCs/>
          <w:szCs w:val="24"/>
        </w:rPr>
        <w:t xml:space="preserve">nekustamā īpašuma “Ogas” (kadastra Nr. </w:t>
      </w:r>
      <w:r w:rsidRPr="00C4032E">
        <w:rPr>
          <w:szCs w:val="24"/>
        </w:rPr>
        <w:t xml:space="preserve">80440050129) zemes vienībā ar kadastra apzīmējumu 80440050129 (sarkanās līnijas </w:t>
      </w:r>
      <w:r w:rsidRPr="00C4032E">
        <w:rPr>
          <w:bCs/>
          <w:szCs w:val="24"/>
        </w:rPr>
        <w:t xml:space="preserve">tika noteiktas ar detālplānojumu nekustamajam īpašumam “Ogas” un tā grozījumiem, kas tika atcelti ar pašvaldības domes 2023.gada 28.decembra lēmumu Nr. 477 “Par Ādažu novada domes 25.03.2008. saistošo noteikumu Nr.13 “Par detālplānojuma Ādažu novada </w:t>
      </w:r>
      <w:proofErr w:type="spellStart"/>
      <w:r w:rsidRPr="00C4032E">
        <w:rPr>
          <w:bCs/>
          <w:szCs w:val="24"/>
        </w:rPr>
        <w:t>Kadagas</w:t>
      </w:r>
      <w:proofErr w:type="spellEnd"/>
      <w:r w:rsidRPr="00C4032E">
        <w:rPr>
          <w:bCs/>
          <w:szCs w:val="24"/>
        </w:rPr>
        <w:t xml:space="preserve"> ciema nekustamajam īpašumam “Ogas” grafisko daļu un teritorijas izmantošanas un apbūves noteikumiem” atzīšanu par spēku zaudējušiem un par Ādažu novada domes 28.03.2017. lēmuma Nr.64 “Par nekustamā īpašuma “Ogas” detālplānojuma grozījumu projekta apstiprināšanu” atcelšanu”)</w:t>
      </w:r>
      <w:r w:rsidR="00223AF5">
        <w:rPr>
          <w:bCs/>
          <w:szCs w:val="24"/>
        </w:rPr>
        <w:t>.</w:t>
      </w:r>
    </w:p>
    <w:p w14:paraId="4BAC6C4F" w14:textId="77777777" w:rsidR="00C4032E" w:rsidRPr="00C4032E" w:rsidRDefault="00C051EE" w:rsidP="00C4032E">
      <w:pPr>
        <w:spacing w:after="120"/>
        <w:ind w:right="41"/>
        <w:jc w:val="both"/>
        <w:rPr>
          <w:rFonts w:ascii="Times New Roman" w:hAnsi="Times New Roman" w:cs="Times New Roman"/>
        </w:rPr>
      </w:pPr>
      <w:r w:rsidRPr="00C4032E">
        <w:rPr>
          <w:rFonts w:ascii="Times New Roman" w:hAnsi="Times New Roman" w:cs="Times New Roman"/>
        </w:rPr>
        <w:t>Pašvaldība iepriekš minētajos nekustamajos īpašumos ielu izbūvi neplāno.</w:t>
      </w:r>
    </w:p>
    <w:p w14:paraId="30C3FC93" w14:textId="50512B8F" w:rsidR="00C4032E" w:rsidRPr="00C4032E" w:rsidRDefault="00C051EE" w:rsidP="00C4032E">
      <w:pPr>
        <w:spacing w:after="120"/>
        <w:jc w:val="both"/>
        <w:rPr>
          <w:rFonts w:ascii="Times New Roman" w:hAnsi="Times New Roman" w:cs="Times New Roman"/>
          <w:bCs/>
        </w:rPr>
      </w:pPr>
      <w:r w:rsidRPr="00C4032E">
        <w:rPr>
          <w:rFonts w:ascii="Times New Roman" w:hAnsi="Times New Roman" w:cs="Times New Roman"/>
          <w:bCs/>
        </w:rPr>
        <w:t xml:space="preserve">Pašvaldība ir saņēmusi </w:t>
      </w:r>
      <w:r w:rsidR="00326B3B">
        <w:rPr>
          <w:rFonts w:ascii="Times New Roman" w:hAnsi="Times New Roman" w:cs="Times New Roman"/>
          <w:bCs/>
        </w:rPr>
        <w:t>(</w:t>
      </w:r>
      <w:r w:rsidR="00326B3B">
        <w:rPr>
          <w:rFonts w:ascii="Times New Roman" w:hAnsi="Times New Roman" w:cs="Times New Roman"/>
          <w:bCs/>
          <w:i/>
          <w:iCs/>
        </w:rPr>
        <w:t>vārds, uzvārds</w:t>
      </w:r>
      <w:r w:rsidR="00326B3B">
        <w:rPr>
          <w:rFonts w:ascii="Times New Roman" w:hAnsi="Times New Roman" w:cs="Times New Roman"/>
          <w:bCs/>
        </w:rPr>
        <w:t>)</w:t>
      </w:r>
      <w:r w:rsidRPr="00C4032E">
        <w:rPr>
          <w:rFonts w:ascii="Times New Roman" w:hAnsi="Times New Roman" w:cs="Times New Roman"/>
          <w:bCs/>
        </w:rPr>
        <w:t xml:space="preserve"> 12.11.2024. iesniegumu (</w:t>
      </w:r>
      <w:proofErr w:type="spellStart"/>
      <w:r w:rsidRPr="00C4032E">
        <w:rPr>
          <w:rFonts w:ascii="Times New Roman" w:hAnsi="Times New Roman" w:cs="Times New Roman"/>
          <w:bCs/>
        </w:rPr>
        <w:t>reģ</w:t>
      </w:r>
      <w:proofErr w:type="spellEnd"/>
      <w:r w:rsidRPr="00C4032E">
        <w:rPr>
          <w:rFonts w:ascii="Times New Roman" w:hAnsi="Times New Roman" w:cs="Times New Roman"/>
          <w:bCs/>
        </w:rPr>
        <w:t>. Nr. ĀNP/1-11-1/24/6201, 13.11.2024) ar lūgumu dzēst Ādažu novada teritorijas plānojumā noteiktās sarkanās līnijas nekustamā īpašum</w:t>
      </w:r>
      <w:r w:rsidR="002311B0">
        <w:rPr>
          <w:rFonts w:ascii="Times New Roman" w:hAnsi="Times New Roman" w:cs="Times New Roman"/>
          <w:bCs/>
        </w:rPr>
        <w:t>a</w:t>
      </w:r>
      <w:r w:rsidRPr="00C4032E">
        <w:rPr>
          <w:rFonts w:ascii="Times New Roman" w:hAnsi="Times New Roman" w:cs="Times New Roman"/>
          <w:bCs/>
        </w:rPr>
        <w:t xml:space="preserve"> “Kelvini” (kadastra Nr. 80440110429) zemes vienīb</w:t>
      </w:r>
      <w:r w:rsidR="002311B0">
        <w:rPr>
          <w:rFonts w:ascii="Times New Roman" w:hAnsi="Times New Roman" w:cs="Times New Roman"/>
          <w:bCs/>
        </w:rPr>
        <w:t>as</w:t>
      </w:r>
      <w:r w:rsidRPr="00C4032E">
        <w:rPr>
          <w:rFonts w:ascii="Times New Roman" w:hAnsi="Times New Roman" w:cs="Times New Roman"/>
          <w:bCs/>
        </w:rPr>
        <w:t xml:space="preserve"> ar kadastra apzīmējumu 80440110032</w:t>
      </w:r>
      <w:r w:rsidR="002311B0">
        <w:rPr>
          <w:rFonts w:ascii="Times New Roman" w:hAnsi="Times New Roman" w:cs="Times New Roman"/>
          <w:bCs/>
        </w:rPr>
        <w:t xml:space="preserve"> daļā</w:t>
      </w:r>
      <w:r w:rsidRPr="00C4032E">
        <w:rPr>
          <w:rFonts w:ascii="Times New Roman" w:hAnsi="Times New Roman" w:cs="Times New Roman"/>
          <w:bCs/>
        </w:rPr>
        <w:t>, Ādažos, Ādažu nov. Īpašuma teritorijā nav spēkā esošu detālplānojumu un p</w:t>
      </w:r>
      <w:r w:rsidRPr="00C4032E">
        <w:rPr>
          <w:rFonts w:ascii="Times New Roman" w:hAnsi="Times New Roman" w:cs="Times New Roman"/>
        </w:rPr>
        <w:t>ašvaldība iepriekš minētajā nekustamajā īpašumā ielu izbūvi neplāno.</w:t>
      </w:r>
    </w:p>
    <w:p w14:paraId="69BD6020" w14:textId="77777777" w:rsidR="00C4032E" w:rsidRPr="00C4032E" w:rsidRDefault="00C051EE" w:rsidP="00C4032E">
      <w:pPr>
        <w:spacing w:after="120"/>
        <w:jc w:val="both"/>
        <w:rPr>
          <w:rFonts w:ascii="Times New Roman" w:hAnsi="Times New Roman" w:cs="Times New Roman"/>
        </w:rPr>
      </w:pPr>
      <w:bookmarkStart w:id="4" w:name="_Hlk149897977"/>
      <w:r w:rsidRPr="00C4032E">
        <w:rPr>
          <w:rFonts w:ascii="Times New Roman" w:hAnsi="Times New Roman" w:cs="Times New Roman"/>
        </w:rPr>
        <w:t xml:space="preserve">Pašvaldības domes saistošo noteikumu </w:t>
      </w:r>
      <w:bookmarkEnd w:id="4"/>
      <w:r w:rsidRPr="00C4032E">
        <w:rPr>
          <w:rFonts w:ascii="Times New Roman" w:hAnsi="Times New Roman" w:cs="Times New Roman"/>
        </w:rPr>
        <w:t xml:space="preserve">“Par Ādažu novada domes 2018. gada 27. marta saistošo noteikumu Nr. 7/2018 „Ādažu novada teritorijas plānojuma grafiskā daļa un teritorijas izmantošanas un apbūves noteikumi” atzīšanu par spēku zaudējušiem daļā (grafiskās daļas kartē “Ādažu novada funkcionālā zonējuma karte” noteikto plānoto ielu sarkano līniju atcelšana daļā)” projekts publicēts </w:t>
      </w:r>
      <w:r w:rsidR="00BA04C6">
        <w:rPr>
          <w:rFonts w:ascii="Times New Roman" w:hAnsi="Times New Roman" w:cs="Times New Roman"/>
        </w:rPr>
        <w:t>2024.</w:t>
      </w:r>
      <w:r w:rsidRPr="00C4032E">
        <w:rPr>
          <w:rFonts w:ascii="Times New Roman" w:hAnsi="Times New Roman" w:cs="Times New Roman"/>
        </w:rPr>
        <w:t xml:space="preserve">gada </w:t>
      </w:r>
      <w:r w:rsidR="00BA04C6" w:rsidRPr="009971A1">
        <w:rPr>
          <w:rFonts w:ascii="Times New Roman" w:hAnsi="Times New Roman" w:cs="Times New Roman"/>
        </w:rPr>
        <w:t>20</w:t>
      </w:r>
      <w:r w:rsidRPr="009971A1">
        <w:rPr>
          <w:rFonts w:ascii="Times New Roman" w:hAnsi="Times New Roman" w:cs="Times New Roman"/>
        </w:rPr>
        <w:t>.</w:t>
      </w:r>
      <w:r w:rsidRPr="00C4032E">
        <w:rPr>
          <w:rFonts w:ascii="Times New Roman" w:hAnsi="Times New Roman" w:cs="Times New Roman"/>
        </w:rPr>
        <w:t xml:space="preserve"> decembrī pašvaldības tīmekļvietnē </w:t>
      </w:r>
      <w:hyperlink r:id="rId8" w:history="1">
        <w:r w:rsidRPr="00C4032E">
          <w:rPr>
            <w:rStyle w:val="Hyperlink"/>
            <w:rFonts w:ascii="Times New Roman" w:hAnsi="Times New Roman" w:cs="Times New Roman"/>
          </w:rPr>
          <w:t>www.adazunovads.lv</w:t>
        </w:r>
      </w:hyperlink>
      <w:r w:rsidRPr="00C4032E">
        <w:rPr>
          <w:rFonts w:ascii="Times New Roman" w:hAnsi="Times New Roman" w:cs="Times New Roman"/>
        </w:rPr>
        <w:t>.</w:t>
      </w:r>
    </w:p>
    <w:p w14:paraId="211DABD4" w14:textId="77777777" w:rsidR="00C4032E" w:rsidRPr="00C4032E" w:rsidRDefault="00C051EE" w:rsidP="00A70E6B">
      <w:pPr>
        <w:pStyle w:val="ListParagraph"/>
        <w:spacing w:after="120"/>
        <w:ind w:left="0"/>
        <w:contextualSpacing w:val="0"/>
        <w:jc w:val="both"/>
        <w:rPr>
          <w:szCs w:val="24"/>
        </w:rPr>
      </w:pPr>
      <w:bookmarkStart w:id="5" w:name="_Hlk184245692"/>
      <w:r w:rsidRPr="00C4032E">
        <w:rPr>
          <w:szCs w:val="24"/>
        </w:rPr>
        <w:t>Pašvaldību likuma 4. panta pirmās daļas 15. punkt</w:t>
      </w:r>
      <w:r w:rsidR="009E6CBD">
        <w:rPr>
          <w:szCs w:val="24"/>
        </w:rPr>
        <w:t>s</w:t>
      </w:r>
      <w:r w:rsidRPr="00C4032E">
        <w:rPr>
          <w:szCs w:val="24"/>
        </w:rPr>
        <w:t xml:space="preserve"> un 10. panta pirmās daļas 1. punkt</w:t>
      </w:r>
      <w:r w:rsidR="009E6CBD">
        <w:rPr>
          <w:szCs w:val="24"/>
        </w:rPr>
        <w:t>s</w:t>
      </w:r>
      <w:bookmarkEnd w:id="5"/>
      <w:r w:rsidRPr="00C4032E">
        <w:rPr>
          <w:szCs w:val="24"/>
        </w:rPr>
        <w:t xml:space="preserve">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009E6CBD">
        <w:rPr>
          <w:szCs w:val="24"/>
        </w:rPr>
        <w:t>.</w:t>
      </w:r>
    </w:p>
    <w:p w14:paraId="0A55B5B1" w14:textId="77777777" w:rsidR="00C4032E" w:rsidRPr="00C4032E" w:rsidRDefault="00C051EE" w:rsidP="00A70E6B">
      <w:pPr>
        <w:spacing w:after="120"/>
        <w:jc w:val="both"/>
        <w:rPr>
          <w:rFonts w:ascii="Times New Roman" w:hAnsi="Times New Roman" w:cs="Times New Roman"/>
        </w:rPr>
      </w:pPr>
      <w:r w:rsidRPr="00C4032E">
        <w:rPr>
          <w:rFonts w:ascii="Times New Roman" w:hAnsi="Times New Roman" w:cs="Times New Roman"/>
        </w:rPr>
        <w:t>Pašvaldību likuma 44. panta otr</w:t>
      </w:r>
      <w:r w:rsidR="009E6CBD">
        <w:rPr>
          <w:rFonts w:ascii="Times New Roman" w:hAnsi="Times New Roman" w:cs="Times New Roman"/>
        </w:rPr>
        <w:t>ā</w:t>
      </w:r>
      <w:r w:rsidRPr="00C4032E">
        <w:rPr>
          <w:rFonts w:ascii="Times New Roman" w:hAnsi="Times New Roman" w:cs="Times New Roman"/>
        </w:rPr>
        <w:t xml:space="preserve"> daļ</w:t>
      </w:r>
      <w:r w:rsidR="009E6CBD">
        <w:rPr>
          <w:rFonts w:ascii="Times New Roman" w:hAnsi="Times New Roman" w:cs="Times New Roman"/>
        </w:rPr>
        <w:t>a</w:t>
      </w:r>
      <w:r w:rsidRPr="00C4032E">
        <w:rPr>
          <w:rFonts w:ascii="Times New Roman" w:hAnsi="Times New Roman" w:cs="Times New Roman"/>
        </w:rPr>
        <w:t xml:space="preserve"> noteic, ka dome var izdot saistošos noteikumus, lai nodrošinātu pašvaldības autonomo funkciju izpildi, ievērojot likumos vai Ministru kabineta noteikumos paredzēto funkciju izpildes kārtību</w:t>
      </w:r>
      <w:r w:rsidR="009E6CBD">
        <w:rPr>
          <w:rFonts w:ascii="Times New Roman" w:hAnsi="Times New Roman" w:cs="Times New Roman"/>
        </w:rPr>
        <w:t>.</w:t>
      </w:r>
    </w:p>
    <w:p w14:paraId="1527FA54" w14:textId="77777777" w:rsidR="00C4032E" w:rsidRPr="00C4032E" w:rsidRDefault="00C051EE" w:rsidP="00A70E6B">
      <w:pPr>
        <w:spacing w:after="120"/>
        <w:jc w:val="both"/>
        <w:rPr>
          <w:rFonts w:ascii="Times New Roman" w:hAnsi="Times New Roman" w:cs="Times New Roman"/>
        </w:rPr>
      </w:pPr>
      <w:r w:rsidRPr="00C4032E">
        <w:rPr>
          <w:rFonts w:ascii="Times New Roman" w:hAnsi="Times New Roman" w:cs="Times New Roman"/>
        </w:rPr>
        <w:t>Pašvaldību likuma 46. panta ceturt</w:t>
      </w:r>
      <w:r w:rsidR="009E6CBD">
        <w:rPr>
          <w:rFonts w:ascii="Times New Roman" w:hAnsi="Times New Roman" w:cs="Times New Roman"/>
        </w:rPr>
        <w:t>ā</w:t>
      </w:r>
      <w:r w:rsidRPr="00C4032E">
        <w:rPr>
          <w:rFonts w:ascii="Times New Roman" w:hAnsi="Times New Roman" w:cs="Times New Roman"/>
        </w:rPr>
        <w:t xml:space="preserve"> daļ</w:t>
      </w:r>
      <w:r w:rsidR="009E6CBD">
        <w:rPr>
          <w:rFonts w:ascii="Times New Roman" w:hAnsi="Times New Roman" w:cs="Times New Roman"/>
        </w:rPr>
        <w:t>a</w:t>
      </w:r>
      <w:r w:rsidRPr="00C4032E">
        <w:rPr>
          <w:rFonts w:ascii="Times New Roman" w:hAnsi="Times New Roman" w:cs="Times New Roman"/>
        </w:rPr>
        <w:t xml:space="preserve"> noteic, ka 46. pantā noteikto kārtību (t.sk., attiecībā uz prasību pievienot paskaidrojuma rakstu ar saistošo noteikumu sākotnējās ietekmes </w:t>
      </w:r>
      <w:proofErr w:type="spellStart"/>
      <w:r w:rsidRPr="00C4032E">
        <w:rPr>
          <w:rFonts w:ascii="Times New Roman" w:hAnsi="Times New Roman" w:cs="Times New Roman"/>
        </w:rPr>
        <w:t>izvērtējumu</w:t>
      </w:r>
      <w:proofErr w:type="spellEnd"/>
      <w:r w:rsidRPr="00C4032E">
        <w:rPr>
          <w:rFonts w:ascii="Times New Roman" w:hAnsi="Times New Roman" w:cs="Times New Roman"/>
        </w:rPr>
        <w:t xml:space="preserve"> un publicēšanu pašvaldības oficiālajā tīmekļvietnē sabiedrības viedokļa noskaidrošanai) nepiemēro saistošo noteikumu projektam teritorijas plānošanas jomā. Saistošo noteikumu projektus publicē pašvaldības oficiālajā tīmekļvietnē ne vēlāk kā trīs darbdienas pirms domes kārtējās sēdes vai ne vēlāk kā trīs stundas pirms domes ārkārtas sēdes</w:t>
      </w:r>
      <w:r w:rsidR="009E6CBD">
        <w:rPr>
          <w:rFonts w:ascii="Times New Roman" w:hAnsi="Times New Roman" w:cs="Times New Roman"/>
        </w:rPr>
        <w:t>.</w:t>
      </w:r>
    </w:p>
    <w:p w14:paraId="39BB36BE" w14:textId="77777777" w:rsidR="00C4032E" w:rsidRPr="00C4032E" w:rsidRDefault="00C051EE" w:rsidP="00A70E6B">
      <w:pPr>
        <w:spacing w:after="120"/>
        <w:jc w:val="both"/>
        <w:rPr>
          <w:rFonts w:ascii="Times New Roman" w:hAnsi="Times New Roman" w:cs="Times New Roman"/>
        </w:rPr>
      </w:pPr>
      <w:r w:rsidRPr="00C4032E">
        <w:rPr>
          <w:rFonts w:ascii="Times New Roman" w:hAnsi="Times New Roman" w:cs="Times New Roman"/>
        </w:rPr>
        <w:t>Teritorijas attīstības plānošanas likuma 12. panta treš</w:t>
      </w:r>
      <w:r w:rsidR="009E6CBD">
        <w:rPr>
          <w:rFonts w:ascii="Times New Roman" w:hAnsi="Times New Roman" w:cs="Times New Roman"/>
        </w:rPr>
        <w:t>ā</w:t>
      </w:r>
      <w:r w:rsidRPr="00C4032E">
        <w:rPr>
          <w:rFonts w:ascii="Times New Roman" w:hAnsi="Times New Roman" w:cs="Times New Roman"/>
        </w:rPr>
        <w:t xml:space="preserve"> daļ</w:t>
      </w:r>
      <w:r w:rsidR="009E6CBD">
        <w:rPr>
          <w:rFonts w:ascii="Times New Roman" w:hAnsi="Times New Roman" w:cs="Times New Roman"/>
        </w:rPr>
        <w:t>a</w:t>
      </w:r>
      <w:r w:rsidRPr="00C4032E">
        <w:rPr>
          <w:rFonts w:ascii="Times New Roman" w:hAnsi="Times New Roman" w:cs="Times New Roman"/>
        </w:rPr>
        <w:t xml:space="preserve"> noteic, ka vietējā pašvaldība koordinē un uzrauga vietējās pašvaldības attīstības stratēģijas, attīstības programmas, teritorijas plānojuma, </w:t>
      </w:r>
      <w:proofErr w:type="spellStart"/>
      <w:r w:rsidRPr="00C4032E">
        <w:rPr>
          <w:rFonts w:ascii="Times New Roman" w:hAnsi="Times New Roman" w:cs="Times New Roman"/>
        </w:rPr>
        <w:t>lokālplānojumu</w:t>
      </w:r>
      <w:proofErr w:type="spellEnd"/>
      <w:r w:rsidRPr="00C4032E">
        <w:rPr>
          <w:rFonts w:ascii="Times New Roman" w:hAnsi="Times New Roman" w:cs="Times New Roman"/>
        </w:rPr>
        <w:t>, detālplānojumu un tematisko plānojumu īstenošanu</w:t>
      </w:r>
      <w:r w:rsidR="009E6CBD">
        <w:rPr>
          <w:rFonts w:ascii="Times New Roman" w:hAnsi="Times New Roman" w:cs="Times New Roman"/>
        </w:rPr>
        <w:t>.</w:t>
      </w:r>
    </w:p>
    <w:p w14:paraId="5E2FE2C6" w14:textId="77777777" w:rsidR="00C4032E" w:rsidRPr="00C4032E" w:rsidRDefault="00C051EE" w:rsidP="00A70E6B">
      <w:pPr>
        <w:spacing w:after="120"/>
        <w:jc w:val="both"/>
        <w:rPr>
          <w:rFonts w:ascii="Times New Roman" w:hAnsi="Times New Roman" w:cs="Times New Roman"/>
        </w:rPr>
      </w:pPr>
      <w:bookmarkStart w:id="6" w:name="_Hlk184245768"/>
      <w:r w:rsidRPr="00C4032E">
        <w:rPr>
          <w:rFonts w:ascii="Times New Roman" w:hAnsi="Times New Roman" w:cs="Times New Roman"/>
        </w:rPr>
        <w:t>Aizsargjoslu likuma 33. panta sest</w:t>
      </w:r>
      <w:r w:rsidR="009E6CBD">
        <w:rPr>
          <w:rFonts w:ascii="Times New Roman" w:hAnsi="Times New Roman" w:cs="Times New Roman"/>
        </w:rPr>
        <w:t>ā</w:t>
      </w:r>
      <w:r w:rsidRPr="00C4032E">
        <w:rPr>
          <w:rFonts w:ascii="Times New Roman" w:hAnsi="Times New Roman" w:cs="Times New Roman"/>
        </w:rPr>
        <w:t xml:space="preserve"> daļ</w:t>
      </w:r>
      <w:r w:rsidR="009E6CBD">
        <w:rPr>
          <w:rFonts w:ascii="Times New Roman" w:hAnsi="Times New Roman" w:cs="Times New Roman"/>
        </w:rPr>
        <w:t xml:space="preserve">a </w:t>
      </w:r>
      <w:bookmarkEnd w:id="6"/>
      <w:r w:rsidRPr="00C4032E">
        <w:rPr>
          <w:rFonts w:ascii="Times New Roman" w:hAnsi="Times New Roman" w:cs="Times New Roman"/>
        </w:rPr>
        <w:t>noteic, ka aizsargjosla tiek likvidēta, ja ir likvidēts objekts, kuram noteikta aizsargjosla</w:t>
      </w:r>
      <w:r w:rsidR="009E6CBD">
        <w:rPr>
          <w:rFonts w:ascii="Times New Roman" w:hAnsi="Times New Roman" w:cs="Times New Roman"/>
        </w:rPr>
        <w:t>.</w:t>
      </w:r>
    </w:p>
    <w:p w14:paraId="6E1BB845" w14:textId="77777777" w:rsidR="00C4032E" w:rsidRPr="00C4032E" w:rsidRDefault="00C051EE" w:rsidP="00A70E6B">
      <w:pPr>
        <w:spacing w:after="120"/>
        <w:jc w:val="both"/>
        <w:rPr>
          <w:rStyle w:val="Strong"/>
          <w:rFonts w:ascii="Times New Roman" w:hAnsi="Times New Roman" w:cs="Times New Roman"/>
          <w:b w:val="0"/>
          <w:bCs w:val="0"/>
        </w:rPr>
      </w:pPr>
      <w:r w:rsidRPr="00C4032E">
        <w:rPr>
          <w:rFonts w:ascii="Times New Roman" w:hAnsi="Times New Roman" w:cs="Times New Roman"/>
          <w:bCs/>
        </w:rPr>
        <w:t>Ministru kabineta 2014. gada 14. oktobra noteikumu Nr. 628 “Noteikumi par pašvaldību teritorijas attīstības plānošanas dokumentiem” 3. punkt</w:t>
      </w:r>
      <w:r w:rsidR="009E6CBD">
        <w:rPr>
          <w:rFonts w:ascii="Times New Roman" w:hAnsi="Times New Roman" w:cs="Times New Roman"/>
          <w:bCs/>
        </w:rPr>
        <w:t>s</w:t>
      </w:r>
      <w:r w:rsidRPr="00C4032E">
        <w:rPr>
          <w:rFonts w:ascii="Times New Roman" w:hAnsi="Times New Roman" w:cs="Times New Roman"/>
          <w:bCs/>
        </w:rPr>
        <w:t xml:space="preserve"> noteic, ka visus pašvaldības lēmumus, </w:t>
      </w:r>
      <w:r w:rsidRPr="00C4032E">
        <w:rPr>
          <w:rFonts w:ascii="Times New Roman" w:hAnsi="Times New Roman" w:cs="Times New Roman"/>
          <w:bCs/>
        </w:rPr>
        <w:lastRenderedPageBreak/>
        <w:t>kas saistīti ar plānošanas dokumentu izstrādi un apstiprināšanu, pašvaldība piecu darbdienu laikā pēc to spēkā stāšanās ievieto sistēmā, pašvaldības tīmekļa vietnē, kā arī nodrošina informācijas pieejamību citos sabiedrībai pieejamos veidos</w:t>
      </w:r>
      <w:r w:rsidR="009E6CBD">
        <w:rPr>
          <w:rStyle w:val="Strong"/>
          <w:rFonts w:ascii="Times New Roman" w:hAnsi="Times New Roman" w:cs="Times New Roman"/>
        </w:rPr>
        <w:t>.</w:t>
      </w:r>
    </w:p>
    <w:p w14:paraId="38790FF3" w14:textId="77777777" w:rsidR="00564CA6" w:rsidRPr="00C4032E" w:rsidRDefault="00C051EE" w:rsidP="00C4032E">
      <w:pPr>
        <w:spacing w:after="120"/>
        <w:jc w:val="both"/>
        <w:rPr>
          <w:rFonts w:ascii="Times New Roman" w:hAnsi="Times New Roman" w:cs="Times New Roman"/>
        </w:rPr>
      </w:pPr>
      <w:r>
        <w:rPr>
          <w:rFonts w:ascii="Times New Roman" w:hAnsi="Times New Roman" w:cs="Times New Roman"/>
        </w:rPr>
        <w:t xml:space="preserve">Pamatojoties uz iepriekš minēto un </w:t>
      </w:r>
      <w:r w:rsidRPr="00BA04C6">
        <w:rPr>
          <w:rFonts w:ascii="Times New Roman" w:hAnsi="Times New Roman" w:cs="Times New Roman"/>
        </w:rPr>
        <w:t>Pašvaldību likuma 4. panta pirmās daļas 15. punktu un 10. panta pirmās daļas 1. punktu</w:t>
      </w:r>
      <w:r>
        <w:rPr>
          <w:rFonts w:ascii="Times New Roman" w:hAnsi="Times New Roman" w:cs="Times New Roman"/>
        </w:rPr>
        <w:t xml:space="preserve">, </w:t>
      </w:r>
      <w:r w:rsidRPr="00BA04C6">
        <w:rPr>
          <w:rFonts w:ascii="Times New Roman" w:hAnsi="Times New Roman" w:cs="Times New Roman"/>
        </w:rPr>
        <w:t>44. panta otro daļu</w:t>
      </w:r>
      <w:r>
        <w:rPr>
          <w:rFonts w:ascii="Times New Roman" w:hAnsi="Times New Roman" w:cs="Times New Roman"/>
        </w:rPr>
        <w:t xml:space="preserve">, </w:t>
      </w:r>
      <w:r w:rsidRPr="00BA04C6">
        <w:rPr>
          <w:rFonts w:ascii="Times New Roman" w:hAnsi="Times New Roman" w:cs="Times New Roman"/>
        </w:rPr>
        <w:t>Teritorijas attīstības plānošanas likuma 12. panta trešo daļu</w:t>
      </w:r>
      <w:r>
        <w:rPr>
          <w:rFonts w:ascii="Times New Roman" w:hAnsi="Times New Roman" w:cs="Times New Roman"/>
        </w:rPr>
        <w:t>,</w:t>
      </w:r>
      <w:r w:rsidRPr="00BA04C6">
        <w:rPr>
          <w:rFonts w:ascii="Times New Roman" w:hAnsi="Times New Roman" w:cs="Times New Roman"/>
        </w:rPr>
        <w:t xml:space="preserve"> Aizsargjoslu likuma 33. panta sesto daļu</w:t>
      </w:r>
      <w:r>
        <w:rPr>
          <w:rFonts w:ascii="Times New Roman" w:hAnsi="Times New Roman" w:cs="Times New Roman"/>
        </w:rPr>
        <w:t>,</w:t>
      </w:r>
      <w:r w:rsidRPr="00BA04C6">
        <w:rPr>
          <w:rFonts w:ascii="Times New Roman" w:hAnsi="Times New Roman" w:cs="Times New Roman"/>
        </w:rPr>
        <w:tab/>
        <w:t>Ministru kabineta 2014. gada 14. oktobra noteikumu Nr. 628 “Noteikumi par pašvaldību teritorijas attīstības plānošanas dokumentiem” 3. punktu</w:t>
      </w:r>
      <w:r>
        <w:rPr>
          <w:rFonts w:ascii="Times New Roman" w:hAnsi="Times New Roman" w:cs="Times New Roman"/>
        </w:rPr>
        <w:t>,</w:t>
      </w:r>
      <w:r w:rsidRPr="00BA04C6">
        <w:rPr>
          <w:rFonts w:ascii="Times New Roman" w:hAnsi="Times New Roman" w:cs="Times New Roman"/>
        </w:rPr>
        <w:t xml:space="preserve"> </w:t>
      </w:r>
      <w:r w:rsidR="00C4032E" w:rsidRPr="00C4032E">
        <w:rPr>
          <w:rFonts w:ascii="Times New Roman" w:hAnsi="Times New Roman" w:cs="Times New Roman"/>
        </w:rPr>
        <w:t>kā arī ņemot vērā</w:t>
      </w:r>
      <w:r>
        <w:rPr>
          <w:rFonts w:ascii="Times New Roman" w:hAnsi="Times New Roman" w:cs="Times New Roman"/>
        </w:rPr>
        <w:t xml:space="preserve"> domes</w:t>
      </w:r>
      <w:r w:rsidR="00C4032E" w:rsidRPr="00C4032E">
        <w:rPr>
          <w:rFonts w:ascii="Times New Roman" w:hAnsi="Times New Roman" w:cs="Times New Roman"/>
        </w:rPr>
        <w:t xml:space="preserve"> Attīstības komitejas </w:t>
      </w:r>
      <w:r>
        <w:rPr>
          <w:rFonts w:ascii="Times New Roman" w:hAnsi="Times New Roman" w:cs="Times New Roman"/>
        </w:rPr>
        <w:t>11.12.2024. atzinumu</w:t>
      </w:r>
      <w:r w:rsidR="00C4032E" w:rsidRPr="00C4032E">
        <w:rPr>
          <w:rFonts w:ascii="Times New Roman" w:hAnsi="Times New Roman" w:cs="Times New Roman"/>
        </w:rPr>
        <w:t>,</w:t>
      </w:r>
      <w:r>
        <w:rPr>
          <w:rFonts w:ascii="Times New Roman" w:hAnsi="Times New Roman" w:cs="Times New Roman"/>
        </w:rPr>
        <w:t xml:space="preserve"> </w:t>
      </w:r>
      <w:r w:rsidR="00686056" w:rsidRPr="00C4032E">
        <w:rPr>
          <w:rFonts w:ascii="Times New Roman" w:hAnsi="Times New Roman" w:cs="Times New Roman"/>
        </w:rPr>
        <w:t>Ādažu novada</w:t>
      </w:r>
      <w:r w:rsidR="00BB16A4" w:rsidRPr="00C4032E">
        <w:rPr>
          <w:rFonts w:ascii="Times New Roman" w:hAnsi="Times New Roman" w:cs="Times New Roman"/>
        </w:rPr>
        <w:t xml:space="preserve"> pašvaldības</w:t>
      </w:r>
      <w:r w:rsidR="00686056" w:rsidRPr="00C4032E">
        <w:rPr>
          <w:rFonts w:ascii="Times New Roman" w:hAnsi="Times New Roman" w:cs="Times New Roman"/>
        </w:rPr>
        <w:t xml:space="preserve"> dome</w:t>
      </w:r>
    </w:p>
    <w:p w14:paraId="1765B1E0" w14:textId="77777777" w:rsidR="00564CA6" w:rsidRPr="00C4032E" w:rsidRDefault="00C051EE" w:rsidP="00BB16A4">
      <w:pPr>
        <w:spacing w:after="120"/>
        <w:jc w:val="center"/>
        <w:rPr>
          <w:rFonts w:ascii="Times New Roman" w:hAnsi="Times New Roman" w:cs="Times New Roman"/>
          <w:b/>
        </w:rPr>
      </w:pPr>
      <w:r w:rsidRPr="00C4032E">
        <w:rPr>
          <w:rFonts w:ascii="Times New Roman" w:hAnsi="Times New Roman" w:cs="Times New Roman"/>
          <w:b/>
        </w:rPr>
        <w:t>NOLEMJ:</w:t>
      </w:r>
    </w:p>
    <w:p w14:paraId="336594A0" w14:textId="77777777" w:rsidR="00C4032E" w:rsidRPr="00DC2352" w:rsidRDefault="00C051EE" w:rsidP="00C051EE">
      <w:pPr>
        <w:pStyle w:val="BodyText"/>
        <w:numPr>
          <w:ilvl w:val="0"/>
          <w:numId w:val="5"/>
        </w:numPr>
        <w:spacing w:after="120"/>
        <w:ind w:left="284" w:hanging="284"/>
        <w:rPr>
          <w:color w:val="auto"/>
          <w:szCs w:val="24"/>
          <w:lang w:val="lv-LV"/>
        </w:rPr>
      </w:pPr>
      <w:r w:rsidRPr="000E536A">
        <w:rPr>
          <w:color w:val="auto"/>
          <w:lang w:val="lv-LV"/>
        </w:rPr>
        <w:t>Pieņemt</w:t>
      </w:r>
      <w:r w:rsidRPr="00DC2352">
        <w:rPr>
          <w:color w:val="auto"/>
          <w:lang w:val="lv-LV"/>
        </w:rPr>
        <w:t xml:space="preserve"> saistošos noteikumus Nr. </w:t>
      </w:r>
      <w:r w:rsidR="00627788">
        <w:rPr>
          <w:color w:val="auto"/>
          <w:lang w:val="lv-LV"/>
        </w:rPr>
        <w:t>55</w:t>
      </w:r>
      <w:r>
        <w:rPr>
          <w:color w:val="auto"/>
          <w:lang w:val="lv-LV"/>
        </w:rPr>
        <w:t>/2024</w:t>
      </w:r>
      <w:r w:rsidRPr="00DC2352">
        <w:rPr>
          <w:color w:val="auto"/>
          <w:lang w:val="lv-LV"/>
        </w:rPr>
        <w:t xml:space="preserve"> “Par Ādažu novada domes 2018. gada 27. marta saistošo noteikumu Nr. 7/2018 “Ādažu novada teritorijas plānojuma grafiskā daļa un teritorijas izmantošanas un apbūves noteikumi” atzīšanu par spēku zaudējušiem daļā (grafiskās daļas kartē “Ādažu novada funkcionālā zonējuma karte” noteikto plānoto ielu sarkano līniju atcelšana daļā)”</w:t>
      </w:r>
      <w:r w:rsidRPr="00DC2352">
        <w:rPr>
          <w:color w:val="auto"/>
          <w:szCs w:val="24"/>
          <w:lang w:val="lv-LV"/>
        </w:rPr>
        <w:t>.</w:t>
      </w:r>
    </w:p>
    <w:p w14:paraId="5B038515" w14:textId="77777777" w:rsidR="00C4032E" w:rsidRPr="00DC2352" w:rsidRDefault="00C051EE" w:rsidP="00C051EE">
      <w:pPr>
        <w:pStyle w:val="ListParagraph"/>
        <w:numPr>
          <w:ilvl w:val="0"/>
          <w:numId w:val="5"/>
        </w:numPr>
        <w:shd w:val="clear" w:color="auto" w:fill="FFFFFF"/>
        <w:tabs>
          <w:tab w:val="left" w:pos="426"/>
        </w:tabs>
        <w:spacing w:after="120"/>
        <w:ind w:left="284" w:hanging="284"/>
        <w:contextualSpacing w:val="0"/>
        <w:jc w:val="both"/>
      </w:pPr>
      <w:r w:rsidRPr="000E536A">
        <w:t>Uzdot</w:t>
      </w:r>
      <w:r w:rsidRPr="00DC2352">
        <w:t xml:space="preserve"> pašvaldības Centrālās pārvaldes 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w:t>
      </w:r>
      <w:r w:rsidR="00BA04C6">
        <w:t xml:space="preserve">Novada </w:t>
      </w:r>
      <w:r w:rsidRPr="00DC2352">
        <w:t xml:space="preserve">Vēstis” un pašvaldības tīmekļvietnē </w:t>
      </w:r>
      <w:hyperlink r:id="rId9" w:history="1">
        <w:r w:rsidRPr="00DC2352">
          <w:rPr>
            <w:rStyle w:val="Hyperlink"/>
          </w:rPr>
          <w:t>www.adazunovads.lv</w:t>
        </w:r>
      </w:hyperlink>
      <w:r w:rsidRPr="00DC2352">
        <w:t>.</w:t>
      </w:r>
    </w:p>
    <w:p w14:paraId="311550FE" w14:textId="77777777" w:rsidR="00C4032E" w:rsidRPr="00DC2352" w:rsidRDefault="00C051EE" w:rsidP="00C051EE">
      <w:pPr>
        <w:pStyle w:val="BodyText2"/>
        <w:numPr>
          <w:ilvl w:val="0"/>
          <w:numId w:val="5"/>
        </w:numPr>
        <w:spacing w:after="0" w:line="240" w:lineRule="auto"/>
        <w:ind w:left="284" w:hanging="284"/>
        <w:rPr>
          <w:szCs w:val="24"/>
          <w:lang w:val="lv-LV"/>
        </w:rPr>
      </w:pPr>
      <w:r w:rsidRPr="00BA04C6">
        <w:rPr>
          <w:szCs w:val="24"/>
          <w:lang w:val="lv-LV"/>
        </w:rPr>
        <w:t>Pašvaldības izpilddirektora vietniecei veikt šī lēmuma izpildes kontroli</w:t>
      </w:r>
      <w:r w:rsidRPr="00DC2352">
        <w:rPr>
          <w:szCs w:val="24"/>
          <w:lang w:val="lv-LV"/>
        </w:rPr>
        <w:t>.</w:t>
      </w:r>
    </w:p>
    <w:p w14:paraId="19D0FC5D" w14:textId="77777777" w:rsidR="00564CA6" w:rsidRPr="00C4032E" w:rsidRDefault="00564CA6" w:rsidP="00627788">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16E3855" w14:textId="77777777" w:rsidR="00564CA6" w:rsidRPr="00C4032E" w:rsidRDefault="00564CA6" w:rsidP="00627788">
      <w:pPr>
        <w:jc w:val="both"/>
        <w:rPr>
          <w:rFonts w:ascii="Times New Roman" w:hAnsi="Times New Roman" w:cs="Times New Roman"/>
        </w:rPr>
      </w:pPr>
    </w:p>
    <w:p w14:paraId="7C73BF5C" w14:textId="77777777" w:rsidR="00BB16A4" w:rsidRPr="00C4032E" w:rsidRDefault="00BB16A4" w:rsidP="00627788">
      <w:pPr>
        <w:jc w:val="both"/>
        <w:rPr>
          <w:rFonts w:ascii="Times New Roman" w:hAnsi="Times New Roman" w:cs="Times New Roman"/>
        </w:rPr>
      </w:pPr>
    </w:p>
    <w:p w14:paraId="7F812C3F" w14:textId="77777777" w:rsidR="00564CA6" w:rsidRPr="00C4032E" w:rsidRDefault="00C051EE" w:rsidP="00627788">
      <w:pPr>
        <w:jc w:val="both"/>
        <w:rPr>
          <w:rFonts w:ascii="Times New Roman" w:hAnsi="Times New Roman" w:cs="Times New Roman"/>
          <w:noProof/>
        </w:rPr>
      </w:pPr>
      <w:r w:rsidRPr="00C4032E">
        <w:rPr>
          <w:rFonts w:ascii="Times New Roman" w:hAnsi="Times New Roman" w:cs="Times New Roman"/>
          <w:noProof/>
        </w:rPr>
        <w:t>Pašvaldības domes priekšsēdētāj</w:t>
      </w:r>
      <w:r w:rsidR="00FA29A3" w:rsidRPr="00C4032E">
        <w:rPr>
          <w:rFonts w:ascii="Times New Roman" w:hAnsi="Times New Roman" w:cs="Times New Roman"/>
          <w:noProof/>
        </w:rPr>
        <w:t>a</w:t>
      </w:r>
      <w:r w:rsidRPr="00C4032E">
        <w:rPr>
          <w:rFonts w:ascii="Times New Roman" w:hAnsi="Times New Roman" w:cs="Times New Roman"/>
          <w:noProof/>
        </w:rPr>
        <w:tab/>
      </w:r>
      <w:r w:rsidRPr="00C4032E">
        <w:rPr>
          <w:rFonts w:ascii="Times New Roman" w:hAnsi="Times New Roman" w:cs="Times New Roman"/>
          <w:noProof/>
        </w:rPr>
        <w:tab/>
      </w:r>
      <w:r w:rsidRPr="00C4032E">
        <w:rPr>
          <w:rFonts w:ascii="Times New Roman" w:hAnsi="Times New Roman" w:cs="Times New Roman"/>
          <w:noProof/>
        </w:rPr>
        <w:tab/>
      </w:r>
      <w:r w:rsidRPr="00C4032E">
        <w:rPr>
          <w:rFonts w:ascii="Times New Roman" w:hAnsi="Times New Roman" w:cs="Times New Roman"/>
          <w:noProof/>
        </w:rPr>
        <w:tab/>
      </w:r>
      <w:r w:rsidRPr="00C4032E">
        <w:rPr>
          <w:rFonts w:ascii="Times New Roman" w:hAnsi="Times New Roman" w:cs="Times New Roman"/>
          <w:noProof/>
        </w:rPr>
        <w:tab/>
      </w:r>
      <w:r w:rsidRPr="00C4032E">
        <w:rPr>
          <w:rFonts w:ascii="Times New Roman" w:hAnsi="Times New Roman" w:cs="Times New Roman"/>
          <w:noProof/>
        </w:rPr>
        <w:tab/>
      </w:r>
      <w:r w:rsidR="00FA29A3" w:rsidRPr="00C4032E">
        <w:rPr>
          <w:rFonts w:ascii="Times New Roman" w:hAnsi="Times New Roman" w:cs="Times New Roman"/>
          <w:noProof/>
        </w:rPr>
        <w:t>K. Miķelsone</w:t>
      </w:r>
      <w:r w:rsidRPr="00C4032E">
        <w:rPr>
          <w:rFonts w:ascii="Times New Roman" w:hAnsi="Times New Roman" w:cs="Times New Roman"/>
          <w:noProof/>
        </w:rPr>
        <w:t xml:space="preserve"> </w:t>
      </w:r>
    </w:p>
    <w:p w14:paraId="198B73FC" w14:textId="77777777" w:rsidR="00147221" w:rsidRPr="00C4032E" w:rsidRDefault="00147221" w:rsidP="00627788">
      <w:pPr>
        <w:jc w:val="both"/>
        <w:rPr>
          <w:rFonts w:ascii="Times New Roman" w:hAnsi="Times New Roman" w:cs="Times New Roman"/>
          <w:noProof/>
        </w:rPr>
      </w:pPr>
    </w:p>
    <w:p w14:paraId="15ED5135" w14:textId="77777777" w:rsidR="00564CA6" w:rsidRPr="00C4032E" w:rsidRDefault="00C051EE" w:rsidP="00627788">
      <w:pPr>
        <w:jc w:val="center"/>
        <w:rPr>
          <w:rFonts w:ascii="Times New Roman" w:hAnsi="Times New Roman" w:cs="Times New Roman"/>
        </w:rPr>
      </w:pPr>
      <w:r w:rsidRPr="00C4032E">
        <w:rPr>
          <w:rFonts w:ascii="Times New Roman" w:eastAsia="Calibri" w:hAnsi="Times New Roman" w:cs="Times New Roman"/>
        </w:rPr>
        <w:t>ŠIS DOKUMENTS IR ELEKTRONISKI PARAKSTĪTS AR DROŠU ELEKTRONISKO PARAKSTU UN SATUR LAIKA ZĪMOGU</w:t>
      </w:r>
    </w:p>
    <w:sectPr w:rsidR="00564CA6" w:rsidRPr="00C4032E"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CCA07" w14:textId="77777777" w:rsidR="0015404E" w:rsidRDefault="00C051EE">
      <w:r>
        <w:separator/>
      </w:r>
    </w:p>
  </w:endnote>
  <w:endnote w:type="continuationSeparator" w:id="0">
    <w:p w14:paraId="1536B19C" w14:textId="77777777" w:rsidR="0015404E" w:rsidRDefault="00C0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887900"/>
      <w:docPartObj>
        <w:docPartGallery w:val="Page Numbers (Bottom of Page)"/>
        <w:docPartUnique/>
      </w:docPartObj>
    </w:sdtPr>
    <w:sdtEndPr>
      <w:rPr>
        <w:rFonts w:ascii="Times New Roman" w:hAnsi="Times New Roman" w:cs="Times New Roman"/>
        <w:noProof/>
      </w:rPr>
    </w:sdtEndPr>
    <w:sdtContent>
      <w:p w14:paraId="1132A38F" w14:textId="77777777" w:rsidR="005C7FA1" w:rsidRPr="005C7FA1" w:rsidRDefault="00C051E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5EB95FD7"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A438" w14:textId="77777777" w:rsidR="005C7FA1" w:rsidRPr="005C7FA1" w:rsidRDefault="005C7FA1">
    <w:pPr>
      <w:pStyle w:val="Footer"/>
      <w:jc w:val="right"/>
      <w:rPr>
        <w:rFonts w:ascii="Times New Roman" w:hAnsi="Times New Roman" w:cs="Times New Roman"/>
      </w:rPr>
    </w:pPr>
  </w:p>
  <w:p w14:paraId="7284BDA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655A0" w14:textId="77777777" w:rsidR="0015404E" w:rsidRDefault="00C051EE">
      <w:r>
        <w:separator/>
      </w:r>
    </w:p>
  </w:footnote>
  <w:footnote w:type="continuationSeparator" w:id="0">
    <w:p w14:paraId="77E1B09B" w14:textId="77777777" w:rsidR="0015404E" w:rsidRDefault="00C05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8A9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66A2"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8E1A003E">
      <w:start w:val="1"/>
      <w:numFmt w:val="decimal"/>
      <w:lvlText w:val="%1."/>
      <w:lvlJc w:val="left"/>
      <w:pPr>
        <w:ind w:left="720" w:hanging="360"/>
      </w:pPr>
      <w:rPr>
        <w:rFonts w:hint="default"/>
      </w:rPr>
    </w:lvl>
    <w:lvl w:ilvl="1" w:tplc="82F698FC" w:tentative="1">
      <w:start w:val="1"/>
      <w:numFmt w:val="lowerLetter"/>
      <w:lvlText w:val="%2."/>
      <w:lvlJc w:val="left"/>
      <w:pPr>
        <w:ind w:left="1440" w:hanging="360"/>
      </w:pPr>
    </w:lvl>
    <w:lvl w:ilvl="2" w:tplc="988E030C" w:tentative="1">
      <w:start w:val="1"/>
      <w:numFmt w:val="lowerRoman"/>
      <w:lvlText w:val="%3."/>
      <w:lvlJc w:val="right"/>
      <w:pPr>
        <w:ind w:left="2160" w:hanging="180"/>
      </w:pPr>
    </w:lvl>
    <w:lvl w:ilvl="3" w:tplc="316A3D52" w:tentative="1">
      <w:start w:val="1"/>
      <w:numFmt w:val="decimal"/>
      <w:lvlText w:val="%4."/>
      <w:lvlJc w:val="left"/>
      <w:pPr>
        <w:ind w:left="2880" w:hanging="360"/>
      </w:pPr>
    </w:lvl>
    <w:lvl w:ilvl="4" w:tplc="E182CEF6" w:tentative="1">
      <w:start w:val="1"/>
      <w:numFmt w:val="lowerLetter"/>
      <w:lvlText w:val="%5."/>
      <w:lvlJc w:val="left"/>
      <w:pPr>
        <w:ind w:left="3600" w:hanging="360"/>
      </w:pPr>
    </w:lvl>
    <w:lvl w:ilvl="5" w:tplc="468E41A2" w:tentative="1">
      <w:start w:val="1"/>
      <w:numFmt w:val="lowerRoman"/>
      <w:lvlText w:val="%6."/>
      <w:lvlJc w:val="right"/>
      <w:pPr>
        <w:ind w:left="4320" w:hanging="180"/>
      </w:pPr>
    </w:lvl>
    <w:lvl w:ilvl="6" w:tplc="75A4AAA2" w:tentative="1">
      <w:start w:val="1"/>
      <w:numFmt w:val="decimal"/>
      <w:lvlText w:val="%7."/>
      <w:lvlJc w:val="left"/>
      <w:pPr>
        <w:ind w:left="5040" w:hanging="360"/>
      </w:pPr>
    </w:lvl>
    <w:lvl w:ilvl="7" w:tplc="729AF932" w:tentative="1">
      <w:start w:val="1"/>
      <w:numFmt w:val="lowerLetter"/>
      <w:lvlText w:val="%8."/>
      <w:lvlJc w:val="left"/>
      <w:pPr>
        <w:ind w:left="5760" w:hanging="360"/>
      </w:pPr>
    </w:lvl>
    <w:lvl w:ilvl="8" w:tplc="AFAE5D28" w:tentative="1">
      <w:start w:val="1"/>
      <w:numFmt w:val="lowerRoman"/>
      <w:lvlText w:val="%9."/>
      <w:lvlJc w:val="right"/>
      <w:pPr>
        <w:ind w:left="6480" w:hanging="180"/>
      </w:pPr>
    </w:lvl>
  </w:abstractNum>
  <w:abstractNum w:abstractNumId="1" w15:restartNumberingAfterBreak="0">
    <w:nsid w:val="24812E14"/>
    <w:multiLevelType w:val="hybridMultilevel"/>
    <w:tmpl w:val="E0A0F30E"/>
    <w:lvl w:ilvl="0" w:tplc="C9403D50">
      <w:start w:val="1"/>
      <w:numFmt w:val="decimal"/>
      <w:lvlText w:val="%1)"/>
      <w:lvlJc w:val="left"/>
      <w:pPr>
        <w:ind w:left="720" w:hanging="360"/>
      </w:pPr>
      <w:rPr>
        <w:rFonts w:hint="default"/>
      </w:rPr>
    </w:lvl>
    <w:lvl w:ilvl="1" w:tplc="9FF62218" w:tentative="1">
      <w:start w:val="1"/>
      <w:numFmt w:val="lowerLetter"/>
      <w:lvlText w:val="%2."/>
      <w:lvlJc w:val="left"/>
      <w:pPr>
        <w:ind w:left="1440" w:hanging="360"/>
      </w:pPr>
    </w:lvl>
    <w:lvl w:ilvl="2" w:tplc="69F8BFB2" w:tentative="1">
      <w:start w:val="1"/>
      <w:numFmt w:val="lowerRoman"/>
      <w:lvlText w:val="%3."/>
      <w:lvlJc w:val="right"/>
      <w:pPr>
        <w:ind w:left="2160" w:hanging="180"/>
      </w:pPr>
    </w:lvl>
    <w:lvl w:ilvl="3" w:tplc="99E8FFEC" w:tentative="1">
      <w:start w:val="1"/>
      <w:numFmt w:val="decimal"/>
      <w:lvlText w:val="%4."/>
      <w:lvlJc w:val="left"/>
      <w:pPr>
        <w:ind w:left="2880" w:hanging="360"/>
      </w:pPr>
    </w:lvl>
    <w:lvl w:ilvl="4" w:tplc="BC0E06DA" w:tentative="1">
      <w:start w:val="1"/>
      <w:numFmt w:val="lowerLetter"/>
      <w:lvlText w:val="%5."/>
      <w:lvlJc w:val="left"/>
      <w:pPr>
        <w:ind w:left="3600" w:hanging="360"/>
      </w:pPr>
    </w:lvl>
    <w:lvl w:ilvl="5" w:tplc="53DC8546" w:tentative="1">
      <w:start w:val="1"/>
      <w:numFmt w:val="lowerRoman"/>
      <w:lvlText w:val="%6."/>
      <w:lvlJc w:val="right"/>
      <w:pPr>
        <w:ind w:left="4320" w:hanging="180"/>
      </w:pPr>
    </w:lvl>
    <w:lvl w:ilvl="6" w:tplc="699AAFA6" w:tentative="1">
      <w:start w:val="1"/>
      <w:numFmt w:val="decimal"/>
      <w:lvlText w:val="%7."/>
      <w:lvlJc w:val="left"/>
      <w:pPr>
        <w:ind w:left="5040" w:hanging="360"/>
      </w:pPr>
    </w:lvl>
    <w:lvl w:ilvl="7" w:tplc="E9526B72" w:tentative="1">
      <w:start w:val="1"/>
      <w:numFmt w:val="lowerLetter"/>
      <w:lvlText w:val="%8."/>
      <w:lvlJc w:val="left"/>
      <w:pPr>
        <w:ind w:left="5760" w:hanging="360"/>
      </w:pPr>
    </w:lvl>
    <w:lvl w:ilvl="8" w:tplc="8CF03DDE" w:tentative="1">
      <w:start w:val="1"/>
      <w:numFmt w:val="lowerRoman"/>
      <w:lvlText w:val="%9."/>
      <w:lvlJc w:val="right"/>
      <w:pPr>
        <w:ind w:left="6480" w:hanging="180"/>
      </w:pPr>
    </w:lvl>
  </w:abstractNum>
  <w:abstractNum w:abstractNumId="2" w15:restartNumberingAfterBreak="0">
    <w:nsid w:val="48F36339"/>
    <w:multiLevelType w:val="hybridMultilevel"/>
    <w:tmpl w:val="2E2A4A7C"/>
    <w:lvl w:ilvl="0" w:tplc="CC5C95BA">
      <w:start w:val="1"/>
      <w:numFmt w:val="decimal"/>
      <w:lvlText w:val="%1)"/>
      <w:lvlJc w:val="left"/>
      <w:pPr>
        <w:ind w:left="720" w:hanging="360"/>
      </w:pPr>
      <w:rPr>
        <w:rFonts w:hint="default"/>
      </w:rPr>
    </w:lvl>
    <w:lvl w:ilvl="1" w:tplc="7B90C986" w:tentative="1">
      <w:start w:val="1"/>
      <w:numFmt w:val="lowerLetter"/>
      <w:lvlText w:val="%2."/>
      <w:lvlJc w:val="left"/>
      <w:pPr>
        <w:ind w:left="1440" w:hanging="360"/>
      </w:pPr>
    </w:lvl>
    <w:lvl w:ilvl="2" w:tplc="CB366B18" w:tentative="1">
      <w:start w:val="1"/>
      <w:numFmt w:val="lowerRoman"/>
      <w:lvlText w:val="%3."/>
      <w:lvlJc w:val="right"/>
      <w:pPr>
        <w:ind w:left="2160" w:hanging="180"/>
      </w:pPr>
    </w:lvl>
    <w:lvl w:ilvl="3" w:tplc="F028DF26" w:tentative="1">
      <w:start w:val="1"/>
      <w:numFmt w:val="decimal"/>
      <w:lvlText w:val="%4."/>
      <w:lvlJc w:val="left"/>
      <w:pPr>
        <w:ind w:left="2880" w:hanging="360"/>
      </w:pPr>
    </w:lvl>
    <w:lvl w:ilvl="4" w:tplc="623C23D6" w:tentative="1">
      <w:start w:val="1"/>
      <w:numFmt w:val="lowerLetter"/>
      <w:lvlText w:val="%5."/>
      <w:lvlJc w:val="left"/>
      <w:pPr>
        <w:ind w:left="3600" w:hanging="360"/>
      </w:pPr>
    </w:lvl>
    <w:lvl w:ilvl="5" w:tplc="2B248098" w:tentative="1">
      <w:start w:val="1"/>
      <w:numFmt w:val="lowerRoman"/>
      <w:lvlText w:val="%6."/>
      <w:lvlJc w:val="right"/>
      <w:pPr>
        <w:ind w:left="4320" w:hanging="180"/>
      </w:pPr>
    </w:lvl>
    <w:lvl w:ilvl="6" w:tplc="A4782C36" w:tentative="1">
      <w:start w:val="1"/>
      <w:numFmt w:val="decimal"/>
      <w:lvlText w:val="%7."/>
      <w:lvlJc w:val="left"/>
      <w:pPr>
        <w:ind w:left="5040" w:hanging="360"/>
      </w:pPr>
    </w:lvl>
    <w:lvl w:ilvl="7" w:tplc="9410BA6C" w:tentative="1">
      <w:start w:val="1"/>
      <w:numFmt w:val="lowerLetter"/>
      <w:lvlText w:val="%8."/>
      <w:lvlJc w:val="left"/>
      <w:pPr>
        <w:ind w:left="5760" w:hanging="360"/>
      </w:pPr>
    </w:lvl>
    <w:lvl w:ilvl="8" w:tplc="613A76A4"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B0F3AB7"/>
    <w:multiLevelType w:val="hybridMultilevel"/>
    <w:tmpl w:val="771E5136"/>
    <w:lvl w:ilvl="0" w:tplc="F440F78A">
      <w:start w:val="1"/>
      <w:numFmt w:val="decimal"/>
      <w:lvlText w:val="%1."/>
      <w:lvlJc w:val="left"/>
      <w:pPr>
        <w:ind w:left="720" w:hanging="360"/>
      </w:pPr>
    </w:lvl>
    <w:lvl w:ilvl="1" w:tplc="FBE2B31A" w:tentative="1">
      <w:start w:val="1"/>
      <w:numFmt w:val="lowerLetter"/>
      <w:lvlText w:val="%2."/>
      <w:lvlJc w:val="left"/>
      <w:pPr>
        <w:ind w:left="1440" w:hanging="360"/>
      </w:pPr>
    </w:lvl>
    <w:lvl w:ilvl="2" w:tplc="70981AC0" w:tentative="1">
      <w:start w:val="1"/>
      <w:numFmt w:val="lowerRoman"/>
      <w:lvlText w:val="%3."/>
      <w:lvlJc w:val="right"/>
      <w:pPr>
        <w:ind w:left="2160" w:hanging="180"/>
      </w:pPr>
    </w:lvl>
    <w:lvl w:ilvl="3" w:tplc="B756E64C" w:tentative="1">
      <w:start w:val="1"/>
      <w:numFmt w:val="decimal"/>
      <w:lvlText w:val="%4."/>
      <w:lvlJc w:val="left"/>
      <w:pPr>
        <w:ind w:left="2880" w:hanging="360"/>
      </w:pPr>
    </w:lvl>
    <w:lvl w:ilvl="4" w:tplc="8BFE3B98" w:tentative="1">
      <w:start w:val="1"/>
      <w:numFmt w:val="lowerLetter"/>
      <w:lvlText w:val="%5."/>
      <w:lvlJc w:val="left"/>
      <w:pPr>
        <w:ind w:left="3600" w:hanging="360"/>
      </w:pPr>
    </w:lvl>
    <w:lvl w:ilvl="5" w:tplc="BF000B8A" w:tentative="1">
      <w:start w:val="1"/>
      <w:numFmt w:val="lowerRoman"/>
      <w:lvlText w:val="%6."/>
      <w:lvlJc w:val="right"/>
      <w:pPr>
        <w:ind w:left="4320" w:hanging="180"/>
      </w:pPr>
    </w:lvl>
    <w:lvl w:ilvl="6" w:tplc="2C80A0AE" w:tentative="1">
      <w:start w:val="1"/>
      <w:numFmt w:val="decimal"/>
      <w:lvlText w:val="%7."/>
      <w:lvlJc w:val="left"/>
      <w:pPr>
        <w:ind w:left="5040" w:hanging="360"/>
      </w:pPr>
    </w:lvl>
    <w:lvl w:ilvl="7" w:tplc="9C1EA2B0" w:tentative="1">
      <w:start w:val="1"/>
      <w:numFmt w:val="lowerLetter"/>
      <w:lvlText w:val="%8."/>
      <w:lvlJc w:val="left"/>
      <w:pPr>
        <w:ind w:left="5760" w:hanging="360"/>
      </w:pPr>
    </w:lvl>
    <w:lvl w:ilvl="8" w:tplc="EBBE7A66" w:tentative="1">
      <w:start w:val="1"/>
      <w:numFmt w:val="lowerRoman"/>
      <w:lvlText w:val="%9."/>
      <w:lvlJc w:val="right"/>
      <w:pPr>
        <w:ind w:left="6480" w:hanging="180"/>
      </w:pPr>
    </w:lvl>
  </w:abstractNum>
  <w:num w:numId="1" w16cid:durableId="1080567416">
    <w:abstractNumId w:val="3"/>
  </w:num>
  <w:num w:numId="2" w16cid:durableId="1964530278">
    <w:abstractNumId w:val="0"/>
  </w:num>
  <w:num w:numId="3" w16cid:durableId="1618677867">
    <w:abstractNumId w:val="2"/>
  </w:num>
  <w:num w:numId="4" w16cid:durableId="1595243143">
    <w:abstractNumId w:val="1"/>
  </w:num>
  <w:num w:numId="5" w16cid:durableId="811367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94670"/>
    <w:rsid w:val="000E536A"/>
    <w:rsid w:val="00147221"/>
    <w:rsid w:val="0015404E"/>
    <w:rsid w:val="00195A73"/>
    <w:rsid w:val="001A297B"/>
    <w:rsid w:val="00223AF5"/>
    <w:rsid w:val="002311B0"/>
    <w:rsid w:val="00233C0A"/>
    <w:rsid w:val="0025391B"/>
    <w:rsid w:val="00297558"/>
    <w:rsid w:val="002D53F6"/>
    <w:rsid w:val="00326B3B"/>
    <w:rsid w:val="00351D48"/>
    <w:rsid w:val="003C401E"/>
    <w:rsid w:val="004C0C29"/>
    <w:rsid w:val="004D516C"/>
    <w:rsid w:val="004E5C52"/>
    <w:rsid w:val="00521C00"/>
    <w:rsid w:val="00527DEF"/>
    <w:rsid w:val="0053073B"/>
    <w:rsid w:val="00543508"/>
    <w:rsid w:val="00564CA6"/>
    <w:rsid w:val="005C7FA1"/>
    <w:rsid w:val="00617AAC"/>
    <w:rsid w:val="00627788"/>
    <w:rsid w:val="00686056"/>
    <w:rsid w:val="00693F05"/>
    <w:rsid w:val="006D3451"/>
    <w:rsid w:val="006D513B"/>
    <w:rsid w:val="0074092B"/>
    <w:rsid w:val="0079484F"/>
    <w:rsid w:val="007B4DDB"/>
    <w:rsid w:val="008257F8"/>
    <w:rsid w:val="008E3846"/>
    <w:rsid w:val="009139A1"/>
    <w:rsid w:val="00931891"/>
    <w:rsid w:val="00996740"/>
    <w:rsid w:val="009971A1"/>
    <w:rsid w:val="009A3989"/>
    <w:rsid w:val="009B7F8F"/>
    <w:rsid w:val="009C3A9C"/>
    <w:rsid w:val="009E6CBD"/>
    <w:rsid w:val="00A16A2B"/>
    <w:rsid w:val="00A254B5"/>
    <w:rsid w:val="00A52B04"/>
    <w:rsid w:val="00A70E6B"/>
    <w:rsid w:val="00B36CD4"/>
    <w:rsid w:val="00B4014F"/>
    <w:rsid w:val="00B47C10"/>
    <w:rsid w:val="00BA04C6"/>
    <w:rsid w:val="00BB16A4"/>
    <w:rsid w:val="00BE75D1"/>
    <w:rsid w:val="00C051EE"/>
    <w:rsid w:val="00C4032E"/>
    <w:rsid w:val="00C82360"/>
    <w:rsid w:val="00C9477C"/>
    <w:rsid w:val="00CB33F4"/>
    <w:rsid w:val="00CC1B2F"/>
    <w:rsid w:val="00CF16C2"/>
    <w:rsid w:val="00D86969"/>
    <w:rsid w:val="00DC2352"/>
    <w:rsid w:val="00E02B35"/>
    <w:rsid w:val="00E03EEB"/>
    <w:rsid w:val="00E21CBD"/>
    <w:rsid w:val="00E52DA2"/>
    <w:rsid w:val="00E75D8D"/>
    <w:rsid w:val="00E939A8"/>
    <w:rsid w:val="00EF06E1"/>
    <w:rsid w:val="00F57E7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4CF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rsid w:val="00C4032E"/>
    <w:rPr>
      <w:color w:val="0000FF"/>
      <w:u w:val="single"/>
    </w:rPr>
  </w:style>
  <w:style w:type="character" w:styleId="Strong">
    <w:name w:val="Strong"/>
    <w:qFormat/>
    <w:rsid w:val="00C4032E"/>
    <w:rPr>
      <w:b/>
      <w:bCs/>
    </w:rPr>
  </w:style>
  <w:style w:type="paragraph" w:styleId="ListParagraph">
    <w:name w:val="List Paragraph"/>
    <w:basedOn w:val="Normal"/>
    <w:link w:val="ListParagraphChar"/>
    <w:uiPriority w:val="34"/>
    <w:qFormat/>
    <w:rsid w:val="00C4032E"/>
    <w:pPr>
      <w:ind w:left="720"/>
      <w:contextualSpacing/>
    </w:pPr>
    <w:rPr>
      <w:rFonts w:ascii="Times New Roman" w:eastAsia="Calibri" w:hAnsi="Times New Roman" w:cs="Times New Roman"/>
      <w:szCs w:val="22"/>
    </w:rPr>
  </w:style>
  <w:style w:type="character" w:customStyle="1" w:styleId="ListParagraphChar">
    <w:name w:val="List Paragraph Char"/>
    <w:link w:val="ListParagraph"/>
    <w:uiPriority w:val="34"/>
    <w:locked/>
    <w:rsid w:val="00C4032E"/>
    <w:rPr>
      <w:rFonts w:ascii="Times New Roman" w:eastAsia="Calibri" w:hAnsi="Times New Roman" w:cs="Times New Roman"/>
      <w:szCs w:val="22"/>
    </w:rPr>
  </w:style>
  <w:style w:type="character" w:styleId="CommentReference">
    <w:name w:val="annotation reference"/>
    <w:basedOn w:val="DefaultParagraphFont"/>
    <w:uiPriority w:val="99"/>
    <w:semiHidden/>
    <w:unhideWhenUsed/>
    <w:rsid w:val="00C4032E"/>
    <w:rPr>
      <w:sz w:val="16"/>
      <w:szCs w:val="16"/>
    </w:rPr>
  </w:style>
  <w:style w:type="paragraph" w:styleId="CommentText">
    <w:name w:val="annotation text"/>
    <w:basedOn w:val="Normal"/>
    <w:link w:val="CommentTextChar"/>
    <w:uiPriority w:val="99"/>
    <w:unhideWhenUsed/>
    <w:rsid w:val="00C4032E"/>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4032E"/>
    <w:rPr>
      <w:rFonts w:ascii="Times New Roman" w:eastAsia="Times New Roman" w:hAnsi="Times New Roman" w:cs="Times New Roman"/>
      <w:sz w:val="20"/>
      <w:szCs w:val="20"/>
    </w:rPr>
  </w:style>
  <w:style w:type="paragraph" w:styleId="BodyText">
    <w:name w:val="Body Text"/>
    <w:basedOn w:val="Normal"/>
    <w:link w:val="BodyTextChar"/>
    <w:rsid w:val="00C4032E"/>
    <w:pPr>
      <w:jc w:val="both"/>
    </w:pPr>
    <w:rPr>
      <w:rFonts w:ascii="Times New Roman" w:eastAsia="Times New Roman" w:hAnsi="Times New Roman" w:cs="Times New Roman"/>
      <w:bCs/>
      <w:color w:val="FF0000"/>
      <w:szCs w:val="20"/>
      <w:lang w:val="x-none"/>
    </w:rPr>
  </w:style>
  <w:style w:type="character" w:customStyle="1" w:styleId="BodyTextChar">
    <w:name w:val="Body Text Char"/>
    <w:basedOn w:val="DefaultParagraphFont"/>
    <w:link w:val="BodyText"/>
    <w:rsid w:val="00C4032E"/>
    <w:rPr>
      <w:rFonts w:ascii="Times New Roman" w:eastAsia="Times New Roman" w:hAnsi="Times New Roman" w:cs="Times New Roman"/>
      <w:bCs/>
      <w:color w:val="FF0000"/>
      <w:szCs w:val="20"/>
      <w:lang w:val="x-none"/>
    </w:rPr>
  </w:style>
  <w:style w:type="paragraph" w:styleId="BodyText2">
    <w:name w:val="Body Text 2"/>
    <w:basedOn w:val="Normal"/>
    <w:link w:val="BodyText2Char"/>
    <w:rsid w:val="00C4032E"/>
    <w:pPr>
      <w:spacing w:after="120" w:line="480" w:lineRule="auto"/>
      <w:jc w:val="both"/>
    </w:pPr>
    <w:rPr>
      <w:rFonts w:ascii="Times New Roman" w:eastAsia="Times New Roman" w:hAnsi="Times New Roman" w:cs="Times New Roman"/>
      <w:szCs w:val="20"/>
      <w:lang w:val="x-none"/>
    </w:rPr>
  </w:style>
  <w:style w:type="character" w:customStyle="1" w:styleId="BodyText2Char">
    <w:name w:val="Body Text 2 Char"/>
    <w:basedOn w:val="DefaultParagraphFont"/>
    <w:link w:val="BodyText2"/>
    <w:rsid w:val="00C4032E"/>
    <w:rPr>
      <w:rFonts w:ascii="Times New Roman" w:eastAsia="Times New Roman" w:hAnsi="Times New Roman" w:cs="Times New Roman"/>
      <w:szCs w:val="20"/>
      <w:lang w:val="x-none"/>
    </w:rPr>
  </w:style>
  <w:style w:type="character" w:styleId="UnresolvedMention">
    <w:name w:val="Unresolved Mention"/>
    <w:basedOn w:val="DefaultParagraphFont"/>
    <w:uiPriority w:val="99"/>
    <w:semiHidden/>
    <w:unhideWhenUsed/>
    <w:rsid w:val="00C4032E"/>
    <w:rPr>
      <w:color w:val="605E5C"/>
      <w:shd w:val="clear" w:color="auto" w:fill="E1DFDD"/>
    </w:rPr>
  </w:style>
  <w:style w:type="paragraph" w:styleId="Revision">
    <w:name w:val="Revision"/>
    <w:hidden/>
    <w:uiPriority w:val="99"/>
    <w:semiHidden/>
    <w:rsid w:val="00233C0A"/>
  </w:style>
  <w:style w:type="paragraph" w:styleId="CommentSubject">
    <w:name w:val="annotation subject"/>
    <w:basedOn w:val="CommentText"/>
    <w:next w:val="CommentText"/>
    <w:link w:val="CommentSubjectChar"/>
    <w:uiPriority w:val="99"/>
    <w:semiHidden/>
    <w:unhideWhenUsed/>
    <w:rsid w:val="00BA04C6"/>
    <w:pPr>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A04C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8000</Words>
  <Characters>4561</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2025-01-02T09:49:00Z</dcterms:created>
  <dcterms:modified xsi:type="dcterms:W3CDTF">2025-01-02T09:49:00Z</dcterms:modified>
</cp:coreProperties>
</file>