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E5360" w14:textId="77777777" w:rsidR="00F00749" w:rsidRPr="00DD27DF" w:rsidRDefault="00F00749" w:rsidP="00F00749">
      <w:r w:rsidRPr="00DD27DF">
        <w:rPr>
          <w:noProof/>
        </w:rPr>
        <w:drawing>
          <wp:inline distT="0" distB="0" distL="0" distR="0" wp14:anchorId="0D5D1C3F" wp14:editId="4811426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6309" w14:textId="77777777" w:rsidR="00F00749" w:rsidRPr="00DD27DF" w:rsidRDefault="00F00749" w:rsidP="00F00749"/>
    <w:p w14:paraId="1A315652" w14:textId="52EF7CE9" w:rsidR="00F00749" w:rsidRPr="00DD27DF" w:rsidRDefault="00F00749" w:rsidP="00F00749">
      <w:pPr>
        <w:jc w:val="right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 xml:space="preserve">PROJEKTS uz </w:t>
      </w:r>
      <w:r w:rsidR="00893241">
        <w:rPr>
          <w:rFonts w:ascii="Times New Roman" w:hAnsi="Times New Roman" w:cs="Times New Roman"/>
          <w:noProof/>
        </w:rPr>
        <w:t>21</w:t>
      </w:r>
      <w:r w:rsidRPr="00DD27DF">
        <w:rPr>
          <w:rFonts w:ascii="Times New Roman" w:hAnsi="Times New Roman" w:cs="Times New Roman"/>
          <w:noProof/>
        </w:rPr>
        <w:t>.10.2024.</w:t>
      </w:r>
    </w:p>
    <w:p w14:paraId="71C9399D" w14:textId="77777777" w:rsidR="00F00749" w:rsidRPr="00DD27DF" w:rsidRDefault="00F00749" w:rsidP="00F00749">
      <w:pPr>
        <w:jc w:val="right"/>
        <w:rPr>
          <w:rFonts w:ascii="Times New Roman" w:hAnsi="Times New Roman" w:cs="Times New Roman"/>
          <w:noProof/>
        </w:rPr>
      </w:pPr>
    </w:p>
    <w:p w14:paraId="6713D0D3" w14:textId="05F0FBB1" w:rsidR="00893241" w:rsidRDefault="00F00749" w:rsidP="00F00749">
      <w:pPr>
        <w:jc w:val="right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 xml:space="preserve">vēlamais datums izskatīšanai </w:t>
      </w:r>
      <w:r w:rsidR="00893241">
        <w:rPr>
          <w:rFonts w:ascii="Times New Roman" w:hAnsi="Times New Roman" w:cs="Times New Roman"/>
          <w:noProof/>
        </w:rPr>
        <w:t>Attīstības komit</w:t>
      </w:r>
      <w:r w:rsidR="00EF5B92">
        <w:rPr>
          <w:rFonts w:ascii="Times New Roman" w:hAnsi="Times New Roman" w:cs="Times New Roman"/>
          <w:noProof/>
        </w:rPr>
        <w:t>e</w:t>
      </w:r>
      <w:r w:rsidR="00893241">
        <w:rPr>
          <w:rFonts w:ascii="Times New Roman" w:hAnsi="Times New Roman" w:cs="Times New Roman"/>
          <w:noProof/>
        </w:rPr>
        <w:t>jā: 13.11.2024.</w:t>
      </w:r>
    </w:p>
    <w:p w14:paraId="4FB43438" w14:textId="08F47A17" w:rsidR="00F00749" w:rsidRPr="00DD27DF" w:rsidRDefault="00F00749" w:rsidP="00F00749">
      <w:pPr>
        <w:jc w:val="right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>Finanšu komit</w:t>
      </w:r>
      <w:r w:rsidR="00EF5B92">
        <w:rPr>
          <w:rFonts w:ascii="Times New Roman" w:hAnsi="Times New Roman" w:cs="Times New Roman"/>
          <w:noProof/>
        </w:rPr>
        <w:t>e</w:t>
      </w:r>
      <w:r w:rsidRPr="00DD27DF">
        <w:rPr>
          <w:rFonts w:ascii="Times New Roman" w:hAnsi="Times New Roman" w:cs="Times New Roman"/>
          <w:noProof/>
        </w:rPr>
        <w:t xml:space="preserve">jā: </w:t>
      </w:r>
      <w:r w:rsidR="00893241">
        <w:rPr>
          <w:rFonts w:ascii="Times New Roman" w:hAnsi="Times New Roman" w:cs="Times New Roman"/>
          <w:noProof/>
        </w:rPr>
        <w:t>20.11.</w:t>
      </w:r>
      <w:r w:rsidRPr="00DD27DF">
        <w:rPr>
          <w:rFonts w:ascii="Times New Roman" w:hAnsi="Times New Roman" w:cs="Times New Roman"/>
          <w:noProof/>
        </w:rPr>
        <w:t>2024.</w:t>
      </w:r>
    </w:p>
    <w:p w14:paraId="4F442FAB" w14:textId="235E0E6B" w:rsidR="00F00749" w:rsidRPr="00DD27DF" w:rsidRDefault="00F00749" w:rsidP="00F00749">
      <w:pPr>
        <w:jc w:val="right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>domē: 2</w:t>
      </w:r>
      <w:r w:rsidR="00893241">
        <w:rPr>
          <w:rFonts w:ascii="Times New Roman" w:hAnsi="Times New Roman" w:cs="Times New Roman"/>
          <w:noProof/>
        </w:rPr>
        <w:t>8.11.</w:t>
      </w:r>
      <w:r w:rsidRPr="00DD27DF">
        <w:rPr>
          <w:rFonts w:ascii="Times New Roman" w:hAnsi="Times New Roman" w:cs="Times New Roman"/>
          <w:noProof/>
        </w:rPr>
        <w:t>2024.</w:t>
      </w:r>
    </w:p>
    <w:p w14:paraId="05E59F79" w14:textId="77777777" w:rsidR="00F00749" w:rsidRPr="00DD27DF" w:rsidRDefault="00F00749" w:rsidP="00F00749">
      <w:pPr>
        <w:jc w:val="right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>sagatavotājs un ziņotājs: Nadežda Rubina</w:t>
      </w:r>
    </w:p>
    <w:p w14:paraId="55238B18" w14:textId="77777777" w:rsidR="00F00749" w:rsidRPr="00DD27DF" w:rsidRDefault="00F00749" w:rsidP="00F00749">
      <w:pPr>
        <w:jc w:val="right"/>
        <w:rPr>
          <w:rFonts w:ascii="Times New Roman" w:hAnsi="Times New Roman" w:cs="Times New Roman"/>
          <w:noProof/>
        </w:rPr>
      </w:pPr>
    </w:p>
    <w:p w14:paraId="4F9C0304" w14:textId="77777777" w:rsidR="00F00749" w:rsidRPr="00DD27DF" w:rsidRDefault="00F00749" w:rsidP="00F0074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D27D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D27DF">
        <w:rPr>
          <w:rFonts w:ascii="Times New Roman" w:hAnsi="Times New Roman" w:cs="Times New Roman"/>
          <w:noProof/>
          <w:sz w:val="28"/>
          <w:szCs w:val="28"/>
        </w:rPr>
        <w:tab/>
      </w:r>
    </w:p>
    <w:p w14:paraId="2F2C8E7D" w14:textId="77777777" w:rsidR="00F00749" w:rsidRPr="00DD27DF" w:rsidRDefault="00F00749" w:rsidP="00F00749">
      <w:pPr>
        <w:jc w:val="center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>Ādažos, Ādažu novadā</w:t>
      </w:r>
    </w:p>
    <w:p w14:paraId="5B6329AD" w14:textId="77777777" w:rsidR="00F00749" w:rsidRPr="00DD27DF" w:rsidRDefault="00F00749" w:rsidP="00F00749">
      <w:pPr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</w:p>
    <w:p w14:paraId="0642AAA4" w14:textId="2B4078CA" w:rsidR="00F00749" w:rsidRPr="00DD27DF" w:rsidRDefault="00F00749" w:rsidP="00F00749">
      <w:pPr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2024. gada 2</w:t>
      </w:r>
      <w:r w:rsidR="00893241">
        <w:rPr>
          <w:rFonts w:ascii="Times New Roman" w:hAnsi="Times New Roman" w:cs="Times New Roman"/>
        </w:rPr>
        <w:t>8</w:t>
      </w:r>
      <w:r w:rsidRPr="00DD27DF">
        <w:rPr>
          <w:rFonts w:ascii="Times New Roman" w:hAnsi="Times New Roman" w:cs="Times New Roman"/>
        </w:rPr>
        <w:t xml:space="preserve">. </w:t>
      </w:r>
      <w:r w:rsidR="00893241">
        <w:rPr>
          <w:rFonts w:ascii="Times New Roman" w:hAnsi="Times New Roman" w:cs="Times New Roman"/>
        </w:rPr>
        <w:t>novembrī</w:t>
      </w:r>
      <w:r w:rsidRPr="00DD27DF">
        <w:rPr>
          <w:rFonts w:ascii="Times New Roman" w:hAnsi="Times New Roman" w:cs="Times New Roman"/>
        </w:rPr>
        <w:t xml:space="preserve"> </w:t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r w:rsidRPr="00DD27DF">
        <w:rPr>
          <w:rFonts w:ascii="Times New Roman" w:hAnsi="Times New Roman" w:cs="Times New Roman"/>
        </w:rPr>
        <w:tab/>
      </w:r>
      <w:proofErr w:type="spellStart"/>
      <w:r w:rsidRPr="00DD27DF">
        <w:rPr>
          <w:rFonts w:ascii="Times New Roman" w:hAnsi="Times New Roman" w:cs="Times New Roman"/>
          <w:b/>
        </w:rPr>
        <w:t>Nr</w:t>
      </w:r>
      <w:proofErr w:type="spellEnd"/>
      <w:r w:rsidRPr="00DD27DF">
        <w:rPr>
          <w:rFonts w:ascii="Times New Roman" w:hAnsi="Times New Roman" w:cs="Times New Roman"/>
          <w:b/>
        </w:rPr>
        <w:t>.</w:t>
      </w:r>
      <w:r w:rsidRPr="00DD27DF">
        <w:rPr>
          <w:rFonts w:ascii="Times New Roman" w:hAnsi="Times New Roman" w:cs="Times New Roman"/>
          <w:noProof/>
        </w:rPr>
        <w:fldChar w:fldCharType="begin"/>
      </w:r>
      <w:r w:rsidRPr="00DD27DF">
        <w:rPr>
          <w:rFonts w:ascii="Times New Roman" w:hAnsi="Times New Roman" w:cs="Times New Roman"/>
          <w:noProof/>
        </w:rPr>
        <w:instrText>MERGEFIELD DOKREGNUMURS</w:instrText>
      </w:r>
      <w:r w:rsidRPr="00DD27DF">
        <w:rPr>
          <w:rFonts w:ascii="Times New Roman" w:hAnsi="Times New Roman" w:cs="Times New Roman"/>
          <w:noProof/>
        </w:rPr>
        <w:fldChar w:fldCharType="separate"/>
      </w:r>
      <w:r w:rsidRPr="00DD27DF">
        <w:rPr>
          <w:rFonts w:ascii="Times New Roman" w:hAnsi="Times New Roman" w:cs="Times New Roman"/>
          <w:noProof/>
        </w:rPr>
        <w:t>«DOKREGNUMURS»</w:t>
      </w:r>
      <w:r w:rsidRPr="00DD27DF">
        <w:rPr>
          <w:rFonts w:ascii="Times New Roman" w:hAnsi="Times New Roman" w:cs="Times New Roman"/>
          <w:noProof/>
        </w:rPr>
        <w:fldChar w:fldCharType="end"/>
      </w:r>
      <w:r w:rsidRPr="00DD27DF">
        <w:rPr>
          <w:rFonts w:ascii="Times New Roman" w:hAnsi="Times New Roman" w:cs="Times New Roman"/>
        </w:rPr>
        <w:tab/>
      </w:r>
    </w:p>
    <w:p w14:paraId="4699126B" w14:textId="77777777" w:rsidR="00F00749" w:rsidRPr="00DD27DF" w:rsidRDefault="00F00749" w:rsidP="00F00749">
      <w:pPr>
        <w:rPr>
          <w:rFonts w:ascii="Times New Roman" w:hAnsi="Times New Roman" w:cs="Times New Roman"/>
          <w:b/>
        </w:rPr>
      </w:pPr>
    </w:p>
    <w:p w14:paraId="1F7FB334" w14:textId="77777777" w:rsidR="00F00749" w:rsidRPr="00DD27DF" w:rsidRDefault="00F00749" w:rsidP="00F00749">
      <w:pPr>
        <w:jc w:val="center"/>
        <w:rPr>
          <w:rFonts w:ascii="Times New Roman" w:hAnsi="Times New Roman" w:cs="Times New Roman"/>
          <w:b/>
        </w:rPr>
      </w:pPr>
      <w:r w:rsidRPr="00DD27DF">
        <w:rPr>
          <w:rFonts w:ascii="Times New Roman" w:hAnsi="Times New Roman" w:cs="Times New Roman"/>
          <w:b/>
        </w:rPr>
        <w:t>Par pašvaldības zemesgabalu nomas maksas cenrādi īslaicīgai nomai un reklāmas vai informācijas objektu izvietošanai</w:t>
      </w:r>
    </w:p>
    <w:p w14:paraId="010A8260" w14:textId="77777777" w:rsidR="00F00749" w:rsidRPr="00DD27DF" w:rsidRDefault="00F00749" w:rsidP="00F00749">
      <w:pPr>
        <w:jc w:val="center"/>
        <w:rPr>
          <w:rFonts w:ascii="Times New Roman" w:hAnsi="Times New Roman" w:cs="Times New Roman"/>
        </w:rPr>
      </w:pPr>
    </w:p>
    <w:p w14:paraId="1AF0B53C" w14:textId="293949E5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Ādažu novada pašvaldības valdījumā un īpašumā ir zemesgabali, ko var īslaicīgi iznomāt uz laiku līdz 21 dienai</w:t>
      </w:r>
      <w:r w:rsidR="00F30F85">
        <w:rPr>
          <w:rFonts w:ascii="Times New Roman" w:hAnsi="Times New Roman" w:cs="Times New Roman"/>
        </w:rPr>
        <w:t xml:space="preserve"> gadā</w:t>
      </w:r>
      <w:r w:rsidRPr="00DD27DF">
        <w:rPr>
          <w:rFonts w:ascii="Times New Roman" w:hAnsi="Times New Roman" w:cs="Times New Roman"/>
        </w:rPr>
        <w:t xml:space="preserve">, vai arī reklāmas vai informācijas objektu izvietošanai ilgākam laika periodam.  </w:t>
      </w:r>
    </w:p>
    <w:p w14:paraId="768ED430" w14:textId="2AD77A5B" w:rsidR="00F00749" w:rsidRPr="00DD27DF" w:rsidRDefault="00712637" w:rsidP="00F00749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F00749" w:rsidRPr="00DD27DF">
        <w:rPr>
          <w:rFonts w:ascii="Times New Roman" w:hAnsi="Times New Roman" w:cs="Times New Roman"/>
        </w:rPr>
        <w:t>obrīd spēkā esošo nomas pakalpojumu maksas cenrādi</w:t>
      </w:r>
      <w:r>
        <w:rPr>
          <w:rFonts w:ascii="Times New Roman" w:hAnsi="Times New Roman" w:cs="Times New Roman"/>
        </w:rPr>
        <w:t>s</w:t>
      </w:r>
      <w:r w:rsidR="00F00749" w:rsidRPr="00DD27DF">
        <w:rPr>
          <w:rFonts w:ascii="Times New Roman" w:hAnsi="Times New Roman" w:cs="Times New Roman"/>
        </w:rPr>
        <w:t xml:space="preserve"> (turpmāk – Cenrādis) tika apstiprināts ar Ādažu novada domes 26.03.2019. lēmumu Nr. 58 “Par neapbūvētu zemesgabalu nomas maksas cenrādi īslaicīgai nomai un reklāmas objektu izvietošanai”</w:t>
      </w:r>
      <w:r>
        <w:rPr>
          <w:rFonts w:ascii="Times New Roman" w:hAnsi="Times New Roman" w:cs="Times New Roman"/>
        </w:rPr>
        <w:t>, un ir nepieciešams to pārskatīt, jo</w:t>
      </w:r>
      <w:r w:rsidR="00F00749" w:rsidRPr="00DD27DF">
        <w:rPr>
          <w:rFonts w:ascii="Times New Roman" w:hAnsi="Times New Roman" w:cs="Times New Roman"/>
        </w:rPr>
        <w:t>:</w:t>
      </w:r>
    </w:p>
    <w:p w14:paraId="606F24DB" w14:textId="1CDDA291" w:rsidR="00F00749" w:rsidRPr="00DD27DF" w:rsidRDefault="00F00749" w:rsidP="00F00749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Cenrādis tika izstrādāts </w:t>
      </w:r>
      <w:r w:rsidR="00712637">
        <w:rPr>
          <w:rFonts w:ascii="Times New Roman" w:hAnsi="Times New Roman" w:cs="Times New Roman"/>
          <w:sz w:val="24"/>
          <w:szCs w:val="24"/>
        </w:rPr>
        <w:t xml:space="preserve">tikai </w:t>
      </w:r>
      <w:r w:rsidRPr="00DD27DF">
        <w:rPr>
          <w:rFonts w:ascii="Times New Roman" w:hAnsi="Times New Roman" w:cs="Times New Roman"/>
          <w:sz w:val="24"/>
          <w:szCs w:val="24"/>
        </w:rPr>
        <w:t>Ādažu pagastā esošiem īpašumiem;</w:t>
      </w:r>
    </w:p>
    <w:p w14:paraId="22E5C34C" w14:textId="4D121123" w:rsidR="00F00749" w:rsidRPr="00DD27DF" w:rsidRDefault="00F00749" w:rsidP="00F0074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Publiskas personas finanšu līdzekļu un mantas izšķērdēšanas novēršanas likumā noteik</w:t>
      </w:r>
      <w:r w:rsidR="00712637">
        <w:rPr>
          <w:rFonts w:ascii="Times New Roman" w:hAnsi="Times New Roman" w:cs="Times New Roman"/>
          <w:sz w:val="24"/>
          <w:szCs w:val="24"/>
        </w:rPr>
        <w:t xml:space="preserve">ts, ka cenrādis jāpārskata </w:t>
      </w:r>
      <w:r w:rsidRPr="00DD27DF">
        <w:rPr>
          <w:rFonts w:ascii="Times New Roman" w:hAnsi="Times New Roman" w:cs="Times New Roman"/>
          <w:sz w:val="24"/>
          <w:szCs w:val="24"/>
        </w:rPr>
        <w:t>ne retāk, kā vienu reizi sešos gados, un šis termiņš Cenrādim iestāsies 25.03.2025</w:t>
      </w:r>
      <w:r w:rsidR="007A7819">
        <w:rPr>
          <w:rFonts w:ascii="Times New Roman" w:hAnsi="Times New Roman" w:cs="Times New Roman"/>
          <w:sz w:val="24"/>
          <w:szCs w:val="24"/>
        </w:rPr>
        <w:t>.</w:t>
      </w:r>
      <w:r w:rsidRPr="00DD27DF">
        <w:rPr>
          <w:rFonts w:ascii="Times New Roman" w:hAnsi="Times New Roman" w:cs="Times New Roman"/>
          <w:sz w:val="24"/>
          <w:szCs w:val="24"/>
        </w:rPr>
        <w:t>;</w:t>
      </w:r>
    </w:p>
    <w:p w14:paraId="6381F700" w14:textId="073D2A09" w:rsidR="00F00749" w:rsidRPr="00DD27DF" w:rsidRDefault="00712637" w:rsidP="00F0074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atbilstoši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D27DF">
        <w:rPr>
          <w:rFonts w:ascii="Times New Roman" w:hAnsi="Times New Roman" w:cs="Times New Roman"/>
          <w:sz w:val="24"/>
          <w:szCs w:val="24"/>
        </w:rPr>
        <w:t xml:space="preserve">rozījumiem Ministru kabineta </w:t>
      </w:r>
      <w:r w:rsidR="00972C74">
        <w:rPr>
          <w:rFonts w:ascii="Times New Roman" w:hAnsi="Times New Roman" w:cs="Times New Roman"/>
          <w:sz w:val="24"/>
          <w:szCs w:val="24"/>
        </w:rPr>
        <w:t>19.06.</w:t>
      </w:r>
      <w:r w:rsidRPr="00DD27DF">
        <w:rPr>
          <w:rFonts w:ascii="Times New Roman" w:hAnsi="Times New Roman" w:cs="Times New Roman"/>
          <w:sz w:val="24"/>
          <w:szCs w:val="24"/>
        </w:rPr>
        <w:t>2018. noteikumos Nr. 350 "Publiskas personas zemes nomas un apbūves tiesības noteikumi" (turpmāk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Noteikum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7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tika noteikta</w:t>
      </w:r>
      <w:r w:rsidR="00F00749" w:rsidRPr="00D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jauna</w:t>
      </w:r>
      <w:r w:rsidR="00F00749" w:rsidRPr="00DD27DF">
        <w:rPr>
          <w:rFonts w:ascii="Times New Roman" w:hAnsi="Times New Roman" w:cs="Times New Roman"/>
          <w:sz w:val="24"/>
          <w:szCs w:val="24"/>
        </w:rPr>
        <w:t xml:space="preserve"> īslaicīgas nomas definīcij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F00749" w:rsidRPr="00D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sākot </w:t>
      </w:r>
      <w:r w:rsidRPr="00DD27DF">
        <w:rPr>
          <w:rFonts w:ascii="Times New Roman" w:hAnsi="Times New Roman" w:cs="Times New Roman"/>
          <w:sz w:val="24"/>
          <w:szCs w:val="24"/>
        </w:rPr>
        <w:t>ar 05.04.2024.</w:t>
      </w:r>
      <w:r>
        <w:rPr>
          <w:rFonts w:ascii="Times New Roman" w:hAnsi="Times New Roman" w:cs="Times New Roman"/>
          <w:sz w:val="24"/>
          <w:szCs w:val="24"/>
        </w:rPr>
        <w:t>, t.i.,</w:t>
      </w:r>
      <w:r w:rsidRPr="00DD27DF">
        <w:rPr>
          <w:rFonts w:ascii="Times New Roman" w:hAnsi="Times New Roman" w:cs="Times New Roman"/>
          <w:sz w:val="24"/>
          <w:szCs w:val="24"/>
        </w:rPr>
        <w:t xml:space="preserve"> īslaicīga noma ir ne ilgāk par 21 dienu gadā</w:t>
      </w:r>
      <w:r w:rsidR="00F00749" w:rsidRPr="00D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(iepriekš - </w:t>
      </w:r>
      <w:r w:rsidR="00F00749" w:rsidRPr="00DD27DF">
        <w:rPr>
          <w:rFonts w:ascii="Times New Roman" w:hAnsi="Times New Roman" w:cs="Times New Roman"/>
          <w:sz w:val="24"/>
          <w:szCs w:val="24"/>
        </w:rPr>
        <w:t>līdz 10 dienām</w:t>
      </w:r>
      <w:r>
        <w:rPr>
          <w:rFonts w:ascii="Times New Roman" w:hAnsi="Times New Roman" w:cs="Times New Roman"/>
          <w:sz w:val="24"/>
          <w:szCs w:val="24"/>
        </w:rPr>
        <w:t>)</w:t>
      </w:r>
      <w:r w:rsidR="00F00749" w:rsidRPr="00DD27DF">
        <w:rPr>
          <w:rFonts w:ascii="Times New Roman" w:hAnsi="Times New Roman" w:cs="Times New Roman"/>
          <w:sz w:val="24"/>
          <w:szCs w:val="24"/>
        </w:rPr>
        <w:t>;</w:t>
      </w:r>
    </w:p>
    <w:p w14:paraId="16535A29" w14:textId="50CD0793" w:rsidR="00F00749" w:rsidRPr="00712637" w:rsidRDefault="00F00749" w:rsidP="00712637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2637">
        <w:rPr>
          <w:rFonts w:ascii="Times New Roman" w:hAnsi="Times New Roman" w:cs="Times New Roman"/>
          <w:sz w:val="24"/>
          <w:szCs w:val="24"/>
        </w:rPr>
        <w:t>līdz šim ar Cenrādi tika noteikta nomas maksa par reklāmas vai nomnieka informācijas objekta izvietošanu pašvaldības zemesgabalos. Saskaņā ar Noteikum</w:t>
      </w:r>
      <w:r w:rsidR="00712637" w:rsidRPr="00712637">
        <w:rPr>
          <w:rFonts w:ascii="Times New Roman" w:hAnsi="Times New Roman" w:cs="Times New Roman"/>
          <w:sz w:val="24"/>
          <w:szCs w:val="24"/>
        </w:rPr>
        <w:t>iem</w:t>
      </w:r>
      <w:r w:rsidRPr="00712637">
        <w:rPr>
          <w:rFonts w:ascii="Times New Roman" w:hAnsi="Times New Roman" w:cs="Times New Roman"/>
          <w:sz w:val="24"/>
          <w:szCs w:val="24"/>
        </w:rPr>
        <w:t xml:space="preserve"> turpmāk tie ir divi dažādi nomas gadījumi</w:t>
      </w:r>
      <w:r w:rsidR="00712637" w:rsidRPr="00712637">
        <w:rPr>
          <w:rFonts w:ascii="Times New Roman" w:hAnsi="Times New Roman" w:cs="Times New Roman"/>
          <w:sz w:val="24"/>
          <w:szCs w:val="24"/>
        </w:rPr>
        <w:t xml:space="preserve"> - </w:t>
      </w:r>
      <w:r w:rsidRPr="00712637">
        <w:rPr>
          <w:rFonts w:ascii="Times New Roman" w:hAnsi="Times New Roman" w:cs="Times New Roman"/>
          <w:sz w:val="24"/>
          <w:szCs w:val="24"/>
        </w:rPr>
        <w:t xml:space="preserve">neapbūvēts zemesgabals, kas tiek izmantots nomnieka informācijas objekta izvietošanai gar ceļiem vai </w:t>
      </w:r>
      <w:proofErr w:type="spellStart"/>
      <w:r w:rsidRPr="00712637">
        <w:rPr>
          <w:rFonts w:ascii="Times New Roman" w:hAnsi="Times New Roman" w:cs="Times New Roman"/>
          <w:sz w:val="24"/>
          <w:szCs w:val="24"/>
        </w:rPr>
        <w:t>izkārtnes</w:t>
      </w:r>
      <w:proofErr w:type="spellEnd"/>
      <w:r w:rsidRPr="00712637">
        <w:rPr>
          <w:rFonts w:ascii="Times New Roman" w:hAnsi="Times New Roman" w:cs="Times New Roman"/>
          <w:sz w:val="24"/>
          <w:szCs w:val="24"/>
        </w:rPr>
        <w:t xml:space="preserve"> izvietošanai (29.9. apakšpunkts)</w:t>
      </w:r>
      <w:r w:rsidR="00712637" w:rsidRPr="00712637">
        <w:rPr>
          <w:rFonts w:ascii="Times New Roman" w:hAnsi="Times New Roman" w:cs="Times New Roman"/>
          <w:sz w:val="24"/>
          <w:szCs w:val="24"/>
        </w:rPr>
        <w:t xml:space="preserve">, un </w:t>
      </w:r>
      <w:r w:rsidRPr="00712637">
        <w:rPr>
          <w:rFonts w:ascii="Times New Roman" w:hAnsi="Times New Roman" w:cs="Times New Roman"/>
          <w:sz w:val="24"/>
          <w:szCs w:val="24"/>
        </w:rPr>
        <w:t xml:space="preserve">neapbūvēts zemesgabals, kas tiek izmantots tāda reklāmas objekta izvietošanai, kas nav minēts </w:t>
      </w:r>
      <w:r w:rsidR="00712637" w:rsidRPr="00712637">
        <w:rPr>
          <w:rFonts w:ascii="Times New Roman" w:hAnsi="Times New Roman" w:cs="Times New Roman"/>
          <w:sz w:val="24"/>
          <w:szCs w:val="24"/>
        </w:rPr>
        <w:t>N</w:t>
      </w:r>
      <w:r w:rsidRPr="00712637">
        <w:rPr>
          <w:rFonts w:ascii="Times New Roman" w:hAnsi="Times New Roman" w:cs="Times New Roman"/>
          <w:sz w:val="24"/>
          <w:szCs w:val="24"/>
        </w:rPr>
        <w:t>oteikumu </w:t>
      </w:r>
      <w:hyperlink r:id="rId8" w:anchor="p29.9" w:tgtFrame="_blank" w:history="1">
        <w:r w:rsidRPr="00712637">
          <w:rPr>
            <w:rFonts w:ascii="Times New Roman" w:hAnsi="Times New Roman" w:cs="Times New Roman"/>
            <w:sz w:val="24"/>
            <w:szCs w:val="24"/>
          </w:rPr>
          <w:t>29.9.</w:t>
        </w:r>
      </w:hyperlink>
      <w:r w:rsidRPr="00712637">
        <w:rPr>
          <w:rFonts w:ascii="Times New Roman" w:hAnsi="Times New Roman" w:cs="Times New Roman"/>
          <w:sz w:val="24"/>
          <w:szCs w:val="24"/>
        </w:rPr>
        <w:t> apakšpunktā (Noteikumu 29.10. apakšpunkts).</w:t>
      </w:r>
    </w:p>
    <w:p w14:paraId="2F1A1442" w14:textId="1EB01E54" w:rsidR="00712637" w:rsidRDefault="0095243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U</w:t>
      </w:r>
      <w:r w:rsidR="00F00749" w:rsidRPr="00DD27DF">
        <w:rPr>
          <w:rFonts w:ascii="Times New Roman" w:hAnsi="Times New Roman" w:cs="Times New Roman"/>
        </w:rPr>
        <w:t xml:space="preserve">z </w:t>
      </w:r>
      <w:r w:rsidR="005C0BE6" w:rsidRPr="00DD27DF">
        <w:rPr>
          <w:rFonts w:ascii="Times New Roman" w:hAnsi="Times New Roman" w:cs="Times New Roman"/>
        </w:rPr>
        <w:t>visiem</w:t>
      </w:r>
      <w:r w:rsidR="00F00749" w:rsidRPr="00DD27DF">
        <w:rPr>
          <w:rFonts w:ascii="Times New Roman" w:hAnsi="Times New Roman" w:cs="Times New Roman"/>
        </w:rPr>
        <w:t xml:space="preserve"> pašvaldības iznomājamajiem zemesgabaliem attiecināmu universāli pielietojamu nomas maksu noteikšanai tika pieaicināti sertificēti vērtētāji</w:t>
      </w:r>
      <w:r w:rsidRPr="00DD27DF">
        <w:rPr>
          <w:rFonts w:ascii="Times New Roman" w:hAnsi="Times New Roman" w:cs="Times New Roman"/>
        </w:rPr>
        <w:t xml:space="preserve">, </w:t>
      </w:r>
      <w:r w:rsidR="00EF5B92">
        <w:rPr>
          <w:rFonts w:ascii="Times New Roman" w:hAnsi="Times New Roman" w:cs="Times New Roman"/>
        </w:rPr>
        <w:t>atbilstoši</w:t>
      </w:r>
      <w:r w:rsidRPr="00DD27DF">
        <w:rPr>
          <w:rFonts w:ascii="Times New Roman" w:hAnsi="Times New Roman" w:cs="Times New Roman"/>
        </w:rPr>
        <w:t xml:space="preserve"> Ministru kabineta 19.06.2018. noteikumu Nr. 350 “Publiskas personas zemes nomas un apbūves tiesības noteikumi” 29.7., 29.9. un 29.10. apakšpunkt</w:t>
      </w:r>
      <w:r w:rsidR="00EF5B92">
        <w:rPr>
          <w:rFonts w:ascii="Times New Roman" w:hAnsi="Times New Roman" w:cs="Times New Roman"/>
        </w:rPr>
        <w:t>a nosacījumiem</w:t>
      </w:r>
      <w:r w:rsidR="00F00749" w:rsidRPr="00DD27DF">
        <w:rPr>
          <w:rFonts w:ascii="Times New Roman" w:hAnsi="Times New Roman" w:cs="Times New Roman"/>
        </w:rPr>
        <w:t xml:space="preserve">. </w:t>
      </w:r>
    </w:p>
    <w:p w14:paraId="5B2985EF" w14:textId="65884066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lastRenderedPageBreak/>
        <w:t xml:space="preserve">Pašvaldības zemes īpašumu izvērtēšanas darba grupa 22.08.2024. </w:t>
      </w:r>
      <w:r w:rsidR="00DD27DF">
        <w:rPr>
          <w:rFonts w:ascii="Times New Roman" w:hAnsi="Times New Roman" w:cs="Times New Roman"/>
        </w:rPr>
        <w:t>izskatīja</w:t>
      </w:r>
      <w:r w:rsidRPr="00DD27DF">
        <w:rPr>
          <w:rFonts w:ascii="Times New Roman" w:hAnsi="Times New Roman" w:cs="Times New Roman"/>
        </w:rPr>
        <w:t xml:space="preserve"> darba uzdevumus vērtētajiem (protokols Nr. ĀNP/1-18-2/24/1)</w:t>
      </w:r>
      <w:r w:rsidR="00F34CEF" w:rsidRPr="00DD27DF">
        <w:rPr>
          <w:rFonts w:ascii="Times New Roman" w:hAnsi="Times New Roman" w:cs="Times New Roman"/>
        </w:rPr>
        <w:t xml:space="preserve">, </w:t>
      </w:r>
      <w:r w:rsidR="00712637">
        <w:rPr>
          <w:rFonts w:ascii="Times New Roman" w:hAnsi="Times New Roman" w:cs="Times New Roman"/>
        </w:rPr>
        <w:t>nosakot</w:t>
      </w:r>
      <w:r w:rsidR="00F34CEF" w:rsidRPr="00DD27DF">
        <w:rPr>
          <w:rFonts w:ascii="Times New Roman" w:hAnsi="Times New Roman" w:cs="Times New Roman"/>
        </w:rPr>
        <w:t xml:space="preserve"> ekonomiski pievilcīgāk</w:t>
      </w:r>
      <w:r w:rsidR="00DD27DF" w:rsidRPr="00DD27DF">
        <w:rPr>
          <w:rFonts w:ascii="Times New Roman" w:hAnsi="Times New Roman" w:cs="Times New Roman"/>
        </w:rPr>
        <w:t>o</w:t>
      </w:r>
      <w:r w:rsidR="00F34CEF" w:rsidRPr="00DD27DF">
        <w:rPr>
          <w:rFonts w:ascii="Times New Roman" w:hAnsi="Times New Roman" w:cs="Times New Roman"/>
        </w:rPr>
        <w:t>s zemesgabalus abu pagastu teritorijā</w:t>
      </w:r>
      <w:r w:rsidR="00EF5B92">
        <w:rPr>
          <w:rFonts w:ascii="Times New Roman" w:hAnsi="Times New Roman" w:cs="Times New Roman"/>
        </w:rPr>
        <w:t xml:space="preserve"> -</w:t>
      </w:r>
      <w:r w:rsidR="005C0BE6" w:rsidRPr="00DD27DF">
        <w:rPr>
          <w:rFonts w:ascii="Times New Roman" w:hAnsi="Times New Roman" w:cs="Times New Roman"/>
        </w:rPr>
        <w:t xml:space="preserve"> </w:t>
      </w:r>
      <w:r w:rsidR="00F34CEF" w:rsidRPr="00DD27DF">
        <w:rPr>
          <w:rFonts w:ascii="Times New Roman" w:hAnsi="Times New Roman" w:cs="Times New Roman"/>
        </w:rPr>
        <w:t>Gaujas iela 3, Ādaži</w:t>
      </w:r>
      <w:r w:rsidR="00DD27DF" w:rsidRPr="00DD27DF">
        <w:rPr>
          <w:rFonts w:ascii="Times New Roman" w:hAnsi="Times New Roman" w:cs="Times New Roman"/>
        </w:rPr>
        <w:t>,</w:t>
      </w:r>
      <w:r w:rsidR="00F34CEF" w:rsidRPr="00DD27DF">
        <w:rPr>
          <w:rFonts w:ascii="Times New Roman" w:hAnsi="Times New Roman" w:cs="Times New Roman"/>
        </w:rPr>
        <w:t xml:space="preserve"> un Jūras iel</w:t>
      </w:r>
      <w:r w:rsidR="00DD27DF" w:rsidRPr="00DD27DF">
        <w:rPr>
          <w:rFonts w:ascii="Times New Roman" w:hAnsi="Times New Roman" w:cs="Times New Roman"/>
        </w:rPr>
        <w:t>a</w:t>
      </w:r>
      <w:r w:rsidR="00F34CEF" w:rsidRPr="00DD27DF">
        <w:rPr>
          <w:rFonts w:ascii="Times New Roman" w:hAnsi="Times New Roman" w:cs="Times New Roman"/>
        </w:rPr>
        <w:t xml:space="preserve"> 3A, Carnikava, </w:t>
      </w:r>
      <w:r w:rsidR="00AC056A" w:rsidRPr="00DD27DF">
        <w:rPr>
          <w:rFonts w:ascii="Times New Roman" w:hAnsi="Times New Roman" w:cs="Times New Roman"/>
        </w:rPr>
        <w:t>C</w:t>
      </w:r>
      <w:r w:rsidR="00F34CEF" w:rsidRPr="00DD27DF">
        <w:rPr>
          <w:rFonts w:ascii="Times New Roman" w:hAnsi="Times New Roman" w:cs="Times New Roman"/>
        </w:rPr>
        <w:t xml:space="preserve">arnikavas pag. </w:t>
      </w:r>
      <w:r w:rsidR="00AC056A" w:rsidRPr="00DD27DF">
        <w:rPr>
          <w:rFonts w:ascii="Times New Roman" w:hAnsi="Times New Roman" w:cs="Times New Roman"/>
        </w:rPr>
        <w:t>Šāda pieeja</w:t>
      </w:r>
      <w:r w:rsidR="00F34CEF" w:rsidRPr="00DD27DF">
        <w:rPr>
          <w:rFonts w:ascii="Times New Roman" w:hAnsi="Times New Roman" w:cs="Times New Roman"/>
        </w:rPr>
        <w:t xml:space="preserve"> nodrošin</w:t>
      </w:r>
      <w:r w:rsidR="00AC056A" w:rsidRPr="00DD27DF">
        <w:rPr>
          <w:rFonts w:ascii="Times New Roman" w:hAnsi="Times New Roman" w:cs="Times New Roman"/>
        </w:rPr>
        <w:t>a</w:t>
      </w:r>
      <w:r w:rsidR="00F34CEF" w:rsidRPr="00DD27DF">
        <w:rPr>
          <w:rFonts w:ascii="Times New Roman" w:hAnsi="Times New Roman" w:cs="Times New Roman"/>
        </w:rPr>
        <w:t xml:space="preserve">, ka </w:t>
      </w:r>
      <w:r w:rsidR="00AC056A" w:rsidRPr="00DD27DF">
        <w:rPr>
          <w:rFonts w:ascii="Times New Roman" w:hAnsi="Times New Roman" w:cs="Times New Roman"/>
        </w:rPr>
        <w:t>attiecinot noteiktas nomas maksas</w:t>
      </w:r>
      <w:r w:rsidR="00F34CEF" w:rsidRPr="00DD27DF">
        <w:rPr>
          <w:rFonts w:ascii="Times New Roman" w:hAnsi="Times New Roman" w:cs="Times New Roman"/>
        </w:rPr>
        <w:t xml:space="preserve"> uz </w:t>
      </w:r>
      <w:r w:rsidR="00AC056A" w:rsidRPr="00DD27DF">
        <w:rPr>
          <w:rFonts w:ascii="Times New Roman" w:hAnsi="Times New Roman" w:cs="Times New Roman"/>
        </w:rPr>
        <w:t>citiem</w:t>
      </w:r>
      <w:r w:rsidR="00F34CEF" w:rsidRPr="00DD27DF">
        <w:rPr>
          <w:rFonts w:ascii="Times New Roman" w:hAnsi="Times New Roman" w:cs="Times New Roman"/>
        </w:rPr>
        <w:t xml:space="preserve"> zemesgabaliem</w:t>
      </w:r>
      <w:r w:rsidR="00AC056A" w:rsidRPr="00DD27DF">
        <w:rPr>
          <w:rFonts w:ascii="Times New Roman" w:hAnsi="Times New Roman" w:cs="Times New Roman"/>
        </w:rPr>
        <w:t xml:space="preserve"> pagastu teritorijās</w:t>
      </w:r>
      <w:r w:rsidR="00F34CEF" w:rsidRPr="00DD27DF">
        <w:rPr>
          <w:rFonts w:ascii="Times New Roman" w:hAnsi="Times New Roman" w:cs="Times New Roman"/>
        </w:rPr>
        <w:t xml:space="preserve"> tik</w:t>
      </w:r>
      <w:r w:rsidR="00FE4D2B">
        <w:rPr>
          <w:rFonts w:ascii="Times New Roman" w:hAnsi="Times New Roman" w:cs="Times New Roman"/>
        </w:rPr>
        <w:t>s</w:t>
      </w:r>
      <w:r w:rsidR="00F34CEF" w:rsidRPr="00DD27DF">
        <w:rPr>
          <w:rFonts w:ascii="Times New Roman" w:hAnsi="Times New Roman" w:cs="Times New Roman"/>
        </w:rPr>
        <w:t xml:space="preserve"> ievērota Publiskas personas finanšu līdzekļu un mantas izšķērdēšanas novēršanas likuma 3. panta </w:t>
      </w:r>
      <w:r w:rsidR="00DD27DF" w:rsidRPr="00DD27DF">
        <w:rPr>
          <w:rFonts w:ascii="Times New Roman" w:hAnsi="Times New Roman" w:cs="Times New Roman"/>
        </w:rPr>
        <w:t>otrās</w:t>
      </w:r>
      <w:r w:rsidR="00F34CEF" w:rsidRPr="00DD27DF">
        <w:rPr>
          <w:rFonts w:ascii="Times New Roman" w:hAnsi="Times New Roman" w:cs="Times New Roman"/>
        </w:rPr>
        <w:t xml:space="preserve"> daļas prasība, ka </w:t>
      </w:r>
      <w:r w:rsidR="00FE4D2B">
        <w:rPr>
          <w:rFonts w:ascii="Times New Roman" w:hAnsi="Times New Roman" w:cs="Times New Roman"/>
        </w:rPr>
        <w:t>p</w:t>
      </w:r>
      <w:r w:rsidR="00F34CEF" w:rsidRPr="00DD27DF">
        <w:rPr>
          <w:rFonts w:ascii="Times New Roman" w:hAnsi="Times New Roman" w:cs="Times New Roman"/>
        </w:rPr>
        <w:t>ubliska persona nodod īpašumu lietošanā citai personai par iespējami augstāku cenu</w:t>
      </w:r>
      <w:r w:rsidRPr="00DD27DF">
        <w:rPr>
          <w:rFonts w:ascii="Times New Roman" w:hAnsi="Times New Roman" w:cs="Times New Roman"/>
        </w:rPr>
        <w:t>.</w:t>
      </w:r>
      <w:r w:rsidR="00AC056A" w:rsidRPr="00DD27DF">
        <w:rPr>
          <w:rFonts w:ascii="Times New Roman" w:hAnsi="Times New Roman" w:cs="Times New Roman"/>
        </w:rPr>
        <w:t xml:space="preserve"> </w:t>
      </w:r>
    </w:p>
    <w:p w14:paraId="79E7AA18" w14:textId="49283BAA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Ar sertificēto vērtētāju atzinumiem (SIA "Maks V vērtēšana"</w:t>
      </w:r>
      <w:r w:rsidR="00FE4D2B">
        <w:rPr>
          <w:rFonts w:ascii="Times New Roman" w:hAnsi="Times New Roman" w:cs="Times New Roman"/>
        </w:rPr>
        <w:t xml:space="preserve"> </w:t>
      </w:r>
      <w:r w:rsidR="00FE4D2B" w:rsidRPr="00DD27DF">
        <w:rPr>
          <w:rFonts w:ascii="Times New Roman" w:hAnsi="Times New Roman" w:cs="Times New Roman"/>
        </w:rPr>
        <w:t>17.09.2024</w:t>
      </w:r>
      <w:r w:rsidR="007A7819">
        <w:rPr>
          <w:rFonts w:ascii="Times New Roman" w:hAnsi="Times New Roman" w:cs="Times New Roman"/>
        </w:rPr>
        <w:t>.</w:t>
      </w:r>
      <w:r w:rsidR="00F14ED8" w:rsidRPr="00DD27DF">
        <w:rPr>
          <w:rFonts w:ascii="Times New Roman" w:hAnsi="Times New Roman" w:cs="Times New Roman"/>
        </w:rPr>
        <w:t xml:space="preserve">, </w:t>
      </w:r>
      <w:r w:rsidR="00FE4D2B">
        <w:rPr>
          <w:rFonts w:ascii="Times New Roman" w:hAnsi="Times New Roman" w:cs="Times New Roman"/>
        </w:rPr>
        <w:t xml:space="preserve">atzinums </w:t>
      </w:r>
      <w:r w:rsidR="00F14ED8" w:rsidRPr="00DD27DF">
        <w:rPr>
          <w:rFonts w:ascii="Times New Roman" w:hAnsi="Times New Roman" w:cs="Times New Roman"/>
        </w:rPr>
        <w:t>“Par nekustamā īpašuma vērtējumu, Gaujas iela 3, Ādažos”</w:t>
      </w:r>
      <w:r w:rsidR="00FE4D2B" w:rsidRPr="00FE4D2B">
        <w:rPr>
          <w:rFonts w:ascii="Times New Roman" w:hAnsi="Times New Roman" w:cs="Times New Roman"/>
        </w:rPr>
        <w:t xml:space="preserve"> </w:t>
      </w:r>
      <w:r w:rsidR="00FE4D2B">
        <w:rPr>
          <w:rFonts w:ascii="Times New Roman" w:hAnsi="Times New Roman" w:cs="Times New Roman"/>
        </w:rPr>
        <w:t>(</w:t>
      </w:r>
      <w:proofErr w:type="spellStart"/>
      <w:r w:rsidR="00FE4D2B" w:rsidRPr="00DD27DF">
        <w:rPr>
          <w:rFonts w:ascii="Times New Roman" w:hAnsi="Times New Roman" w:cs="Times New Roman"/>
        </w:rPr>
        <w:t>reģ</w:t>
      </w:r>
      <w:proofErr w:type="spellEnd"/>
      <w:r w:rsidR="00FE4D2B" w:rsidRPr="00DD27DF">
        <w:rPr>
          <w:rFonts w:ascii="Times New Roman" w:hAnsi="Times New Roman" w:cs="Times New Roman"/>
        </w:rPr>
        <w:t>. Nr. ĀNP/1-11-1/24/4791</w:t>
      </w:r>
      <w:r w:rsidR="00FE4D2B">
        <w:rPr>
          <w:rFonts w:ascii="Times New Roman" w:hAnsi="Times New Roman" w:cs="Times New Roman"/>
        </w:rPr>
        <w:t>)</w:t>
      </w:r>
      <w:r w:rsidR="00DD27DF">
        <w:rPr>
          <w:rFonts w:ascii="Times New Roman" w:hAnsi="Times New Roman" w:cs="Times New Roman"/>
        </w:rPr>
        <w:t xml:space="preserve"> un</w:t>
      </w:r>
      <w:r w:rsidRPr="00DD27DF">
        <w:rPr>
          <w:rFonts w:ascii="Times New Roman" w:hAnsi="Times New Roman" w:cs="Times New Roman"/>
        </w:rPr>
        <w:t xml:space="preserve"> SIA “</w:t>
      </w:r>
      <w:proofErr w:type="spellStart"/>
      <w:r w:rsidRPr="00DD27DF">
        <w:rPr>
          <w:rFonts w:ascii="Times New Roman" w:hAnsi="Times New Roman" w:cs="Times New Roman"/>
        </w:rPr>
        <w:t>Vindeks</w:t>
      </w:r>
      <w:proofErr w:type="spellEnd"/>
      <w:r w:rsidRPr="00DD27DF">
        <w:rPr>
          <w:rFonts w:ascii="Times New Roman" w:hAnsi="Times New Roman" w:cs="Times New Roman"/>
        </w:rPr>
        <w:t xml:space="preserve">” </w:t>
      </w:r>
      <w:r w:rsidR="00FE4D2B" w:rsidRPr="00DD27DF">
        <w:rPr>
          <w:rFonts w:ascii="Times New Roman" w:hAnsi="Times New Roman" w:cs="Times New Roman"/>
        </w:rPr>
        <w:t xml:space="preserve">10.10.2024. </w:t>
      </w:r>
      <w:r w:rsidR="00FE4D2B">
        <w:rPr>
          <w:rFonts w:ascii="Times New Roman" w:hAnsi="Times New Roman" w:cs="Times New Roman"/>
        </w:rPr>
        <w:t xml:space="preserve">atzinums </w:t>
      </w:r>
      <w:r w:rsidR="00FE4D2B" w:rsidRPr="00DD27DF">
        <w:rPr>
          <w:rFonts w:ascii="Times New Roman" w:hAnsi="Times New Roman" w:cs="Times New Roman"/>
        </w:rPr>
        <w:t>“Par</w:t>
      </w:r>
      <w:r w:rsidR="00FE4D2B" w:rsidRPr="00DD27DF">
        <w:rPr>
          <w:rFonts w:ascii="Times New Roman" w:hAnsi="Times New Roman" w:cs="Times New Roman"/>
          <w:i/>
          <w:iCs/>
        </w:rPr>
        <w:t xml:space="preserve"> </w:t>
      </w:r>
      <w:r w:rsidR="00FE4D2B" w:rsidRPr="00DD27DF">
        <w:rPr>
          <w:rFonts w:ascii="Times New Roman" w:hAnsi="Times New Roman" w:cs="Times New Roman"/>
        </w:rPr>
        <w:t>atzinumu nekustamā īpašuma Jūras ielā 3A, Carnikava”</w:t>
      </w:r>
      <w:r w:rsidR="00FE4D2B">
        <w:rPr>
          <w:rFonts w:ascii="Times New Roman" w:hAnsi="Times New Roman" w:cs="Times New Roman"/>
        </w:rPr>
        <w:t xml:space="preserve"> (</w:t>
      </w:r>
      <w:proofErr w:type="spellStart"/>
      <w:r w:rsidRPr="00DD27DF">
        <w:rPr>
          <w:rFonts w:ascii="Times New Roman" w:hAnsi="Times New Roman" w:cs="Times New Roman"/>
        </w:rPr>
        <w:t>reģ</w:t>
      </w:r>
      <w:proofErr w:type="spellEnd"/>
      <w:r w:rsidR="00DD27DF">
        <w:rPr>
          <w:rFonts w:ascii="Times New Roman" w:hAnsi="Times New Roman" w:cs="Times New Roman"/>
        </w:rPr>
        <w:t>.</w:t>
      </w:r>
      <w:r w:rsidRPr="00DD27DF">
        <w:rPr>
          <w:rFonts w:ascii="Times New Roman" w:hAnsi="Times New Roman" w:cs="Times New Roman"/>
        </w:rPr>
        <w:t xml:space="preserve"> Nr. </w:t>
      </w:r>
      <w:r w:rsidR="007E10AB" w:rsidRPr="00DD27DF">
        <w:rPr>
          <w:rFonts w:ascii="Times New Roman" w:hAnsi="Times New Roman" w:cs="Times New Roman"/>
        </w:rPr>
        <w:t>ĀNP/1-11-1/24/5343</w:t>
      </w:r>
      <w:r w:rsidRPr="00DD27DF">
        <w:rPr>
          <w:rFonts w:ascii="Times New Roman" w:hAnsi="Times New Roman" w:cs="Times New Roman"/>
        </w:rPr>
        <w:t>)</w:t>
      </w:r>
      <w:r w:rsidR="00FE4D2B">
        <w:rPr>
          <w:rFonts w:ascii="Times New Roman" w:hAnsi="Times New Roman" w:cs="Times New Roman"/>
        </w:rPr>
        <w:t>)</w:t>
      </w:r>
      <w:r w:rsidRPr="00DD27DF">
        <w:rPr>
          <w:rStyle w:val="CommentReference"/>
          <w:rFonts w:ascii="Times New Roman" w:hAnsi="Times New Roman" w:cs="Times New Roman"/>
        </w:rPr>
        <w:t xml:space="preserve"> </w:t>
      </w:r>
      <w:r w:rsidRPr="00DD27DF">
        <w:rPr>
          <w:rFonts w:ascii="Times New Roman" w:hAnsi="Times New Roman" w:cs="Times New Roman"/>
        </w:rPr>
        <w:t>tika noteiktas nomas maksas pašvaldības zemesgabaliem īslaicīgai nomai</w:t>
      </w:r>
      <w:r w:rsidR="00F34CEF" w:rsidRPr="00DD27DF">
        <w:rPr>
          <w:rFonts w:ascii="Times New Roman" w:hAnsi="Times New Roman" w:cs="Times New Roman"/>
        </w:rPr>
        <w:t xml:space="preserve">. Pašvaldības zemes īpašumu izvērtēšanas darba grupa 10.10.2024. izvērtēja vērtētāju noteiktās nomas maksas un atzina, ka tās ir pamatotas un iekļaujamas </w:t>
      </w:r>
      <w:r w:rsidR="00F34CEF" w:rsidRPr="007A7819">
        <w:rPr>
          <w:rFonts w:ascii="Times New Roman" w:hAnsi="Times New Roman" w:cs="Times New Roman"/>
        </w:rPr>
        <w:t>jaun</w:t>
      </w:r>
      <w:r w:rsidR="008A5232" w:rsidRPr="007A7819">
        <w:rPr>
          <w:rFonts w:ascii="Times New Roman" w:hAnsi="Times New Roman" w:cs="Times New Roman"/>
        </w:rPr>
        <w:t>ajā</w:t>
      </w:r>
      <w:r w:rsidR="00F34CEF" w:rsidRPr="00925B83">
        <w:rPr>
          <w:rFonts w:ascii="Times New Roman" w:hAnsi="Times New Roman" w:cs="Times New Roman"/>
          <w:color w:val="00B050"/>
        </w:rPr>
        <w:t xml:space="preserve"> </w:t>
      </w:r>
      <w:r w:rsidR="00F34CEF" w:rsidRPr="00DD27DF">
        <w:rPr>
          <w:rFonts w:ascii="Times New Roman" w:hAnsi="Times New Roman" w:cs="Times New Roman"/>
        </w:rPr>
        <w:t>cenrādī</w:t>
      </w:r>
      <w:r w:rsidR="00FE4D2B">
        <w:rPr>
          <w:rFonts w:ascii="Times New Roman" w:hAnsi="Times New Roman" w:cs="Times New Roman"/>
        </w:rPr>
        <w:t xml:space="preserve">, </w:t>
      </w:r>
      <w:r w:rsidR="00F34CEF" w:rsidRPr="00DD27DF">
        <w:rPr>
          <w:rFonts w:ascii="Times New Roman" w:hAnsi="Times New Roman" w:cs="Times New Roman"/>
        </w:rPr>
        <w:t>attiecin</w:t>
      </w:r>
      <w:r w:rsidR="00FE4D2B">
        <w:rPr>
          <w:rFonts w:ascii="Times New Roman" w:hAnsi="Times New Roman" w:cs="Times New Roman"/>
        </w:rPr>
        <w:t>ot</w:t>
      </w:r>
      <w:r w:rsidR="00F34CEF" w:rsidRPr="00DD27DF">
        <w:rPr>
          <w:rFonts w:ascii="Times New Roman" w:hAnsi="Times New Roman" w:cs="Times New Roman"/>
        </w:rPr>
        <w:t xml:space="preserve"> uz visiem nomas gadījumiem katra pagasta teritorijā</w:t>
      </w:r>
      <w:r w:rsidRPr="00DD27DF">
        <w:rPr>
          <w:rFonts w:ascii="Times New Roman" w:hAnsi="Times New Roman" w:cs="Times New Roman"/>
        </w:rPr>
        <w:t>:</w:t>
      </w:r>
    </w:p>
    <w:p w14:paraId="47755779" w14:textId="5991BFDE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Ādažu pilsētā un Ādažu pagastā:</w:t>
      </w:r>
    </w:p>
    <w:p w14:paraId="7BA9A76D" w14:textId="7705B213" w:rsidR="00F00749" w:rsidRPr="00DD27DF" w:rsidRDefault="00F00749" w:rsidP="00F0074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līdz 20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30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 xml:space="preserve">dienā; </w:t>
      </w:r>
    </w:p>
    <w:p w14:paraId="36890512" w14:textId="3D87302D" w:rsidR="00F00749" w:rsidRPr="00DD27DF" w:rsidRDefault="00F00749" w:rsidP="00F0074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no 21 līdz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70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 xml:space="preserve">dienā; </w:t>
      </w:r>
    </w:p>
    <w:p w14:paraId="419462C6" w14:textId="371B78A0" w:rsidR="00F00749" w:rsidRPr="00DD27DF" w:rsidRDefault="00F00749" w:rsidP="00F0074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vairāk par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100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EF5B92">
        <w:rPr>
          <w:rFonts w:ascii="Times New Roman" w:hAnsi="Times New Roman" w:cs="Times New Roman"/>
          <w:sz w:val="24"/>
          <w:szCs w:val="24"/>
        </w:rPr>
        <w:t>.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E1A99" w14:textId="07885F07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Carnikavas pagastā:</w:t>
      </w:r>
    </w:p>
    <w:p w14:paraId="706F4329" w14:textId="7FF737F7" w:rsidR="00F00749" w:rsidRPr="00DD27DF" w:rsidRDefault="00F00749" w:rsidP="00F0074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līdz 20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24</w:t>
      </w:r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EF5B92">
        <w:rPr>
          <w:rFonts w:ascii="Times New Roman" w:hAnsi="Times New Roman" w:cs="Times New Roman"/>
          <w:sz w:val="24"/>
          <w:szCs w:val="24"/>
        </w:rPr>
        <w:t>;</w:t>
      </w:r>
    </w:p>
    <w:p w14:paraId="7770652A" w14:textId="4A2AECE0" w:rsidR="00F00749" w:rsidRPr="00DD27DF" w:rsidRDefault="00F00749" w:rsidP="00F0074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no 21 līdz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56</w:t>
      </w:r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EF5B92">
        <w:rPr>
          <w:rFonts w:ascii="Times New Roman" w:hAnsi="Times New Roman" w:cs="Times New Roman"/>
          <w:sz w:val="24"/>
          <w:szCs w:val="24"/>
        </w:rPr>
        <w:t>;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60467" w14:textId="695E3E6A" w:rsidR="00F00749" w:rsidRPr="00DD27DF" w:rsidRDefault="00F00749" w:rsidP="00F0074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nomas maksa platībai vairāk par 500 m</w:t>
      </w:r>
      <w:r w:rsidRPr="00DD2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27DF">
        <w:rPr>
          <w:rFonts w:ascii="Times New Roman" w:hAnsi="Times New Roman" w:cs="Times New Roman"/>
          <w:sz w:val="24"/>
          <w:szCs w:val="24"/>
        </w:rPr>
        <w:t xml:space="preserve"> ir </w:t>
      </w:r>
      <w:r w:rsidR="007E35FB" w:rsidRPr="00DD27DF">
        <w:rPr>
          <w:rFonts w:ascii="Times New Roman" w:hAnsi="Times New Roman" w:cs="Times New Roman"/>
          <w:sz w:val="24"/>
          <w:szCs w:val="24"/>
        </w:rPr>
        <w:t>100</w:t>
      </w:r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27DF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DD27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27DF">
        <w:rPr>
          <w:rFonts w:ascii="Times New Roman" w:hAnsi="Times New Roman" w:cs="Times New Roman"/>
          <w:sz w:val="24"/>
          <w:szCs w:val="24"/>
        </w:rPr>
        <w:t>dienā</w:t>
      </w:r>
      <w:r w:rsidR="00FE4D2B">
        <w:rPr>
          <w:rFonts w:ascii="Times New Roman" w:hAnsi="Times New Roman" w:cs="Times New Roman"/>
          <w:sz w:val="24"/>
          <w:szCs w:val="24"/>
        </w:rPr>
        <w:t>.</w:t>
      </w:r>
      <w:r w:rsidRPr="00DD2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2A484" w14:textId="0CB8E09A" w:rsidR="00F578A4" w:rsidRPr="00DD27DF" w:rsidRDefault="00F578A4" w:rsidP="00F578A4">
      <w:pPr>
        <w:spacing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Papildu nomas maksa</w:t>
      </w:r>
      <w:r w:rsidR="00FE4D2B">
        <w:rPr>
          <w:rFonts w:ascii="Times New Roman" w:hAnsi="Times New Roman" w:cs="Times New Roman"/>
        </w:rPr>
        <w:t>i</w:t>
      </w:r>
      <w:r w:rsidRPr="00DD27DF">
        <w:rPr>
          <w:rFonts w:ascii="Times New Roman" w:hAnsi="Times New Roman" w:cs="Times New Roman"/>
        </w:rPr>
        <w:t xml:space="preserve"> nomniek</w:t>
      </w:r>
      <w:r w:rsidR="00FE4D2B">
        <w:rPr>
          <w:rFonts w:ascii="Times New Roman" w:hAnsi="Times New Roman" w:cs="Times New Roman"/>
        </w:rPr>
        <w:t>s</w:t>
      </w:r>
      <w:r w:rsidRPr="00DD27DF">
        <w:rPr>
          <w:rFonts w:ascii="Times New Roman" w:hAnsi="Times New Roman" w:cs="Times New Roman"/>
        </w:rPr>
        <w:t xml:space="preserve"> maksā PVN normatīvajos aktos noteiktā apmērā.</w:t>
      </w:r>
    </w:p>
    <w:p w14:paraId="2F22DD61" w14:textId="74E14154" w:rsidR="00952439" w:rsidRPr="00DD27DF" w:rsidRDefault="00F00749" w:rsidP="00952439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D27DF">
        <w:rPr>
          <w:rFonts w:ascii="Times New Roman" w:hAnsi="Times New Roman" w:cs="Times New Roman"/>
        </w:rPr>
        <w:t>Ar sertificēt</w:t>
      </w:r>
      <w:r w:rsidR="00DD27DF">
        <w:rPr>
          <w:rFonts w:ascii="Times New Roman" w:hAnsi="Times New Roman" w:cs="Times New Roman"/>
        </w:rPr>
        <w:t>a</w:t>
      </w:r>
      <w:r w:rsidRPr="00DD27DF">
        <w:rPr>
          <w:rFonts w:ascii="Times New Roman" w:hAnsi="Times New Roman" w:cs="Times New Roman"/>
        </w:rPr>
        <w:t xml:space="preserve"> vērtētāj</w:t>
      </w:r>
      <w:r w:rsidR="00DD27DF">
        <w:rPr>
          <w:rFonts w:ascii="Times New Roman" w:hAnsi="Times New Roman" w:cs="Times New Roman"/>
        </w:rPr>
        <w:t>a</w:t>
      </w:r>
      <w:r w:rsidRPr="00DD27DF">
        <w:rPr>
          <w:rFonts w:ascii="Times New Roman" w:hAnsi="Times New Roman" w:cs="Times New Roman"/>
        </w:rPr>
        <w:t xml:space="preserve"> atzinumu</w:t>
      </w:r>
      <w:r w:rsidR="00F578A4" w:rsidRPr="00DD27DF">
        <w:rPr>
          <w:rFonts w:ascii="Times New Roman" w:hAnsi="Times New Roman" w:cs="Times New Roman"/>
        </w:rPr>
        <w:t xml:space="preserve"> (</w:t>
      </w:r>
      <w:r w:rsidR="00B57C1C" w:rsidRPr="00DD27DF">
        <w:rPr>
          <w:rFonts w:ascii="Times New Roman" w:hAnsi="Times New Roman" w:cs="Times New Roman"/>
        </w:rPr>
        <w:t xml:space="preserve">SIA "Maks V vērtēšana" </w:t>
      </w:r>
      <w:r w:rsidR="00FE4D2B" w:rsidRPr="00DD27DF">
        <w:rPr>
          <w:rFonts w:ascii="Times New Roman" w:hAnsi="Times New Roman" w:cs="Times New Roman"/>
        </w:rPr>
        <w:t xml:space="preserve">18.09.2024. </w:t>
      </w:r>
      <w:r w:rsidR="00FE4D2B">
        <w:rPr>
          <w:rFonts w:ascii="Times New Roman" w:hAnsi="Times New Roman" w:cs="Times New Roman"/>
        </w:rPr>
        <w:t xml:space="preserve">atzinums </w:t>
      </w:r>
      <w:r w:rsidR="00FE4D2B" w:rsidRPr="00DD27DF">
        <w:rPr>
          <w:rFonts w:ascii="Times New Roman" w:hAnsi="Times New Roman" w:cs="Times New Roman"/>
        </w:rPr>
        <w:t xml:space="preserve">“Par nekustamā īpašuma vērtējumu, </w:t>
      </w:r>
      <w:proofErr w:type="spellStart"/>
      <w:r w:rsidR="00FE4D2B" w:rsidRPr="00DD27DF">
        <w:rPr>
          <w:rFonts w:ascii="Times New Roman" w:hAnsi="Times New Roman" w:cs="Times New Roman"/>
        </w:rPr>
        <w:t>Jaunsalnieki</w:t>
      </w:r>
      <w:proofErr w:type="spellEnd"/>
      <w:r w:rsidR="00FE4D2B" w:rsidRPr="00DD27DF">
        <w:rPr>
          <w:rFonts w:ascii="Times New Roman" w:hAnsi="Times New Roman" w:cs="Times New Roman"/>
        </w:rPr>
        <w:t>, Ādažos”</w:t>
      </w:r>
      <w:r w:rsidR="00FE4D2B">
        <w:rPr>
          <w:rFonts w:ascii="Times New Roman" w:hAnsi="Times New Roman" w:cs="Times New Roman"/>
        </w:rPr>
        <w:t xml:space="preserve"> (</w:t>
      </w:r>
      <w:proofErr w:type="spellStart"/>
      <w:r w:rsidR="00B57C1C" w:rsidRPr="00DD27DF">
        <w:rPr>
          <w:rFonts w:ascii="Times New Roman" w:hAnsi="Times New Roman" w:cs="Times New Roman"/>
        </w:rPr>
        <w:t>reģ</w:t>
      </w:r>
      <w:proofErr w:type="spellEnd"/>
      <w:r w:rsidR="00B57C1C" w:rsidRPr="00DD27DF">
        <w:rPr>
          <w:rFonts w:ascii="Times New Roman" w:hAnsi="Times New Roman" w:cs="Times New Roman"/>
        </w:rPr>
        <w:t>. Nr. ĀNP/1-11-1/24/4806)</w:t>
      </w:r>
      <w:r w:rsidR="00FE4D2B">
        <w:rPr>
          <w:rFonts w:ascii="Times New Roman" w:hAnsi="Times New Roman" w:cs="Times New Roman"/>
        </w:rPr>
        <w:t>)</w:t>
      </w:r>
      <w:r w:rsidR="00B57C1C" w:rsidRPr="00DD27DF">
        <w:rPr>
          <w:rFonts w:ascii="Times New Roman" w:hAnsi="Times New Roman" w:cs="Times New Roman"/>
          <w:b/>
          <w:bCs/>
        </w:rPr>
        <w:t xml:space="preserve"> </w:t>
      </w:r>
      <w:r w:rsidRPr="00DD27DF">
        <w:rPr>
          <w:rFonts w:ascii="Times New Roman" w:hAnsi="Times New Roman" w:cs="Times New Roman"/>
        </w:rPr>
        <w:t>nomas maksa par</w:t>
      </w:r>
      <w:r w:rsidRPr="00DD27DF">
        <w:rPr>
          <w:rStyle w:val="CommentReference"/>
          <w:rFonts w:ascii="Times New Roman" w:hAnsi="Times New Roman" w:cs="Times New Roman"/>
        </w:rPr>
        <w:t xml:space="preserve"> </w:t>
      </w:r>
      <w:r w:rsidRPr="00DD27DF">
        <w:rPr>
          <w:rFonts w:ascii="Times New Roman" w:hAnsi="Times New Roman" w:cs="Times New Roman"/>
        </w:rPr>
        <w:t>reklāmas un informācijas objektu izvietošanu pašvaldības zemesgabalos</w:t>
      </w:r>
      <w:r w:rsidR="00FE4D2B">
        <w:rPr>
          <w:rFonts w:ascii="Times New Roman" w:hAnsi="Times New Roman" w:cs="Times New Roman"/>
        </w:rPr>
        <w:t xml:space="preserve"> </w:t>
      </w:r>
      <w:r w:rsidR="00EF5B92" w:rsidRPr="00DD27DF">
        <w:rPr>
          <w:rFonts w:ascii="Times New Roman" w:hAnsi="Times New Roman" w:cs="Times New Roman"/>
        </w:rPr>
        <w:t xml:space="preserve">tika noteikta </w:t>
      </w:r>
      <w:r w:rsidRPr="00DD27DF">
        <w:rPr>
          <w:rFonts w:ascii="Times New Roman" w:hAnsi="Times New Roman" w:cs="Times New Roman"/>
        </w:rPr>
        <w:t xml:space="preserve">3 </w:t>
      </w:r>
      <w:proofErr w:type="spellStart"/>
      <w:r w:rsidRPr="00DD27DF">
        <w:rPr>
          <w:rFonts w:ascii="Times New Roman" w:hAnsi="Times New Roman" w:cs="Times New Roman"/>
          <w:i/>
          <w:iCs/>
        </w:rPr>
        <w:t>euro</w:t>
      </w:r>
      <w:proofErr w:type="spellEnd"/>
      <w:r w:rsidRPr="00DD27DF">
        <w:rPr>
          <w:rFonts w:ascii="Times New Roman" w:hAnsi="Times New Roman" w:cs="Times New Roman"/>
        </w:rPr>
        <w:t xml:space="preserve"> par 1 m</w:t>
      </w:r>
      <w:r w:rsidRPr="00DD27DF">
        <w:rPr>
          <w:rFonts w:ascii="Times New Roman" w:hAnsi="Times New Roman" w:cs="Times New Roman"/>
          <w:vertAlign w:val="superscript"/>
        </w:rPr>
        <w:t>2</w:t>
      </w:r>
      <w:r w:rsidRPr="00DD27DF">
        <w:rPr>
          <w:rFonts w:ascii="Times New Roman" w:hAnsi="Times New Roman" w:cs="Times New Roman"/>
        </w:rPr>
        <w:t>/mēnesī</w:t>
      </w:r>
      <w:r w:rsidR="00952439" w:rsidRPr="00DD27DF">
        <w:rPr>
          <w:rFonts w:ascii="Times New Roman" w:hAnsi="Times New Roman" w:cs="Times New Roman"/>
        </w:rPr>
        <w:t xml:space="preserve">. </w:t>
      </w:r>
    </w:p>
    <w:p w14:paraId="3BFC15F5" w14:textId="3687607C" w:rsidR="00893241" w:rsidRPr="009C75A2" w:rsidRDefault="00AC056A" w:rsidP="00AC056A">
      <w:pPr>
        <w:shd w:val="clear" w:color="auto" w:fill="FFFFFF" w:themeFill="background1"/>
        <w:spacing w:before="120" w:after="120"/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Līdz šim ar Cenrādi tika noteiktas nomas maksas par pašvaldības neapbūvētu zemesgabalu īslaicīgu iznomāšanu sporta, kultūras</w:t>
      </w:r>
      <w:r w:rsidR="0092541C">
        <w:rPr>
          <w:rFonts w:ascii="Times New Roman" w:hAnsi="Times New Roman" w:cs="Times New Roman"/>
        </w:rPr>
        <w:t>,</w:t>
      </w:r>
      <w:r w:rsidRPr="00DD27DF">
        <w:rPr>
          <w:rFonts w:ascii="Times New Roman" w:hAnsi="Times New Roman" w:cs="Times New Roman"/>
        </w:rPr>
        <w:t xml:space="preserve"> u.c. nekomerciāla rakstura izklaides vai labdarības pasākumiem – 10,00 </w:t>
      </w:r>
      <w:proofErr w:type="spellStart"/>
      <w:r w:rsidRPr="00DD27DF">
        <w:rPr>
          <w:rFonts w:ascii="Times New Roman" w:hAnsi="Times New Roman" w:cs="Times New Roman"/>
          <w:i/>
          <w:iCs/>
        </w:rPr>
        <w:t>euro</w:t>
      </w:r>
      <w:proofErr w:type="spellEnd"/>
      <w:r w:rsidRPr="00DD27DF">
        <w:rPr>
          <w:rFonts w:ascii="Times New Roman" w:hAnsi="Times New Roman" w:cs="Times New Roman"/>
        </w:rPr>
        <w:t xml:space="preserve"> (bez PVN) dienā, un, ja iznomājamā platība ir lielāka par 1000 m</w:t>
      </w:r>
      <w:r w:rsidRPr="00DD27DF">
        <w:rPr>
          <w:rFonts w:ascii="Times New Roman" w:hAnsi="Times New Roman" w:cs="Times New Roman"/>
          <w:vertAlign w:val="superscript"/>
        </w:rPr>
        <w:t>2</w:t>
      </w:r>
      <w:r w:rsidRPr="00DD27DF">
        <w:rPr>
          <w:rFonts w:ascii="Times New Roman" w:hAnsi="Times New Roman" w:cs="Times New Roman"/>
        </w:rPr>
        <w:t xml:space="preserve"> – papildu 5,00 </w:t>
      </w:r>
      <w:proofErr w:type="spellStart"/>
      <w:r w:rsidRPr="00DD27DF">
        <w:rPr>
          <w:rFonts w:ascii="Times New Roman" w:hAnsi="Times New Roman" w:cs="Times New Roman"/>
          <w:i/>
          <w:iCs/>
        </w:rPr>
        <w:t>euro</w:t>
      </w:r>
      <w:proofErr w:type="spellEnd"/>
      <w:r w:rsidRPr="00DD27DF">
        <w:rPr>
          <w:rFonts w:ascii="Times New Roman" w:hAnsi="Times New Roman" w:cs="Times New Roman"/>
        </w:rPr>
        <w:t xml:space="preserve"> (</w:t>
      </w:r>
      <w:r w:rsidRPr="009C75A2">
        <w:rPr>
          <w:rFonts w:ascii="Times New Roman" w:hAnsi="Times New Roman" w:cs="Times New Roman"/>
        </w:rPr>
        <w:t>bez PVN) par katriem pilniem 1000 m</w:t>
      </w:r>
      <w:r w:rsidRPr="009C75A2">
        <w:rPr>
          <w:rFonts w:ascii="Times New Roman" w:hAnsi="Times New Roman" w:cs="Times New Roman"/>
          <w:vertAlign w:val="superscript"/>
        </w:rPr>
        <w:t>2</w:t>
      </w:r>
      <w:r w:rsidRPr="009C75A2">
        <w:rPr>
          <w:rFonts w:ascii="Times New Roman" w:hAnsi="Times New Roman" w:cs="Times New Roman"/>
        </w:rPr>
        <w:t xml:space="preserve">. Noteikumi neparedz, ka īslaicīgas nomas maksas apmērs ir atkarīgs no nomas mērķa, līdz ar to šāds punkts ir izslēdzams no </w:t>
      </w:r>
      <w:r w:rsidR="003E028B" w:rsidRPr="009C75A2">
        <w:rPr>
          <w:rFonts w:ascii="Times New Roman" w:hAnsi="Times New Roman" w:cs="Times New Roman"/>
        </w:rPr>
        <w:t>jaun</w:t>
      </w:r>
      <w:r w:rsidR="007A7819" w:rsidRPr="009C75A2">
        <w:rPr>
          <w:rFonts w:ascii="Times New Roman" w:hAnsi="Times New Roman" w:cs="Times New Roman"/>
        </w:rPr>
        <w:t>ā</w:t>
      </w:r>
      <w:r w:rsidR="003E028B" w:rsidRPr="009C75A2">
        <w:rPr>
          <w:rFonts w:ascii="Times New Roman" w:hAnsi="Times New Roman" w:cs="Times New Roman"/>
        </w:rPr>
        <w:t xml:space="preserve"> c</w:t>
      </w:r>
      <w:r w:rsidRPr="009C75A2">
        <w:rPr>
          <w:rFonts w:ascii="Times New Roman" w:hAnsi="Times New Roman" w:cs="Times New Roman"/>
        </w:rPr>
        <w:t xml:space="preserve">enrāža. </w:t>
      </w:r>
    </w:p>
    <w:p w14:paraId="4CB9E357" w14:textId="2C0DB7E3" w:rsidR="00AC056A" w:rsidRPr="009C75A2" w:rsidRDefault="00893241" w:rsidP="00AC056A">
      <w:pPr>
        <w:shd w:val="clear" w:color="auto" w:fill="FFFFFF" w:themeFill="background1"/>
        <w:spacing w:before="120" w:after="120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</w:rPr>
        <w:t xml:space="preserve">Ir lietderīgi noteikt ar </w:t>
      </w:r>
      <w:r w:rsidR="003E028B" w:rsidRPr="009C75A2">
        <w:rPr>
          <w:rFonts w:ascii="Times New Roman" w:hAnsi="Times New Roman" w:cs="Times New Roman"/>
        </w:rPr>
        <w:t xml:space="preserve">jauno </w:t>
      </w:r>
      <w:r w:rsidR="00543F56" w:rsidRPr="009C75A2">
        <w:rPr>
          <w:rFonts w:ascii="Times New Roman" w:hAnsi="Times New Roman" w:cs="Times New Roman"/>
        </w:rPr>
        <w:t>C</w:t>
      </w:r>
      <w:r w:rsidRPr="009C75A2">
        <w:rPr>
          <w:rFonts w:ascii="Times New Roman" w:hAnsi="Times New Roman" w:cs="Times New Roman"/>
        </w:rPr>
        <w:t>enrādi nomas maks</w:t>
      </w:r>
      <w:r w:rsidR="003E028B" w:rsidRPr="009C75A2">
        <w:rPr>
          <w:rFonts w:ascii="Times New Roman" w:hAnsi="Times New Roman" w:cs="Times New Roman"/>
        </w:rPr>
        <w:t>as</w:t>
      </w:r>
      <w:r w:rsidR="00F8174D" w:rsidRPr="009C75A2">
        <w:rPr>
          <w:rFonts w:ascii="Times New Roman" w:hAnsi="Times New Roman" w:cs="Times New Roman"/>
        </w:rPr>
        <w:t xml:space="preserve"> </w:t>
      </w:r>
      <w:r w:rsidRPr="009C75A2">
        <w:rPr>
          <w:rFonts w:ascii="Times New Roman" w:hAnsi="Times New Roman" w:cs="Times New Roman"/>
        </w:rPr>
        <w:t>samazinājumu par 50</w:t>
      </w:r>
      <w:r w:rsidR="00EF5B92">
        <w:rPr>
          <w:rFonts w:ascii="Times New Roman" w:hAnsi="Times New Roman" w:cs="Times New Roman"/>
        </w:rPr>
        <w:t xml:space="preserve"> </w:t>
      </w:r>
      <w:r w:rsidRPr="009C75A2">
        <w:rPr>
          <w:rFonts w:ascii="Times New Roman" w:hAnsi="Times New Roman" w:cs="Times New Roman"/>
        </w:rPr>
        <w:t>% gadījumiem</w:t>
      </w:r>
      <w:r w:rsidR="007A7819" w:rsidRPr="009C75A2">
        <w:rPr>
          <w:rFonts w:ascii="Times New Roman" w:hAnsi="Times New Roman" w:cs="Times New Roman"/>
        </w:rPr>
        <w:t>,</w:t>
      </w:r>
      <w:r w:rsidRPr="009C75A2">
        <w:rPr>
          <w:rFonts w:ascii="Times New Roman" w:hAnsi="Times New Roman" w:cs="Times New Roman"/>
        </w:rPr>
        <w:t xml:space="preserve"> kad nomnieks apņemas zemesgabalu izmantot sociālās aizsardzības, kultūras, izglītības, zinātnes, sporta, vides un dzīvnieku aizsardzības vai veselības aprūpes funkciju nodrošināšanai, kā to </w:t>
      </w:r>
      <w:r w:rsidR="007A7819" w:rsidRPr="009C75A2">
        <w:rPr>
          <w:rFonts w:ascii="Times New Roman" w:hAnsi="Times New Roman" w:cs="Times New Roman"/>
        </w:rPr>
        <w:t>pie</w:t>
      </w:r>
      <w:r w:rsidRPr="009C75A2">
        <w:rPr>
          <w:rFonts w:ascii="Times New Roman" w:hAnsi="Times New Roman" w:cs="Times New Roman"/>
        </w:rPr>
        <w:t xml:space="preserve">ļauj </w:t>
      </w:r>
      <w:r w:rsidR="00AC056A" w:rsidRPr="009C75A2">
        <w:rPr>
          <w:rFonts w:ascii="Times New Roman" w:hAnsi="Times New Roman" w:cs="Times New Roman"/>
        </w:rPr>
        <w:t>Noteikumu 49.5.</w:t>
      </w:r>
      <w:r w:rsidR="007A7819" w:rsidRPr="009C75A2">
        <w:rPr>
          <w:rFonts w:ascii="Times New Roman" w:hAnsi="Times New Roman" w:cs="Times New Roman"/>
        </w:rPr>
        <w:t> </w:t>
      </w:r>
      <w:r w:rsidR="00AC056A" w:rsidRPr="009C75A2">
        <w:rPr>
          <w:rFonts w:ascii="Times New Roman" w:hAnsi="Times New Roman" w:cs="Times New Roman"/>
        </w:rPr>
        <w:t>apakšpunkts</w:t>
      </w:r>
      <w:r w:rsidR="00F8174D" w:rsidRPr="009C75A2">
        <w:rPr>
          <w:rFonts w:ascii="Times New Roman" w:hAnsi="Times New Roman" w:cs="Times New Roman"/>
        </w:rPr>
        <w:t xml:space="preserve"> (taču tā nedrīkst būt mazāka par 28 </w:t>
      </w:r>
      <w:proofErr w:type="spellStart"/>
      <w:r w:rsidR="00F8174D" w:rsidRPr="009C75A2">
        <w:rPr>
          <w:rFonts w:ascii="Times New Roman" w:hAnsi="Times New Roman" w:cs="Times New Roman"/>
          <w:i/>
          <w:iCs/>
        </w:rPr>
        <w:t>euro</w:t>
      </w:r>
      <w:proofErr w:type="spellEnd"/>
      <w:r w:rsidR="00F8174D" w:rsidRPr="009C75A2">
        <w:rPr>
          <w:rFonts w:ascii="Times New Roman" w:hAnsi="Times New Roman" w:cs="Times New Roman"/>
        </w:rPr>
        <w:t xml:space="preserve"> gadā)</w:t>
      </w:r>
      <w:r w:rsidRPr="009C75A2">
        <w:rPr>
          <w:rFonts w:ascii="Times New Roman" w:hAnsi="Times New Roman" w:cs="Times New Roman"/>
        </w:rPr>
        <w:t xml:space="preserve">. </w:t>
      </w:r>
      <w:r w:rsidR="00AC056A" w:rsidRPr="009C75A2">
        <w:rPr>
          <w:rFonts w:ascii="Times New Roman" w:hAnsi="Times New Roman" w:cs="Times New Roman"/>
        </w:rPr>
        <w:t xml:space="preserve"> </w:t>
      </w:r>
    </w:p>
    <w:p w14:paraId="393E9652" w14:textId="049AADE5" w:rsidR="00893241" w:rsidRPr="009C75A2" w:rsidRDefault="001E64F6" w:rsidP="00AC056A">
      <w:pPr>
        <w:shd w:val="clear" w:color="auto" w:fill="FFFFFF" w:themeFill="background1"/>
        <w:spacing w:before="120" w:after="120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</w:rPr>
        <w:t xml:space="preserve">Pašvaldības zemesgabali ir bieži pieprasīti publiskiem komerciāliem un nekomerciāliem  sporta pasākumiem. Līdz ar to </w:t>
      </w:r>
      <w:r w:rsidR="00F8174D" w:rsidRPr="009C75A2">
        <w:rPr>
          <w:rFonts w:ascii="Times New Roman" w:hAnsi="Times New Roman" w:cs="Times New Roman"/>
        </w:rPr>
        <w:t xml:space="preserve">būtiski </w:t>
      </w:r>
      <w:r w:rsidR="003E028B" w:rsidRPr="009C75A2">
        <w:rPr>
          <w:rFonts w:ascii="Times New Roman" w:hAnsi="Times New Roman" w:cs="Times New Roman"/>
        </w:rPr>
        <w:t>jaunajā c</w:t>
      </w:r>
      <w:r w:rsidR="00F8174D" w:rsidRPr="009C75A2">
        <w:rPr>
          <w:rFonts w:ascii="Times New Roman" w:hAnsi="Times New Roman" w:cs="Times New Roman"/>
        </w:rPr>
        <w:t>enrādī noradīt</w:t>
      </w:r>
      <w:r w:rsidR="007A7819" w:rsidRPr="009C75A2">
        <w:rPr>
          <w:rFonts w:ascii="Times New Roman" w:hAnsi="Times New Roman" w:cs="Times New Roman"/>
        </w:rPr>
        <w:t>,</w:t>
      </w:r>
      <w:r w:rsidR="00F8174D" w:rsidRPr="009C75A2">
        <w:rPr>
          <w:rFonts w:ascii="Times New Roman" w:hAnsi="Times New Roman" w:cs="Times New Roman"/>
        </w:rPr>
        <w:t xml:space="preserve"> k</w:t>
      </w:r>
      <w:r w:rsidRPr="009C75A2">
        <w:rPr>
          <w:rFonts w:ascii="Times New Roman" w:hAnsi="Times New Roman" w:cs="Times New Roman"/>
        </w:rPr>
        <w:t>ādā veidā</w:t>
      </w:r>
      <w:r w:rsidR="00F8174D" w:rsidRPr="009C75A2">
        <w:rPr>
          <w:rFonts w:ascii="Times New Roman" w:hAnsi="Times New Roman" w:cs="Times New Roman"/>
        </w:rPr>
        <w:t xml:space="preserve"> tiek aprēķināta </w:t>
      </w:r>
      <w:r w:rsidRPr="009C75A2">
        <w:rPr>
          <w:rFonts w:ascii="Times New Roman" w:hAnsi="Times New Roman" w:cs="Times New Roman"/>
        </w:rPr>
        <w:t xml:space="preserve">tiem </w:t>
      </w:r>
      <w:r w:rsidR="00F8174D" w:rsidRPr="009C75A2">
        <w:rPr>
          <w:rFonts w:ascii="Times New Roman" w:hAnsi="Times New Roman" w:cs="Times New Roman"/>
        </w:rPr>
        <w:t>iznomāt</w:t>
      </w:r>
      <w:r w:rsidR="007A7819" w:rsidRPr="009C75A2">
        <w:rPr>
          <w:rFonts w:ascii="Times New Roman" w:hAnsi="Times New Roman" w:cs="Times New Roman"/>
        </w:rPr>
        <w:t>ā</w:t>
      </w:r>
      <w:r w:rsidR="00F8174D" w:rsidRPr="009C75A2">
        <w:rPr>
          <w:rFonts w:ascii="Times New Roman" w:hAnsi="Times New Roman" w:cs="Times New Roman"/>
        </w:rPr>
        <w:t xml:space="preserve"> </w:t>
      </w:r>
      <w:r w:rsidR="00543F56" w:rsidRPr="009C75A2">
        <w:rPr>
          <w:rFonts w:ascii="Times New Roman" w:hAnsi="Times New Roman" w:cs="Times New Roman"/>
        </w:rPr>
        <w:t xml:space="preserve">zemes </w:t>
      </w:r>
      <w:r w:rsidR="00F8174D" w:rsidRPr="009C75A2">
        <w:rPr>
          <w:rFonts w:ascii="Times New Roman" w:hAnsi="Times New Roman" w:cs="Times New Roman"/>
        </w:rPr>
        <w:t>platība. Pašvaldības pieredze liecina, ka publisko sporta pasākumu laikā praktiski nav iespējams noteikt visu platību, kurā notiek sporta pasākums, pie tam sporta pasākumu norise visbiežāk neierobežo iedzīvotāju iespējas izmantot pašvaldības teritoriju.</w:t>
      </w:r>
      <w:r w:rsidR="00D94381" w:rsidRPr="009C75A2">
        <w:rPr>
          <w:rFonts w:ascii="Times New Roman" w:hAnsi="Times New Roman" w:cs="Times New Roman"/>
        </w:rPr>
        <w:t xml:space="preserve"> </w:t>
      </w:r>
      <w:r w:rsidR="007A7819" w:rsidRPr="009C75A2">
        <w:rPr>
          <w:rFonts w:ascii="Times New Roman" w:hAnsi="Times New Roman" w:cs="Times New Roman"/>
        </w:rPr>
        <w:t>Bez tam</w:t>
      </w:r>
      <w:r w:rsidR="00D94381" w:rsidRPr="009C75A2">
        <w:rPr>
          <w:rFonts w:ascii="Times New Roman" w:hAnsi="Times New Roman" w:cs="Times New Roman"/>
        </w:rPr>
        <w:t xml:space="preserve"> sporta pasākumi veicina iedzīvotāju veselīgu dzīvesveidu</w:t>
      </w:r>
      <w:r w:rsidR="007A7819" w:rsidRPr="009C75A2">
        <w:rPr>
          <w:rFonts w:ascii="Times New Roman" w:hAnsi="Times New Roman" w:cs="Times New Roman"/>
        </w:rPr>
        <w:t xml:space="preserve">, kas </w:t>
      </w:r>
      <w:r w:rsidR="00972C74" w:rsidRPr="009C75A2">
        <w:rPr>
          <w:rFonts w:ascii="Times New Roman" w:hAnsi="Times New Roman" w:cs="Times New Roman"/>
        </w:rPr>
        <w:t xml:space="preserve">ir Pašvaldību likuma 4. panta pirmās daļas 6. punktā noteiktā </w:t>
      </w:r>
      <w:r w:rsidR="007A7819" w:rsidRPr="009C75A2">
        <w:rPr>
          <w:rFonts w:ascii="Times New Roman" w:hAnsi="Times New Roman" w:cs="Times New Roman"/>
        </w:rPr>
        <w:t>pašvaldības autonom</w:t>
      </w:r>
      <w:r w:rsidR="00972C74" w:rsidRPr="009C75A2">
        <w:rPr>
          <w:rFonts w:ascii="Times New Roman" w:hAnsi="Times New Roman" w:cs="Times New Roman"/>
        </w:rPr>
        <w:t>ā</w:t>
      </w:r>
      <w:r w:rsidR="007A7819" w:rsidRPr="009C75A2">
        <w:rPr>
          <w:rFonts w:ascii="Times New Roman" w:hAnsi="Times New Roman" w:cs="Times New Roman"/>
        </w:rPr>
        <w:t xml:space="preserve"> funkcij</w:t>
      </w:r>
      <w:r w:rsidR="00972C74" w:rsidRPr="009C75A2">
        <w:rPr>
          <w:rFonts w:ascii="Times New Roman" w:hAnsi="Times New Roman" w:cs="Times New Roman"/>
        </w:rPr>
        <w:t>a</w:t>
      </w:r>
      <w:r w:rsidR="00D94381" w:rsidRPr="009C75A2">
        <w:rPr>
          <w:rFonts w:ascii="Times New Roman" w:hAnsi="Times New Roman" w:cs="Times New Roman"/>
        </w:rPr>
        <w:t>.</w:t>
      </w:r>
      <w:r w:rsidR="00F8174D" w:rsidRPr="009C75A2">
        <w:rPr>
          <w:rFonts w:ascii="Times New Roman" w:hAnsi="Times New Roman" w:cs="Times New Roman"/>
        </w:rPr>
        <w:t xml:space="preserve"> Savukārt pasākuma starta vieta (teltis) visbiežāk aizņem platību līdz 20 m</w:t>
      </w:r>
      <w:r w:rsidR="00F8174D" w:rsidRPr="009C75A2">
        <w:rPr>
          <w:rFonts w:ascii="Times New Roman" w:hAnsi="Times New Roman" w:cs="Times New Roman"/>
          <w:vertAlign w:val="superscript"/>
        </w:rPr>
        <w:t>2</w:t>
      </w:r>
      <w:r w:rsidR="00F8174D" w:rsidRPr="009C75A2">
        <w:rPr>
          <w:rFonts w:ascii="Times New Roman" w:hAnsi="Times New Roman" w:cs="Times New Roman"/>
        </w:rPr>
        <w:t>.</w:t>
      </w:r>
      <w:r w:rsidR="003E028B" w:rsidRPr="009C75A2">
        <w:rPr>
          <w:rFonts w:ascii="Times New Roman" w:hAnsi="Times New Roman" w:cs="Times New Roman"/>
        </w:rPr>
        <w:t xml:space="preserve"> Tād</w:t>
      </w:r>
      <w:r w:rsidR="00972C74" w:rsidRPr="009C75A2">
        <w:rPr>
          <w:rFonts w:ascii="Times New Roman" w:hAnsi="Times New Roman" w:cs="Times New Roman"/>
        </w:rPr>
        <w:t>ē</w:t>
      </w:r>
      <w:r w:rsidR="003E028B" w:rsidRPr="009C75A2">
        <w:rPr>
          <w:rFonts w:ascii="Times New Roman" w:hAnsi="Times New Roman" w:cs="Times New Roman"/>
        </w:rPr>
        <w:t>jādi sporta pasākumiem īslaicīgas nomas gadījumā būtu nos</w:t>
      </w:r>
      <w:r w:rsidR="00972C74" w:rsidRPr="009C75A2">
        <w:rPr>
          <w:rFonts w:ascii="Times New Roman" w:hAnsi="Times New Roman" w:cs="Times New Roman"/>
        </w:rPr>
        <w:t>a</w:t>
      </w:r>
      <w:r w:rsidR="003E028B" w:rsidRPr="009C75A2">
        <w:rPr>
          <w:rFonts w:ascii="Times New Roman" w:hAnsi="Times New Roman" w:cs="Times New Roman"/>
        </w:rPr>
        <w:t>k</w:t>
      </w:r>
      <w:r w:rsidR="00972C74" w:rsidRPr="009C75A2">
        <w:rPr>
          <w:rFonts w:ascii="Times New Roman" w:hAnsi="Times New Roman" w:cs="Times New Roman"/>
        </w:rPr>
        <w:t>ā</w:t>
      </w:r>
      <w:r w:rsidR="003E028B" w:rsidRPr="009C75A2">
        <w:rPr>
          <w:rFonts w:ascii="Times New Roman" w:hAnsi="Times New Roman" w:cs="Times New Roman"/>
        </w:rPr>
        <w:t>ma atbilstoša nomas maksa.</w:t>
      </w:r>
    </w:p>
    <w:p w14:paraId="5208F94A" w14:textId="4158108A" w:rsidR="00F00749" w:rsidRPr="009C75A2" w:rsidRDefault="0092541C" w:rsidP="00F00749">
      <w:pPr>
        <w:spacing w:after="120"/>
        <w:jc w:val="both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</w:rPr>
        <w:lastRenderedPageBreak/>
        <w:t>Cenrādis</w:t>
      </w:r>
      <w:r w:rsidR="00F00749" w:rsidRPr="009C75A2">
        <w:rPr>
          <w:rFonts w:ascii="Times New Roman" w:hAnsi="Times New Roman" w:cs="Times New Roman"/>
        </w:rPr>
        <w:t xml:space="preserve"> </w:t>
      </w:r>
      <w:r w:rsidR="00893241" w:rsidRPr="009C75A2">
        <w:rPr>
          <w:rFonts w:ascii="Times New Roman" w:hAnsi="Times New Roman" w:cs="Times New Roman"/>
        </w:rPr>
        <w:t xml:space="preserve">daļā par īslaicīgu nomas maksu ir </w:t>
      </w:r>
      <w:r w:rsidR="00F00749" w:rsidRPr="009C75A2">
        <w:rPr>
          <w:rFonts w:ascii="Times New Roman" w:hAnsi="Times New Roman" w:cs="Times New Roman"/>
        </w:rPr>
        <w:t xml:space="preserve">ieviešams </w:t>
      </w:r>
      <w:r w:rsidR="000B6C40" w:rsidRPr="009C75A2">
        <w:rPr>
          <w:rFonts w:ascii="Times New Roman" w:hAnsi="Times New Roman" w:cs="Times New Roman"/>
        </w:rPr>
        <w:t>ar šā lēmuma spēkā stāšanos</w:t>
      </w:r>
      <w:r w:rsidR="00893241" w:rsidRPr="009C75A2">
        <w:rPr>
          <w:rFonts w:ascii="Times New Roman" w:hAnsi="Times New Roman" w:cs="Times New Roman"/>
        </w:rPr>
        <w:t>, savukārt attiecībā uz reklāmas un informācijas objektu izvietošanas nomas maksu</w:t>
      </w:r>
      <w:r w:rsidR="000B6C40" w:rsidRPr="009C75A2">
        <w:rPr>
          <w:rFonts w:ascii="Times New Roman" w:hAnsi="Times New Roman" w:cs="Times New Roman"/>
        </w:rPr>
        <w:t xml:space="preserve"> – </w:t>
      </w:r>
      <w:r w:rsidR="00893241" w:rsidRPr="009C75A2">
        <w:rPr>
          <w:rFonts w:ascii="Times New Roman" w:hAnsi="Times New Roman" w:cs="Times New Roman"/>
        </w:rPr>
        <w:t xml:space="preserve">ar </w:t>
      </w:r>
      <w:r w:rsidR="00F00749" w:rsidRPr="009C75A2">
        <w:rPr>
          <w:rFonts w:ascii="Times New Roman" w:hAnsi="Times New Roman" w:cs="Times New Roman"/>
        </w:rPr>
        <w:t>2025. gada 1.</w:t>
      </w:r>
      <w:r w:rsidR="00972C74" w:rsidRPr="009C75A2">
        <w:rPr>
          <w:rFonts w:ascii="Times New Roman" w:hAnsi="Times New Roman" w:cs="Times New Roman"/>
        </w:rPr>
        <w:t> </w:t>
      </w:r>
      <w:r w:rsidR="00F00749" w:rsidRPr="009C75A2">
        <w:rPr>
          <w:rFonts w:ascii="Times New Roman" w:hAnsi="Times New Roman" w:cs="Times New Roman"/>
        </w:rPr>
        <w:t>janvāri, lai nodrošinātu nomnieku savlaicīgu informēšanu</w:t>
      </w:r>
      <w:r w:rsidR="00893241" w:rsidRPr="009C75A2">
        <w:rPr>
          <w:rFonts w:ascii="Times New Roman" w:hAnsi="Times New Roman" w:cs="Times New Roman"/>
        </w:rPr>
        <w:t xml:space="preserve"> normatīvajos aktos noteiktajā kartībā</w:t>
      </w:r>
      <w:r w:rsidR="00F00749" w:rsidRPr="009C75A2">
        <w:rPr>
          <w:rFonts w:ascii="Times New Roman" w:hAnsi="Times New Roman" w:cs="Times New Roman"/>
        </w:rPr>
        <w:t>.</w:t>
      </w:r>
    </w:p>
    <w:p w14:paraId="3D50626D" w14:textId="6BD39773" w:rsidR="00F00749" w:rsidRPr="00DD27DF" w:rsidRDefault="0092541C" w:rsidP="00F00749">
      <w:pPr>
        <w:spacing w:after="120"/>
        <w:jc w:val="both"/>
        <w:rPr>
          <w:rFonts w:ascii="Times New Roman" w:hAnsi="Times New Roman" w:cs="Times New Roman"/>
        </w:rPr>
      </w:pPr>
      <w:r w:rsidRPr="000B6C40">
        <w:rPr>
          <w:rFonts w:ascii="Times New Roman" w:hAnsi="Times New Roman" w:cs="Times New Roman"/>
        </w:rPr>
        <w:t>P</w:t>
      </w:r>
      <w:r w:rsidR="00F00749" w:rsidRPr="000B6C40">
        <w:rPr>
          <w:rFonts w:ascii="Times New Roman" w:hAnsi="Times New Roman" w:cs="Times New Roman"/>
        </w:rPr>
        <w:t xml:space="preserve">amatojoties uz </w:t>
      </w:r>
      <w:r w:rsidR="00F00749" w:rsidRPr="000B6C40">
        <w:rPr>
          <w:rFonts w:ascii="Times New Roman" w:eastAsia="Calibri" w:hAnsi="Times New Roman" w:cs="Times New Roman"/>
        </w:rPr>
        <w:t xml:space="preserve">Pašvaldību likuma </w:t>
      </w:r>
      <w:r w:rsidR="00972C74" w:rsidRPr="000B6C40">
        <w:rPr>
          <w:rFonts w:ascii="Times New Roman" w:hAnsi="Times New Roman" w:cs="Times New Roman"/>
        </w:rPr>
        <w:t>4. panta pirmās daļas 6. punktu,</w:t>
      </w:r>
      <w:r w:rsidR="00972C74" w:rsidRPr="000B6C40">
        <w:rPr>
          <w:rFonts w:ascii="Times New Roman" w:eastAsia="Calibri" w:hAnsi="Times New Roman" w:cs="Times New Roman"/>
        </w:rPr>
        <w:t xml:space="preserve"> </w:t>
      </w:r>
      <w:r w:rsidR="00F00749" w:rsidRPr="000B6C40">
        <w:rPr>
          <w:rFonts w:ascii="Times New Roman" w:eastAsia="Calibri" w:hAnsi="Times New Roman" w:cs="Times New Roman"/>
        </w:rPr>
        <w:t>10</w:t>
      </w:r>
      <w:r w:rsidR="00F00749" w:rsidRPr="00DD27DF">
        <w:rPr>
          <w:rFonts w:ascii="Times New Roman" w:eastAsia="Calibri" w:hAnsi="Times New Roman" w:cs="Times New Roman"/>
        </w:rPr>
        <w:t xml:space="preserve">. panta otrās daļas 2. punkta “a” apakšpunktu, </w:t>
      </w:r>
      <w:r w:rsidR="00F00749" w:rsidRPr="00DD27DF">
        <w:rPr>
          <w:rFonts w:ascii="Times New Roman" w:hAnsi="Times New Roman" w:cs="Times New Roman"/>
        </w:rPr>
        <w:t>Ministru kabineta 19.06.2018. noteikumu Nr. 350 “Publiskas personas zemes nomas un apbūves tiesības noteikumi” 30.4. apakšpunktu, Pašvaldības zemes īpašumu izvērtēšanas darba grupas 10.10.2024. atzinumu, kā arī domes</w:t>
      </w:r>
      <w:r w:rsidR="009855FB">
        <w:rPr>
          <w:rFonts w:ascii="Times New Roman" w:hAnsi="Times New Roman" w:cs="Times New Roman"/>
        </w:rPr>
        <w:t xml:space="preserve"> </w:t>
      </w:r>
      <w:r w:rsidR="009855FB">
        <w:rPr>
          <w:rFonts w:ascii="Times New Roman" w:hAnsi="Times New Roman" w:cs="Times New Roman"/>
          <w:noProof/>
        </w:rPr>
        <w:t>Attīstības komitēj</w:t>
      </w:r>
      <w:r w:rsidR="00972C74">
        <w:rPr>
          <w:rFonts w:ascii="Times New Roman" w:hAnsi="Times New Roman" w:cs="Times New Roman"/>
          <w:noProof/>
        </w:rPr>
        <w:t>as</w:t>
      </w:r>
      <w:r w:rsidR="009855FB">
        <w:rPr>
          <w:rFonts w:ascii="Times New Roman" w:hAnsi="Times New Roman" w:cs="Times New Roman"/>
          <w:noProof/>
        </w:rPr>
        <w:t xml:space="preserve"> 13.11.2024</w:t>
      </w:r>
      <w:r w:rsidR="0099172B">
        <w:rPr>
          <w:rFonts w:ascii="Times New Roman" w:hAnsi="Times New Roman" w:cs="Times New Roman"/>
          <w:noProof/>
        </w:rPr>
        <w:t>.</w:t>
      </w:r>
      <w:r w:rsidR="001E64F6">
        <w:rPr>
          <w:rFonts w:ascii="Times New Roman" w:hAnsi="Times New Roman" w:cs="Times New Roman"/>
          <w:noProof/>
        </w:rPr>
        <w:t xml:space="preserve"> un</w:t>
      </w:r>
      <w:r w:rsidR="00F00749" w:rsidRPr="00DD27DF">
        <w:rPr>
          <w:rFonts w:ascii="Times New Roman" w:hAnsi="Times New Roman" w:cs="Times New Roman"/>
        </w:rPr>
        <w:t xml:space="preserve"> Finanšu komitejas </w:t>
      </w:r>
      <w:r w:rsidR="001E64F6">
        <w:rPr>
          <w:rFonts w:ascii="Times New Roman" w:hAnsi="Times New Roman" w:cs="Times New Roman"/>
        </w:rPr>
        <w:t>20.11</w:t>
      </w:r>
      <w:r w:rsidR="00F00749" w:rsidRPr="00DD27DF">
        <w:rPr>
          <w:rFonts w:ascii="Times New Roman" w:hAnsi="Times New Roman" w:cs="Times New Roman"/>
        </w:rPr>
        <w:t>.2024. atzinumu, Ādažu novada pašvaldības dome</w:t>
      </w:r>
    </w:p>
    <w:p w14:paraId="4FDCC192" w14:textId="77777777" w:rsidR="00F00749" w:rsidRPr="0092541C" w:rsidRDefault="00F00749" w:rsidP="00F0074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2541C">
        <w:rPr>
          <w:rFonts w:ascii="Times New Roman" w:hAnsi="Times New Roman" w:cs="Times New Roman"/>
          <w:b/>
          <w:bCs/>
        </w:rPr>
        <w:t>NOLEMJ:</w:t>
      </w:r>
    </w:p>
    <w:p w14:paraId="62FACCF0" w14:textId="74D2DEFE" w:rsidR="00F00749" w:rsidRPr="00DD27DF" w:rsidRDefault="00F00749" w:rsidP="00F00749">
      <w:pPr>
        <w:pStyle w:val="ListParagraph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Apstiprināt pašvaldībai piederošu vai piekrītošu neapbūvētu zemesgabalu nomas maksas cenrādi īslaicīgai nomai un reklāmas vai informācijas objektu izvietošanai:</w:t>
      </w:r>
    </w:p>
    <w:p w14:paraId="4A94F74B" w14:textId="09EAEF64" w:rsidR="00F00749" w:rsidRPr="006063A4" w:rsidRDefault="00F00749" w:rsidP="0092541C">
      <w:pPr>
        <w:pStyle w:val="ListParagraph"/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par pašvaldības zemesgabala iznomāšanu nomnieka informācijas </w:t>
      </w:r>
      <w:r w:rsidRPr="006063A4">
        <w:rPr>
          <w:rFonts w:ascii="Times New Roman" w:hAnsi="Times New Roman" w:cs="Times New Roman"/>
          <w:sz w:val="24"/>
          <w:szCs w:val="24"/>
        </w:rPr>
        <w:t xml:space="preserve">objekta izvietošanai gar ceļiem vai </w:t>
      </w:r>
      <w:proofErr w:type="spellStart"/>
      <w:r w:rsidRPr="006063A4">
        <w:rPr>
          <w:rFonts w:ascii="Times New Roman" w:hAnsi="Times New Roman" w:cs="Times New Roman"/>
          <w:sz w:val="24"/>
          <w:szCs w:val="24"/>
        </w:rPr>
        <w:t>izkārtnes</w:t>
      </w:r>
      <w:proofErr w:type="spellEnd"/>
      <w:r w:rsidRPr="006063A4">
        <w:rPr>
          <w:rFonts w:ascii="Times New Roman" w:hAnsi="Times New Roman" w:cs="Times New Roman"/>
          <w:sz w:val="24"/>
          <w:szCs w:val="24"/>
        </w:rPr>
        <w:t xml:space="preserve"> vai reklāmas objekta izvietošanai – </w:t>
      </w:r>
      <w:r w:rsidRPr="00466319">
        <w:rPr>
          <w:rFonts w:ascii="Times New Roman" w:hAnsi="Times New Roman" w:cs="Times New Roman"/>
          <w:sz w:val="24"/>
          <w:szCs w:val="24"/>
        </w:rPr>
        <w:t>3</w:t>
      </w:r>
      <w:r w:rsidRPr="00606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3A4">
        <w:rPr>
          <w:rFonts w:ascii="Times New Roman" w:hAnsi="Times New Roman" w:cs="Times New Roman"/>
          <w:sz w:val="24"/>
          <w:szCs w:val="24"/>
        </w:rPr>
        <w:t xml:space="preserve">(trīs) </w:t>
      </w:r>
      <w:proofErr w:type="spellStart"/>
      <w:r w:rsidRPr="006063A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6063A4">
        <w:rPr>
          <w:rFonts w:ascii="Times New Roman" w:hAnsi="Times New Roman" w:cs="Times New Roman"/>
          <w:sz w:val="24"/>
          <w:szCs w:val="24"/>
        </w:rPr>
        <w:t xml:space="preserve"> (bez PVN) par 1 kvadrātmetru mēnesī;</w:t>
      </w:r>
    </w:p>
    <w:p w14:paraId="4FDFC57F" w14:textId="14EE9278" w:rsidR="00F00749" w:rsidRPr="006063A4" w:rsidRDefault="00F00749" w:rsidP="0092541C">
      <w:pPr>
        <w:pStyle w:val="ListParagraph"/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63A4">
        <w:rPr>
          <w:rFonts w:ascii="Times New Roman" w:hAnsi="Times New Roman" w:cs="Times New Roman"/>
          <w:sz w:val="24"/>
          <w:szCs w:val="24"/>
        </w:rPr>
        <w:t>par pašvaldības zemesgabala iznomāšanu īslaicīgi (Ministru kabineta 19.06.2018. noteikumu Nr. 350 “Publiskas personas zemes nomas un apbūves tiesības noteikumi” izpratnē)</w:t>
      </w:r>
      <w:r w:rsidR="00896B59" w:rsidRPr="006063A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3118"/>
        <w:gridCol w:w="2410"/>
        <w:gridCol w:w="2545"/>
      </w:tblGrid>
      <w:tr w:rsidR="006063A4" w:rsidRPr="006063A4" w14:paraId="67C856AA" w14:textId="77777777" w:rsidTr="0092541C">
        <w:tc>
          <w:tcPr>
            <w:tcW w:w="3118" w:type="dxa"/>
            <w:vAlign w:val="center"/>
          </w:tcPr>
          <w:p w14:paraId="56A87D64" w14:textId="4D049BB8" w:rsidR="00F00749" w:rsidRPr="009C75A2" w:rsidRDefault="00972C74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75A2">
              <w:rPr>
                <w:rFonts w:ascii="Times New Roman" w:hAnsi="Times New Roman" w:cs="Times New Roman"/>
                <w:sz w:val="22"/>
                <w:szCs w:val="22"/>
              </w:rPr>
              <w:t>Izn</w:t>
            </w:r>
            <w:r w:rsidR="0092541C" w:rsidRPr="009C75A2">
              <w:rPr>
                <w:rFonts w:ascii="Times New Roman" w:hAnsi="Times New Roman" w:cs="Times New Roman"/>
                <w:sz w:val="22"/>
                <w:szCs w:val="22"/>
              </w:rPr>
              <w:t>omājamā</w:t>
            </w:r>
            <w:r w:rsidR="003F637F" w:rsidRPr="009C75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75A2">
              <w:rPr>
                <w:rFonts w:ascii="Times New Roman" w:hAnsi="Times New Roman" w:cs="Times New Roman"/>
                <w:sz w:val="22"/>
                <w:szCs w:val="22"/>
              </w:rPr>
              <w:t xml:space="preserve">zemesgabala </w:t>
            </w:r>
            <w:r w:rsidR="003F637F" w:rsidRPr="009C75A2">
              <w:rPr>
                <w:rFonts w:ascii="Times New Roman" w:hAnsi="Times New Roman" w:cs="Times New Roman"/>
                <w:sz w:val="22"/>
                <w:szCs w:val="22"/>
              </w:rPr>
              <w:t>platība</w:t>
            </w:r>
          </w:p>
        </w:tc>
        <w:tc>
          <w:tcPr>
            <w:tcW w:w="2410" w:type="dxa"/>
            <w:vAlign w:val="center"/>
          </w:tcPr>
          <w:p w14:paraId="72D4AB24" w14:textId="77777777" w:rsidR="0092541C" w:rsidRDefault="00F0074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Nomas maksa zemesgabaliem Carnikavas pagastā </w:t>
            </w:r>
          </w:p>
          <w:p w14:paraId="18DF4085" w14:textId="7DC467F2" w:rsidR="00F00749" w:rsidRPr="0092541C" w:rsidRDefault="00F0074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92541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euro</w:t>
            </w:r>
            <w:proofErr w:type="spellEnd"/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 dienā, bez PVN)</w:t>
            </w:r>
          </w:p>
        </w:tc>
        <w:tc>
          <w:tcPr>
            <w:tcW w:w="2545" w:type="dxa"/>
            <w:vAlign w:val="center"/>
          </w:tcPr>
          <w:p w14:paraId="47BAE3F7" w14:textId="24DD2CAB" w:rsidR="00F00749" w:rsidRPr="0092541C" w:rsidRDefault="00F00749" w:rsidP="0092541C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sz w:val="22"/>
                <w:szCs w:val="22"/>
              </w:rPr>
              <w:t>Nomas maksa zemesgabaliem Ādažu pilsētā un Ādažu pagastā (</w:t>
            </w:r>
            <w:proofErr w:type="spellStart"/>
            <w:r w:rsidRPr="0092541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euro</w:t>
            </w:r>
            <w:proofErr w:type="spellEnd"/>
            <w:r w:rsidRPr="0092541C">
              <w:rPr>
                <w:rFonts w:ascii="Times New Roman" w:hAnsi="Times New Roman" w:cs="Times New Roman"/>
                <w:sz w:val="22"/>
                <w:szCs w:val="22"/>
              </w:rPr>
              <w:t xml:space="preserve"> dienā, bez PVN)</w:t>
            </w:r>
          </w:p>
        </w:tc>
      </w:tr>
      <w:tr w:rsidR="006063A4" w:rsidRPr="006063A4" w14:paraId="0858C98E" w14:textId="77777777" w:rsidTr="0092541C">
        <w:trPr>
          <w:trHeight w:val="711"/>
        </w:trPr>
        <w:tc>
          <w:tcPr>
            <w:tcW w:w="3118" w:type="dxa"/>
            <w:vAlign w:val="center"/>
          </w:tcPr>
          <w:p w14:paraId="11420F0B" w14:textId="77777777" w:rsidR="002C1EAA" w:rsidRPr="009C75A2" w:rsidRDefault="00F00749" w:rsidP="009254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9C75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līdz 20 m</w:t>
            </w:r>
            <w:r w:rsidRPr="009C75A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="002C1EAA" w:rsidRPr="009C75A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B305272" w14:textId="25543C75" w:rsidR="00F00749" w:rsidRPr="009C75A2" w:rsidRDefault="002C1EAA" w:rsidP="0046631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C75A2">
              <w:rPr>
                <w:rFonts w:ascii="Times New Roman" w:hAnsi="Times New Roman" w:cs="Times New Roman"/>
                <w:sz w:val="22"/>
                <w:szCs w:val="22"/>
              </w:rPr>
              <w:t>(t.sk. visiem publiskajiem sporta pasākumiem)</w:t>
            </w:r>
          </w:p>
        </w:tc>
        <w:tc>
          <w:tcPr>
            <w:tcW w:w="2410" w:type="dxa"/>
            <w:vAlign w:val="center"/>
          </w:tcPr>
          <w:p w14:paraId="7624E9BC" w14:textId="3A4A0136" w:rsidR="001A0AE4" w:rsidRPr="0092541C" w:rsidRDefault="00F00749" w:rsidP="0092541C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  <w:p w14:paraId="47D7B821" w14:textId="368926C8" w:rsidR="00F00749" w:rsidRPr="0092541C" w:rsidRDefault="00F00749" w:rsidP="0092541C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2545" w:type="dxa"/>
            <w:vAlign w:val="center"/>
          </w:tcPr>
          <w:p w14:paraId="6BEE17AA" w14:textId="32FBB451" w:rsidR="001A0AE4" w:rsidRPr="0092541C" w:rsidRDefault="00F00749" w:rsidP="0092541C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  <w:p w14:paraId="39BFA63A" w14:textId="15E85DB3" w:rsidR="00F00749" w:rsidRPr="0092541C" w:rsidRDefault="00F00749" w:rsidP="0092541C">
            <w:pPr>
              <w:spacing w:after="6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6063A4" w:rsidRPr="006063A4" w14:paraId="74624D0A" w14:textId="77777777" w:rsidTr="0092541C">
        <w:tc>
          <w:tcPr>
            <w:tcW w:w="3118" w:type="dxa"/>
            <w:vAlign w:val="center"/>
          </w:tcPr>
          <w:p w14:paraId="102F153C" w14:textId="7D414B3C" w:rsidR="00F00749" w:rsidRPr="0092541C" w:rsidRDefault="00F00749" w:rsidP="00466319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500 m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794E4695" w14:textId="6DD92650" w:rsidR="00F00749" w:rsidRPr="0092541C" w:rsidRDefault="00F00749" w:rsidP="00EF5B9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green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545" w:type="dxa"/>
            <w:vAlign w:val="center"/>
          </w:tcPr>
          <w:p w14:paraId="4AF6AD47" w14:textId="64BEFA58" w:rsidR="00F00749" w:rsidRPr="0092541C" w:rsidRDefault="00F00749" w:rsidP="00EF5B92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</w:tr>
      <w:tr w:rsidR="006063A4" w:rsidRPr="006063A4" w14:paraId="19E19720" w14:textId="77777777" w:rsidTr="0092541C">
        <w:tc>
          <w:tcPr>
            <w:tcW w:w="3118" w:type="dxa"/>
            <w:vAlign w:val="center"/>
          </w:tcPr>
          <w:p w14:paraId="7AA93A36" w14:textId="0D96F67C" w:rsidR="00F00749" w:rsidRPr="0092541C" w:rsidRDefault="00F00749" w:rsidP="00466319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vairāk par 500 m</w:t>
            </w: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492B22A0" w14:textId="6B95C6E7" w:rsidR="00F00749" w:rsidRPr="0092541C" w:rsidRDefault="00020B41" w:rsidP="00EF5B92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green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="00F00749" w:rsidRPr="0092541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2545" w:type="dxa"/>
            <w:vAlign w:val="center"/>
          </w:tcPr>
          <w:p w14:paraId="16DC3B74" w14:textId="64D936B9" w:rsidR="00F00749" w:rsidRPr="0092541C" w:rsidRDefault="00F00749" w:rsidP="00EF5B92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  <w:r w:rsidR="009254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</w:tr>
    </w:tbl>
    <w:p w14:paraId="2C9C1851" w14:textId="5734E66E" w:rsidR="00EF5B92" w:rsidRDefault="00EF5B92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 xml:space="preserve">Šī lēmuma 1.2. </w:t>
      </w:r>
      <w:r w:rsidR="00BC73F4" w:rsidRPr="00466319">
        <w:rPr>
          <w:rFonts w:ascii="Times New Roman" w:hAnsi="Times New Roman" w:cs="Times New Roman"/>
          <w:sz w:val="24"/>
          <w:szCs w:val="24"/>
        </w:rPr>
        <w:t>apakš</w:t>
      </w:r>
      <w:r w:rsidR="00DD2CA0" w:rsidRPr="00466319">
        <w:rPr>
          <w:rFonts w:ascii="Times New Roman" w:hAnsi="Times New Roman" w:cs="Times New Roman"/>
          <w:sz w:val="24"/>
          <w:szCs w:val="24"/>
        </w:rPr>
        <w:t>punkt</w:t>
      </w:r>
      <w:r w:rsidR="00BC73F4" w:rsidRPr="00466319">
        <w:rPr>
          <w:rFonts w:ascii="Times New Roman" w:hAnsi="Times New Roman" w:cs="Times New Roman"/>
          <w:sz w:val="24"/>
          <w:szCs w:val="24"/>
        </w:rPr>
        <w:t>a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gadījumos nomas maks</w:t>
      </w:r>
      <w:r w:rsidR="00BC73F4" w:rsidRPr="00466319">
        <w:rPr>
          <w:rFonts w:ascii="Times New Roman" w:hAnsi="Times New Roman" w:cs="Times New Roman"/>
          <w:sz w:val="24"/>
          <w:szCs w:val="24"/>
        </w:rPr>
        <w:t>u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samazin</w:t>
      </w:r>
      <w:r w:rsidR="00BC73F4" w:rsidRPr="00466319">
        <w:rPr>
          <w:rFonts w:ascii="Times New Roman" w:hAnsi="Times New Roman" w:cs="Times New Roman"/>
          <w:sz w:val="24"/>
          <w:szCs w:val="24"/>
        </w:rPr>
        <w:t>a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par 50</w:t>
      </w:r>
      <w:r w:rsidR="00BC73F4" w:rsidRPr="00466319">
        <w:rPr>
          <w:rFonts w:ascii="Times New Roman" w:hAnsi="Times New Roman" w:cs="Times New Roman"/>
          <w:sz w:val="24"/>
          <w:szCs w:val="24"/>
        </w:rPr>
        <w:t xml:space="preserve"> 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% (bet </w:t>
      </w:r>
      <w:r w:rsidR="00BC73F4" w:rsidRPr="00466319">
        <w:rPr>
          <w:rFonts w:ascii="Times New Roman" w:hAnsi="Times New Roman" w:cs="Times New Roman"/>
          <w:sz w:val="24"/>
          <w:szCs w:val="24"/>
        </w:rPr>
        <w:t xml:space="preserve">ne </w:t>
      </w:r>
      <w:r w:rsidR="00DD2CA0" w:rsidRPr="00466319">
        <w:rPr>
          <w:rFonts w:ascii="Times New Roman" w:hAnsi="Times New Roman" w:cs="Times New Roman"/>
          <w:sz w:val="24"/>
          <w:szCs w:val="24"/>
        </w:rPr>
        <w:t>mazāk par normatīvajos aktos noteikto</w:t>
      </w:r>
      <w:r w:rsidR="00972C74" w:rsidRPr="00466319">
        <w:rPr>
          <w:rFonts w:ascii="Times New Roman" w:hAnsi="Times New Roman" w:cs="Times New Roman"/>
          <w:sz w:val="24"/>
          <w:szCs w:val="24"/>
        </w:rPr>
        <w:t xml:space="preserve"> apmēru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), </w:t>
      </w:r>
      <w:r w:rsidR="00BC73F4" w:rsidRPr="00466319">
        <w:rPr>
          <w:rFonts w:ascii="Times New Roman" w:hAnsi="Times New Roman" w:cs="Times New Roman"/>
          <w:sz w:val="24"/>
          <w:szCs w:val="24"/>
        </w:rPr>
        <w:t>ja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zemesgabalu</w:t>
      </w:r>
      <w:r w:rsidR="00BC73F4" w:rsidRPr="00466319">
        <w:rPr>
          <w:rFonts w:ascii="Times New Roman" w:hAnsi="Times New Roman" w:cs="Times New Roman"/>
          <w:sz w:val="24"/>
          <w:szCs w:val="24"/>
        </w:rPr>
        <w:t xml:space="preserve"> izmanto</w:t>
      </w:r>
      <w:r w:rsidR="00DD2CA0" w:rsidRPr="00466319">
        <w:rPr>
          <w:rFonts w:ascii="Times New Roman" w:hAnsi="Times New Roman" w:cs="Times New Roman"/>
          <w:sz w:val="24"/>
          <w:szCs w:val="24"/>
        </w:rPr>
        <w:t xml:space="preserve"> </w:t>
      </w:r>
      <w:r w:rsidR="00DD2CA0" w:rsidRPr="00466319">
        <w:rPr>
          <w:rFonts w:ascii="Times New Roman" w:hAnsi="Times New Roman" w:cs="Times New Roman"/>
          <w:sz w:val="24"/>
          <w:szCs w:val="24"/>
          <w:u w:val="single"/>
        </w:rPr>
        <w:t>nekomerciāliem</w:t>
      </w:r>
      <w:r w:rsidR="00DD2CA0" w:rsidRPr="00466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CA0" w:rsidRPr="00466319">
        <w:rPr>
          <w:rFonts w:ascii="Times New Roman" w:hAnsi="Times New Roman" w:cs="Times New Roman"/>
          <w:sz w:val="24"/>
          <w:szCs w:val="24"/>
        </w:rPr>
        <w:t>pasākumiem sociālās aizsardzības, kultūras, izglītības, zinātnes, sporta, vides un dzīvnieku aizsardzības vai veselības aprūpes funkciju nodrošināšanai. Lēmumu par nomas maksas samazināšanu pieņem pašvaldības izpilddirektors</w:t>
      </w:r>
      <w:bookmarkStart w:id="0" w:name="_Hlk180416948"/>
      <w:r w:rsidR="00543F56" w:rsidRPr="00466319">
        <w:rPr>
          <w:rFonts w:ascii="Times New Roman" w:hAnsi="Times New Roman" w:cs="Times New Roman"/>
          <w:sz w:val="24"/>
          <w:szCs w:val="24"/>
        </w:rPr>
        <w:t>.</w:t>
      </w:r>
    </w:p>
    <w:p w14:paraId="2FD18EAB" w14:textId="15EE5AC8" w:rsidR="00EF5B92" w:rsidRPr="00466319" w:rsidRDefault="00EF5B92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>Cenrādis stājas spēkā:</w:t>
      </w:r>
    </w:p>
    <w:p w14:paraId="69C3005A" w14:textId="34D39D4C" w:rsidR="00EF5B92" w:rsidRPr="00466319" w:rsidRDefault="00EF5B92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>attiecībā uz 1.1. apakšpunktu – ar 2025. gada 1. janvāri;</w:t>
      </w:r>
    </w:p>
    <w:p w14:paraId="42218C96" w14:textId="7AE3BDD9" w:rsidR="00EF5B92" w:rsidRPr="00EF5B92" w:rsidRDefault="00EF5B92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5B92">
        <w:rPr>
          <w:rFonts w:ascii="Times New Roman" w:hAnsi="Times New Roman" w:cs="Times New Roman"/>
          <w:sz w:val="24"/>
          <w:szCs w:val="24"/>
        </w:rPr>
        <w:t>attiecībā uz 1.2. apakšpunktu – ar lēmuma parakstīšanas dienu</w:t>
      </w:r>
      <w:r w:rsidRPr="00EF5B92">
        <w:rPr>
          <w:rFonts w:ascii="Times New Roman" w:hAnsi="Times New Roman" w:cs="Times New Roman"/>
          <w:sz w:val="24"/>
          <w:szCs w:val="24"/>
        </w:rPr>
        <w:t>.</w:t>
      </w:r>
    </w:p>
    <w:p w14:paraId="2C4AD195" w14:textId="4B38F2FF" w:rsidR="00EF5B92" w:rsidRDefault="00EF5B92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 xml:space="preserve">Maksu par pašvaldības elektrības </w:t>
      </w:r>
      <w:proofErr w:type="spellStart"/>
      <w:r w:rsidRPr="009C75A2">
        <w:rPr>
          <w:rFonts w:ascii="Times New Roman" w:hAnsi="Times New Roman" w:cs="Times New Roman"/>
          <w:sz w:val="24"/>
          <w:szCs w:val="24"/>
        </w:rPr>
        <w:t>pieslēguma</w:t>
      </w:r>
      <w:proofErr w:type="spellEnd"/>
      <w:r w:rsidRPr="009C75A2">
        <w:rPr>
          <w:rFonts w:ascii="Times New Roman" w:hAnsi="Times New Roman" w:cs="Times New Roman"/>
          <w:sz w:val="24"/>
          <w:szCs w:val="24"/>
        </w:rPr>
        <w:t xml:space="preserve"> izmantošanu un patērēto elektroenerģiju, kā arī par ūdens patēriņu nomnieks apmaksā atsevišķi</w:t>
      </w:r>
      <w:r w:rsidR="00522D8A" w:rsidRPr="00522D8A">
        <w:rPr>
          <w:rFonts w:ascii="Times New Roman" w:hAnsi="Times New Roman" w:cs="Times New Roman"/>
          <w:sz w:val="24"/>
          <w:szCs w:val="24"/>
        </w:rPr>
        <w:t xml:space="preserve"> </w:t>
      </w:r>
      <w:r w:rsidR="00522D8A" w:rsidRPr="009C75A2">
        <w:rPr>
          <w:rFonts w:ascii="Times New Roman" w:hAnsi="Times New Roman" w:cs="Times New Roman"/>
          <w:sz w:val="24"/>
          <w:szCs w:val="24"/>
        </w:rPr>
        <w:t>domes noteiktajā kārtībā</w:t>
      </w:r>
      <w:r w:rsidRPr="009C75A2">
        <w:rPr>
          <w:rFonts w:ascii="Times New Roman" w:hAnsi="Times New Roman" w:cs="Times New Roman"/>
          <w:sz w:val="24"/>
          <w:szCs w:val="24"/>
        </w:rPr>
        <w:t>, saskaņā ar pašvaldības rēķinu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0320FD" w14:textId="579D51F1" w:rsidR="00EF5B92" w:rsidRDefault="00EF5B92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C75A2">
        <w:rPr>
          <w:rFonts w:ascii="Times New Roman" w:hAnsi="Times New Roman" w:cs="Times New Roman"/>
          <w:sz w:val="24"/>
          <w:szCs w:val="24"/>
        </w:rPr>
        <w:t xml:space="preserve">omniekam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C75A2">
        <w:rPr>
          <w:rFonts w:ascii="Times New Roman" w:hAnsi="Times New Roman" w:cs="Times New Roman"/>
          <w:sz w:val="24"/>
          <w:szCs w:val="24"/>
        </w:rPr>
        <w:t>apildus jāmaksā:</w:t>
      </w:r>
    </w:p>
    <w:p w14:paraId="5A3D7632" w14:textId="61528B8B" w:rsidR="00EF5B92" w:rsidRDefault="00EF5B92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>1.1. apakšpunkt</w:t>
      </w:r>
      <w:r w:rsidR="00522D8A">
        <w:rPr>
          <w:rFonts w:ascii="Times New Roman" w:hAnsi="Times New Roman" w:cs="Times New Roman"/>
          <w:sz w:val="24"/>
          <w:szCs w:val="24"/>
        </w:rPr>
        <w:t>a</w:t>
      </w:r>
      <w:r w:rsidRPr="009C75A2">
        <w:rPr>
          <w:rFonts w:ascii="Times New Roman" w:hAnsi="Times New Roman" w:cs="Times New Roman"/>
          <w:sz w:val="24"/>
          <w:szCs w:val="24"/>
        </w:rPr>
        <w:t xml:space="preserve"> gadījumā pievienotās vērtības nodoklis un nekustamā īpašuma nodoklis normatīvajos aktos noteiktā apmērā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7AA5E4" w14:textId="065E8FB3" w:rsidR="00EF5B92" w:rsidRPr="009C75A2" w:rsidRDefault="00EF5B92" w:rsidP="00466319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>1.2. un 1.3. apakšpunkt</w:t>
      </w:r>
      <w:r w:rsidR="00522D8A">
        <w:rPr>
          <w:rFonts w:ascii="Times New Roman" w:hAnsi="Times New Roman" w:cs="Times New Roman"/>
          <w:sz w:val="24"/>
          <w:szCs w:val="24"/>
        </w:rPr>
        <w:t>a</w:t>
      </w:r>
      <w:r w:rsidRPr="009C75A2">
        <w:rPr>
          <w:rFonts w:ascii="Times New Roman" w:hAnsi="Times New Roman" w:cs="Times New Roman"/>
          <w:sz w:val="24"/>
          <w:szCs w:val="24"/>
        </w:rPr>
        <w:t xml:space="preserve"> gadījumos pievienotās vērtības nodoklis normatīvajos aktos noteiktā apmērā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B56A4" w14:textId="56144708" w:rsidR="00EF5B92" w:rsidRPr="00466319" w:rsidRDefault="00EF5B92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319">
        <w:rPr>
          <w:rFonts w:ascii="Times New Roman" w:hAnsi="Times New Roman" w:cs="Times New Roman"/>
          <w:sz w:val="24"/>
          <w:szCs w:val="24"/>
        </w:rPr>
        <w:t>Pašvaldības Centrālās pārvaldes</w:t>
      </w:r>
      <w:r w:rsidR="00522D8A">
        <w:rPr>
          <w:rFonts w:ascii="Times New Roman" w:hAnsi="Times New Roman" w:cs="Times New Roman"/>
          <w:sz w:val="24"/>
          <w:szCs w:val="24"/>
        </w:rPr>
        <w:t>:</w:t>
      </w:r>
    </w:p>
    <w:p w14:paraId="70582BC8" w14:textId="27705E8B" w:rsidR="00EF5B92" w:rsidRDefault="00EF5B92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028B">
        <w:rPr>
          <w:rFonts w:ascii="Times New Roman" w:hAnsi="Times New Roman" w:cs="Times New Roman"/>
          <w:sz w:val="24"/>
          <w:szCs w:val="24"/>
        </w:rPr>
        <w:lastRenderedPageBreak/>
        <w:t>Nekustamā īpašuma nodaļai līdz 10.12.2024. sagatavot</w:t>
      </w:r>
      <w:r w:rsidRPr="00DD27DF">
        <w:rPr>
          <w:rFonts w:ascii="Times New Roman" w:hAnsi="Times New Roman" w:cs="Times New Roman"/>
          <w:sz w:val="24"/>
          <w:szCs w:val="24"/>
        </w:rPr>
        <w:t xml:space="preserve"> paziņojumu par nomas maksas izmaiņām un nosūtīt 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 w:rsidRPr="00DD27DF">
        <w:rPr>
          <w:rFonts w:ascii="Times New Roman" w:hAnsi="Times New Roman" w:cs="Times New Roman"/>
          <w:sz w:val="24"/>
          <w:szCs w:val="24"/>
        </w:rPr>
        <w:t>nomniekiem, uz kuriem tas attiec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27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B54A8A" w14:textId="5599BDD4" w:rsidR="00EF5B92" w:rsidRDefault="00EF5B92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 xml:space="preserve">Sabiedrisko attiecību nodaļai aktualizēt pakalpojumu aprakstus pašvaldības </w:t>
      </w:r>
      <w:r w:rsidRPr="009C75A2">
        <w:rPr>
          <w:rFonts w:ascii="Times New Roman" w:hAnsi="Times New Roman" w:cs="Times New Roman"/>
          <w:sz w:val="24"/>
          <w:szCs w:val="24"/>
        </w:rPr>
        <w:t xml:space="preserve">tīmekļvietnē </w:t>
      </w:r>
      <w:hyperlink r:id="rId9" w:history="1">
        <w:r w:rsidRPr="009C75A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www.adazunovads.lv</w:t>
        </w:r>
      </w:hyperlink>
      <w:r w:rsidRPr="009C75A2">
        <w:rPr>
          <w:rFonts w:ascii="Times New Roman" w:hAnsi="Times New Roman" w:cs="Times New Roman"/>
          <w:sz w:val="24"/>
          <w:szCs w:val="24"/>
        </w:rPr>
        <w:t>, iekļaujot atsauces uz šo lēmumu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DBC705" w14:textId="1A3D603F" w:rsidR="00EF5B92" w:rsidRDefault="00EF5B92" w:rsidP="00EF5B92">
      <w:pPr>
        <w:pStyle w:val="ListParagraph"/>
        <w:numPr>
          <w:ilvl w:val="1"/>
          <w:numId w:val="2"/>
        </w:numPr>
        <w:spacing w:before="120" w:after="12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>Grāmatvedības nodaļai piemērot šo lēmumu līgumos ar nomniekiem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E85F0" w14:textId="2909E2E2" w:rsidR="00EF5B92" w:rsidRDefault="00EF5B92" w:rsidP="00EF5B92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75A2">
        <w:rPr>
          <w:rFonts w:ascii="Times New Roman" w:hAnsi="Times New Roman" w:cs="Times New Roman"/>
          <w:sz w:val="24"/>
          <w:szCs w:val="24"/>
        </w:rPr>
        <w:t xml:space="preserve">Ar šī lēmuma parakstīšanu spēku zaudē  Ādažu novada domes 26.03.2019. lēmuma Nr. 58 “Par neapbūvētu zemesgabalu nomas maksas cenrādi īslaicīgai nomai un reklāmas objektu izvietošanai” 1.2. un 1.3. punkts, </w:t>
      </w:r>
      <w:r w:rsidR="00522D8A">
        <w:rPr>
          <w:rFonts w:ascii="Times New Roman" w:hAnsi="Times New Roman" w:cs="Times New Roman"/>
          <w:sz w:val="24"/>
          <w:szCs w:val="24"/>
        </w:rPr>
        <w:t>un</w:t>
      </w:r>
      <w:r w:rsidRPr="009C75A2">
        <w:rPr>
          <w:rFonts w:ascii="Times New Roman" w:hAnsi="Times New Roman" w:cs="Times New Roman"/>
          <w:sz w:val="24"/>
          <w:szCs w:val="24"/>
        </w:rPr>
        <w:t xml:space="preserve"> </w:t>
      </w:r>
      <w:r w:rsidR="00522D8A" w:rsidRPr="009C75A2">
        <w:rPr>
          <w:rFonts w:ascii="Times New Roman" w:hAnsi="Times New Roman" w:cs="Times New Roman"/>
          <w:sz w:val="24"/>
          <w:szCs w:val="24"/>
        </w:rPr>
        <w:t xml:space="preserve">pārējā daļā </w:t>
      </w:r>
      <w:r w:rsidRPr="009C75A2">
        <w:rPr>
          <w:rFonts w:ascii="Times New Roman" w:hAnsi="Times New Roman" w:cs="Times New Roman"/>
          <w:sz w:val="24"/>
          <w:szCs w:val="24"/>
        </w:rPr>
        <w:t>ar 01.01.2025.</w:t>
      </w:r>
    </w:p>
    <w:p w14:paraId="1578FC3A" w14:textId="4152B768" w:rsidR="00EF5B92" w:rsidRPr="00466319" w:rsidRDefault="00EF5B92" w:rsidP="00466319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27DF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59ABDEF" w14:textId="77777777" w:rsidR="00F00749" w:rsidRPr="00DD27DF" w:rsidRDefault="00F00749" w:rsidP="00F00749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hd w:val="clear" w:color="auto" w:fill="FFFFFF"/>
        </w:rPr>
      </w:pPr>
    </w:p>
    <w:p w14:paraId="0D0047F5" w14:textId="77777777" w:rsidR="00F00749" w:rsidRPr="00DD27DF" w:rsidRDefault="00F00749" w:rsidP="00F00749">
      <w:pPr>
        <w:jc w:val="both"/>
        <w:rPr>
          <w:rFonts w:ascii="Times New Roman" w:hAnsi="Times New Roman" w:cs="Times New Roman"/>
        </w:rPr>
      </w:pPr>
    </w:p>
    <w:p w14:paraId="5ED5407E" w14:textId="77777777" w:rsidR="00F00749" w:rsidRPr="00DD27DF" w:rsidRDefault="00F00749" w:rsidP="00F00749">
      <w:pPr>
        <w:jc w:val="both"/>
        <w:rPr>
          <w:rFonts w:ascii="Times New Roman" w:hAnsi="Times New Roman" w:cs="Times New Roman"/>
          <w:noProof/>
        </w:rPr>
      </w:pPr>
      <w:r w:rsidRPr="00DD27DF">
        <w:rPr>
          <w:rFonts w:ascii="Times New Roman" w:hAnsi="Times New Roman" w:cs="Times New Roman"/>
          <w:noProof/>
        </w:rPr>
        <w:t>Pašvaldības domes priekšsēdētāja</w:t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</w:r>
      <w:r w:rsidRPr="00DD27DF">
        <w:rPr>
          <w:rFonts w:ascii="Times New Roman" w:hAnsi="Times New Roman" w:cs="Times New Roman"/>
          <w:noProof/>
        </w:rPr>
        <w:tab/>
        <w:t xml:space="preserve">K. Miķelsone </w:t>
      </w:r>
    </w:p>
    <w:p w14:paraId="36180E58" w14:textId="77777777" w:rsidR="00F00749" w:rsidRPr="00DD27DF" w:rsidRDefault="00F00749" w:rsidP="00F00749">
      <w:pPr>
        <w:jc w:val="both"/>
        <w:rPr>
          <w:rFonts w:ascii="Times New Roman" w:hAnsi="Times New Roman" w:cs="Times New Roman"/>
          <w:noProof/>
        </w:rPr>
      </w:pPr>
    </w:p>
    <w:p w14:paraId="7F526CCE" w14:textId="77777777" w:rsidR="00F00749" w:rsidRPr="00DD27DF" w:rsidRDefault="00F00749" w:rsidP="00F00749">
      <w:pPr>
        <w:jc w:val="center"/>
        <w:rPr>
          <w:rFonts w:ascii="Times New Roman" w:hAnsi="Times New Roman" w:cs="Times New Roman"/>
        </w:rPr>
      </w:pPr>
      <w:r w:rsidRPr="00DD27D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825205C" w14:textId="77777777" w:rsidR="00F00749" w:rsidRPr="00DD27DF" w:rsidRDefault="00F00749" w:rsidP="00F00749">
      <w:pPr>
        <w:jc w:val="both"/>
        <w:rPr>
          <w:rFonts w:ascii="Times New Roman" w:hAnsi="Times New Roman" w:cs="Times New Roman"/>
        </w:rPr>
      </w:pPr>
      <w:r w:rsidRPr="00DD27DF">
        <w:rPr>
          <w:rFonts w:ascii="Times New Roman" w:hAnsi="Times New Roman" w:cs="Times New Roman"/>
        </w:rPr>
        <w:t>__________________________</w:t>
      </w:r>
    </w:p>
    <w:p w14:paraId="23F047B5" w14:textId="77777777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3FBA4F9" w14:textId="77777777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D27DF">
        <w:rPr>
          <w:rFonts w:ascii="Times New Roman" w:hAnsi="Times New Roman" w:cs="Times New Roman"/>
          <w:sz w:val="20"/>
          <w:szCs w:val="20"/>
          <w:u w:val="single"/>
        </w:rPr>
        <w:t>Noraksti:</w:t>
      </w:r>
    </w:p>
    <w:p w14:paraId="77F4C377" w14:textId="01B63B31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D27DF">
        <w:rPr>
          <w:rFonts w:ascii="Times New Roman" w:hAnsi="Times New Roman" w:cs="Times New Roman"/>
          <w:sz w:val="20"/>
          <w:szCs w:val="20"/>
        </w:rPr>
        <w:t>@- NĪN, IDRV, GRN, SAN</w:t>
      </w:r>
      <w:r w:rsidR="0068377F">
        <w:rPr>
          <w:rFonts w:ascii="Times New Roman" w:hAnsi="Times New Roman" w:cs="Times New Roman"/>
          <w:sz w:val="20"/>
          <w:szCs w:val="20"/>
        </w:rPr>
        <w:t>, JIN</w:t>
      </w:r>
      <w:r w:rsidRPr="00DD27DF">
        <w:rPr>
          <w:rFonts w:ascii="Times New Roman" w:hAnsi="Times New Roman" w:cs="Times New Roman"/>
          <w:sz w:val="20"/>
          <w:szCs w:val="20"/>
        </w:rPr>
        <w:t>.</w:t>
      </w:r>
    </w:p>
    <w:p w14:paraId="03FB925D" w14:textId="77777777" w:rsidR="00F00749" w:rsidRPr="00DD27DF" w:rsidRDefault="00F00749" w:rsidP="00F00749">
      <w:pPr>
        <w:rPr>
          <w:rFonts w:ascii="Times New Roman" w:hAnsi="Times New Roman" w:cs="Times New Roman"/>
          <w:sz w:val="20"/>
          <w:szCs w:val="20"/>
        </w:rPr>
      </w:pPr>
    </w:p>
    <w:p w14:paraId="652A9D13" w14:textId="77777777" w:rsidR="00F00749" w:rsidRPr="00DD27DF" w:rsidRDefault="00F00749" w:rsidP="00F00749">
      <w:pPr>
        <w:rPr>
          <w:rFonts w:ascii="Times New Roman" w:hAnsi="Times New Roman" w:cs="Times New Roman"/>
          <w:sz w:val="20"/>
          <w:szCs w:val="20"/>
        </w:rPr>
      </w:pPr>
    </w:p>
    <w:p w14:paraId="2ED8D0F3" w14:textId="77777777" w:rsidR="00F00749" w:rsidRPr="00DD27DF" w:rsidRDefault="00F00749" w:rsidP="00F0074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D27DF">
        <w:rPr>
          <w:rFonts w:ascii="Times New Roman" w:hAnsi="Times New Roman" w:cs="Times New Roman"/>
          <w:sz w:val="20"/>
          <w:szCs w:val="20"/>
        </w:rPr>
        <w:t>Nadežda Rubina, 28776519</w:t>
      </w:r>
    </w:p>
    <w:p w14:paraId="4ED4B518" w14:textId="77777777" w:rsidR="00F00749" w:rsidRPr="00DD27DF" w:rsidRDefault="00F00749" w:rsidP="00F00749"/>
    <w:p w14:paraId="51344A1C" w14:textId="77777777" w:rsidR="00F00749" w:rsidRPr="00DD27DF" w:rsidRDefault="00F00749" w:rsidP="00F00749"/>
    <w:p w14:paraId="5E0BFFB1" w14:textId="77777777" w:rsidR="00F00749" w:rsidRPr="00DD27DF" w:rsidRDefault="00F00749" w:rsidP="00F00749"/>
    <w:p w14:paraId="41E671FC" w14:textId="77777777" w:rsidR="00A13F00" w:rsidRPr="00DD27DF" w:rsidRDefault="00A13F00"/>
    <w:sectPr w:rsidR="00A13F00" w:rsidRPr="00DD27DF" w:rsidSect="00F0074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9D453" w14:textId="77777777" w:rsidR="002C6C21" w:rsidRDefault="002C6C21">
      <w:r>
        <w:separator/>
      </w:r>
    </w:p>
  </w:endnote>
  <w:endnote w:type="continuationSeparator" w:id="0">
    <w:p w14:paraId="176889EA" w14:textId="77777777" w:rsidR="002C6C21" w:rsidRDefault="002C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369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0FDAFE" w14:textId="77777777" w:rsidR="00E20F6B" w:rsidRPr="005C7FA1" w:rsidRDefault="002C6C2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510A94" w14:textId="77777777" w:rsidR="00E20F6B" w:rsidRDefault="00E20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1108" w14:textId="77777777" w:rsidR="00E20F6B" w:rsidRPr="005C7FA1" w:rsidRDefault="00E20F6B">
    <w:pPr>
      <w:pStyle w:val="Footer"/>
      <w:jc w:val="right"/>
      <w:rPr>
        <w:rFonts w:ascii="Times New Roman" w:hAnsi="Times New Roman" w:cs="Times New Roman"/>
      </w:rPr>
    </w:pPr>
  </w:p>
  <w:p w14:paraId="5A551FBE" w14:textId="77777777" w:rsidR="00E20F6B" w:rsidRDefault="00E2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5D4F3" w14:textId="77777777" w:rsidR="002C6C21" w:rsidRDefault="002C6C21">
      <w:r>
        <w:separator/>
      </w:r>
    </w:p>
  </w:footnote>
  <w:footnote w:type="continuationSeparator" w:id="0">
    <w:p w14:paraId="2398B085" w14:textId="77777777" w:rsidR="002C6C21" w:rsidRDefault="002C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B5F3B" w14:textId="77777777" w:rsidR="00E20F6B" w:rsidRDefault="00E20F6B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3E3B" w14:textId="77777777" w:rsidR="00E20F6B" w:rsidRDefault="00E20F6B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1DFB"/>
    <w:multiLevelType w:val="hybridMultilevel"/>
    <w:tmpl w:val="3C7013B2"/>
    <w:lvl w:ilvl="0" w:tplc="D8C80A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846C0">
      <w:start w:val="100"/>
      <w:numFmt w:val="decimal"/>
      <w:lvlText w:val="%4"/>
      <w:lvlJc w:val="left"/>
      <w:pPr>
        <w:ind w:left="2952" w:hanging="432"/>
      </w:pPr>
      <w:rPr>
        <w:rFonts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F6E"/>
    <w:multiLevelType w:val="hybridMultilevel"/>
    <w:tmpl w:val="16D698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77E4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18EC3D40"/>
    <w:multiLevelType w:val="multilevel"/>
    <w:tmpl w:val="BE1CC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8E6B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C5A78EF"/>
    <w:multiLevelType w:val="multilevel"/>
    <w:tmpl w:val="67DE2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B581958"/>
    <w:multiLevelType w:val="hybridMultilevel"/>
    <w:tmpl w:val="AB4ADF5A"/>
    <w:lvl w:ilvl="0" w:tplc="99165C5C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6C500B54"/>
    <w:multiLevelType w:val="hybridMultilevel"/>
    <w:tmpl w:val="16D698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54A"/>
    <w:multiLevelType w:val="multilevel"/>
    <w:tmpl w:val="DF985A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num w:numId="1" w16cid:durableId="768887850">
    <w:abstractNumId w:val="5"/>
  </w:num>
  <w:num w:numId="2" w16cid:durableId="732505960">
    <w:abstractNumId w:val="4"/>
  </w:num>
  <w:num w:numId="3" w16cid:durableId="1653025843">
    <w:abstractNumId w:val="0"/>
  </w:num>
  <w:num w:numId="4" w16cid:durableId="2008751008">
    <w:abstractNumId w:val="3"/>
  </w:num>
  <w:num w:numId="5" w16cid:durableId="1210994065">
    <w:abstractNumId w:val="8"/>
  </w:num>
  <w:num w:numId="6" w16cid:durableId="97065464">
    <w:abstractNumId w:val="1"/>
  </w:num>
  <w:num w:numId="7" w16cid:durableId="724639578">
    <w:abstractNumId w:val="2"/>
  </w:num>
  <w:num w:numId="8" w16cid:durableId="894051198">
    <w:abstractNumId w:val="7"/>
  </w:num>
  <w:num w:numId="9" w16cid:durableId="80225184">
    <w:abstractNumId w:val="6"/>
  </w:num>
  <w:num w:numId="10" w16cid:durableId="1793014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49"/>
    <w:rsid w:val="00020B41"/>
    <w:rsid w:val="00090C9F"/>
    <w:rsid w:val="000B6C40"/>
    <w:rsid w:val="000D45D5"/>
    <w:rsid w:val="00103293"/>
    <w:rsid w:val="00187FB2"/>
    <w:rsid w:val="001A0AE4"/>
    <w:rsid w:val="001E64F6"/>
    <w:rsid w:val="00231328"/>
    <w:rsid w:val="00250CB7"/>
    <w:rsid w:val="002C1EAA"/>
    <w:rsid w:val="002C6C21"/>
    <w:rsid w:val="002E2118"/>
    <w:rsid w:val="003A381D"/>
    <w:rsid w:val="003E028B"/>
    <w:rsid w:val="003E3356"/>
    <w:rsid w:val="003F637F"/>
    <w:rsid w:val="00466319"/>
    <w:rsid w:val="00467DED"/>
    <w:rsid w:val="00485B9E"/>
    <w:rsid w:val="00502FE1"/>
    <w:rsid w:val="00522D8A"/>
    <w:rsid w:val="00543F56"/>
    <w:rsid w:val="005732A5"/>
    <w:rsid w:val="005C0BE6"/>
    <w:rsid w:val="005D4875"/>
    <w:rsid w:val="005D580F"/>
    <w:rsid w:val="005E3D75"/>
    <w:rsid w:val="006063A4"/>
    <w:rsid w:val="00632129"/>
    <w:rsid w:val="0068377F"/>
    <w:rsid w:val="00712637"/>
    <w:rsid w:val="007A7819"/>
    <w:rsid w:val="007E10AB"/>
    <w:rsid w:val="007E35FB"/>
    <w:rsid w:val="008002A8"/>
    <w:rsid w:val="00801CC8"/>
    <w:rsid w:val="00893241"/>
    <w:rsid w:val="00896B59"/>
    <w:rsid w:val="008A5232"/>
    <w:rsid w:val="00904E46"/>
    <w:rsid w:val="0092541C"/>
    <w:rsid w:val="00925B83"/>
    <w:rsid w:val="00952439"/>
    <w:rsid w:val="00962F52"/>
    <w:rsid w:val="00972C74"/>
    <w:rsid w:val="009855FB"/>
    <w:rsid w:val="0099172B"/>
    <w:rsid w:val="009C75A2"/>
    <w:rsid w:val="009F2B83"/>
    <w:rsid w:val="00A0404B"/>
    <w:rsid w:val="00A13F00"/>
    <w:rsid w:val="00AB028B"/>
    <w:rsid w:val="00AC056A"/>
    <w:rsid w:val="00AC5B80"/>
    <w:rsid w:val="00AD19DA"/>
    <w:rsid w:val="00B06B47"/>
    <w:rsid w:val="00B57C1C"/>
    <w:rsid w:val="00B76067"/>
    <w:rsid w:val="00B94BEF"/>
    <w:rsid w:val="00BC73F4"/>
    <w:rsid w:val="00C14CC0"/>
    <w:rsid w:val="00CC3BC2"/>
    <w:rsid w:val="00CD0928"/>
    <w:rsid w:val="00D00E41"/>
    <w:rsid w:val="00D4013B"/>
    <w:rsid w:val="00D778E2"/>
    <w:rsid w:val="00D94381"/>
    <w:rsid w:val="00DD27DF"/>
    <w:rsid w:val="00DD2CA0"/>
    <w:rsid w:val="00E20F6B"/>
    <w:rsid w:val="00E40D86"/>
    <w:rsid w:val="00E53219"/>
    <w:rsid w:val="00E61578"/>
    <w:rsid w:val="00E8673D"/>
    <w:rsid w:val="00EF5B92"/>
    <w:rsid w:val="00F00749"/>
    <w:rsid w:val="00F14ED8"/>
    <w:rsid w:val="00F30F85"/>
    <w:rsid w:val="00F34CEF"/>
    <w:rsid w:val="00F578A4"/>
    <w:rsid w:val="00F60166"/>
    <w:rsid w:val="00F8174D"/>
    <w:rsid w:val="00F81AA1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1CFA4"/>
  <w15:chartTrackingRefBased/>
  <w15:docId w15:val="{95A79F26-3BC9-4E45-AC3E-762432E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49"/>
    <w:pPr>
      <w:spacing w:after="0"/>
      <w:jc w:val="lef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49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49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00749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00749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74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0749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00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749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00749"/>
    <w:pPr>
      <w:spacing w:after="0"/>
      <w:jc w:val="left"/>
    </w:pPr>
    <w:rPr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57C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D8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99999-publiskas-personas-zemes-nomas-un-apbuves-tiesibas-noteikum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6029</Words>
  <Characters>3438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44</cp:revision>
  <dcterms:created xsi:type="dcterms:W3CDTF">2024-10-10T07:56:00Z</dcterms:created>
  <dcterms:modified xsi:type="dcterms:W3CDTF">2024-11-20T07:27:00Z</dcterms:modified>
</cp:coreProperties>
</file>