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23F0" w14:textId="77777777" w:rsidR="006A7850" w:rsidRDefault="006F5A3B" w:rsidP="006A7850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ACBE9" w14:textId="77777777" w:rsidR="006A7850" w:rsidRPr="007C22AA" w:rsidRDefault="006F5A3B" w:rsidP="006A785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C22A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C22AA">
        <w:rPr>
          <w:rFonts w:ascii="Times New Roman" w:hAnsi="Times New Roman" w:cs="Times New Roman"/>
          <w:noProof/>
          <w:sz w:val="28"/>
          <w:szCs w:val="28"/>
        </w:rPr>
        <w:tab/>
      </w:r>
    </w:p>
    <w:p w14:paraId="538D820F" w14:textId="77777777" w:rsidR="006A7850" w:rsidRPr="007C22AA" w:rsidRDefault="006F5A3B" w:rsidP="006A7850">
      <w:pPr>
        <w:jc w:val="center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Ādažos, Ādažu novadā</w:t>
      </w:r>
    </w:p>
    <w:p w14:paraId="76C3602C" w14:textId="77777777" w:rsidR="006A7850" w:rsidRPr="007C22AA" w:rsidRDefault="006F5A3B" w:rsidP="006A7850">
      <w:pPr>
        <w:rPr>
          <w:rFonts w:ascii="Times New Roman" w:hAnsi="Times New Roman" w:cs="Times New Roman"/>
        </w:rPr>
      </w:pP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</w:p>
    <w:p w14:paraId="7733B951" w14:textId="27FC5C93" w:rsidR="006A7850" w:rsidRPr="00564CA6" w:rsidRDefault="006F5A3B" w:rsidP="006A7850">
      <w:pPr>
        <w:rPr>
          <w:rFonts w:ascii="Times New Roman" w:hAnsi="Times New Roman" w:cs="Times New Roman"/>
          <w:b/>
        </w:rPr>
      </w:pPr>
      <w:r w:rsidRPr="007C22AA">
        <w:rPr>
          <w:rFonts w:ascii="Times New Roman" w:hAnsi="Times New Roman" w:cs="Times New Roman"/>
        </w:rPr>
        <w:t xml:space="preserve">2024. gada 24. oktobrī </w:t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6F5A3B">
        <w:rPr>
          <w:rFonts w:ascii="Times New Roman" w:hAnsi="Times New Roman" w:cs="Times New Roman"/>
          <w:b/>
          <w:bCs/>
          <w:noProof/>
        </w:rPr>
        <w:t>407</w:t>
      </w:r>
    </w:p>
    <w:p w14:paraId="16594EAA" w14:textId="77777777" w:rsidR="006A7850" w:rsidRPr="00564CA6" w:rsidRDefault="006A7850" w:rsidP="006A7850">
      <w:pPr>
        <w:rPr>
          <w:rFonts w:ascii="Times New Roman" w:hAnsi="Times New Roman" w:cs="Times New Roman"/>
        </w:rPr>
      </w:pPr>
    </w:p>
    <w:p w14:paraId="7B2B9B82" w14:textId="393E9414" w:rsidR="006A7850" w:rsidRDefault="006F5A3B" w:rsidP="006A7850">
      <w:pPr>
        <w:jc w:val="center"/>
        <w:rPr>
          <w:rFonts w:ascii="Times New Roman" w:hAnsi="Times New Roman" w:cs="Times New Roman"/>
          <w:b/>
        </w:rPr>
      </w:pPr>
      <w:r w:rsidRPr="00AB467C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pašvaldības </w:t>
      </w:r>
      <w:r w:rsidRPr="00AB467C">
        <w:rPr>
          <w:rFonts w:ascii="Times New Roman" w:hAnsi="Times New Roman" w:cs="Times New Roman"/>
          <w:b/>
        </w:rPr>
        <w:t>īpašumu adrešu sakārtošanu</w:t>
      </w:r>
    </w:p>
    <w:p w14:paraId="4079CBF7" w14:textId="77777777" w:rsidR="006A7850" w:rsidRDefault="006A7850" w:rsidP="006F5A3B">
      <w:pPr>
        <w:rPr>
          <w:rFonts w:ascii="Times New Roman" w:hAnsi="Times New Roman" w:cs="Times New Roman"/>
          <w:b/>
        </w:rPr>
      </w:pPr>
    </w:p>
    <w:p w14:paraId="0C18F02B" w14:textId="518F7A47" w:rsidR="006A7850" w:rsidRPr="006A7850" w:rsidRDefault="006F5A3B" w:rsidP="006A7850">
      <w:pPr>
        <w:spacing w:after="120"/>
        <w:jc w:val="both"/>
        <w:rPr>
          <w:rFonts w:ascii="Times New Roman" w:hAnsi="Times New Roman" w:cs="Times New Roman"/>
          <w:bCs/>
        </w:rPr>
      </w:pPr>
      <w:bookmarkStart w:id="0" w:name="_Hlk164156845"/>
      <w:r w:rsidRPr="002377C6">
        <w:rPr>
          <w:rFonts w:ascii="Times New Roman" w:hAnsi="Times New Roman" w:cs="Times New Roman"/>
          <w:bCs/>
        </w:rPr>
        <w:t>Ādažu novada pašvaldība</w:t>
      </w:r>
      <w:r>
        <w:rPr>
          <w:rFonts w:ascii="Times New Roman" w:hAnsi="Times New Roman" w:cs="Times New Roman"/>
          <w:bCs/>
        </w:rPr>
        <w:t>i pieder tādas zemes vienības un nekust</w:t>
      </w:r>
      <w:r w:rsidR="00925C42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mie īpašumi, kuriem</w:t>
      </w:r>
      <w:r w:rsidRPr="002377C6">
        <w:rPr>
          <w:rFonts w:ascii="Times New Roman" w:hAnsi="Times New Roman" w:cs="Times New Roman"/>
          <w:bCs/>
        </w:rPr>
        <w:t xml:space="preserve"> </w:t>
      </w:r>
      <w:bookmarkEnd w:id="0"/>
      <w:r>
        <w:rPr>
          <w:rFonts w:ascii="Times New Roman" w:hAnsi="Times New Roman" w:cs="Times New Roman"/>
          <w:bCs/>
        </w:rPr>
        <w:t xml:space="preserve">nav piešķirtas adreses. Adrešu piešķiršana atvieglos ne tikai zemes vienību atrašanu, bet arī īpašumu apsaimniekošanu un iznomāšanu. </w:t>
      </w:r>
      <w:r w:rsidRPr="004D5427">
        <w:rPr>
          <w:rFonts w:ascii="Times New Roman" w:hAnsi="Times New Roman" w:cs="Times New Roman"/>
          <w:bCs/>
        </w:rPr>
        <w:t xml:space="preserve">Ādažu novada pašvaldības </w:t>
      </w:r>
      <w:r w:rsidR="00925C42">
        <w:rPr>
          <w:rFonts w:ascii="Times New Roman" w:hAnsi="Times New Roman" w:cs="Times New Roman"/>
          <w:bCs/>
        </w:rPr>
        <w:t>Centrālās pārvaldes</w:t>
      </w:r>
      <w:r>
        <w:rPr>
          <w:rFonts w:ascii="Times New Roman" w:hAnsi="Times New Roman" w:cs="Times New Roman"/>
          <w:bCs/>
        </w:rPr>
        <w:t xml:space="preserve"> </w:t>
      </w:r>
      <w:r w:rsidRPr="004D5427">
        <w:rPr>
          <w:rFonts w:ascii="Times New Roman" w:hAnsi="Times New Roman" w:cs="Times New Roman"/>
          <w:bCs/>
        </w:rPr>
        <w:t>Nekustamā īpašuma nodaļa</w:t>
      </w:r>
      <w:r>
        <w:rPr>
          <w:rFonts w:ascii="Times New Roman" w:hAnsi="Times New Roman" w:cs="Times New Roman"/>
          <w:bCs/>
        </w:rPr>
        <w:t xml:space="preserve"> veic</w:t>
      </w:r>
      <w:r w:rsidR="00925C42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šādu objektu apzināšanu un sagatavoja adresācijas priekšlikumus pašvaldības zemes vienībām bez adresēm ar kadastra apzīmējumiem </w:t>
      </w:r>
      <w:r w:rsidRPr="006A7850">
        <w:rPr>
          <w:rFonts w:ascii="Times New Roman" w:hAnsi="Times New Roman" w:cs="Times New Roman"/>
          <w:bCs/>
        </w:rPr>
        <w:t xml:space="preserve">80440140295 un </w:t>
      </w:r>
      <w:hyperlink r:id="rId8" w:history="1">
        <w:r w:rsidRPr="006A7850">
          <w:rPr>
            <w:rFonts w:ascii="Times New Roman" w:hAnsi="Times New Roman" w:cs="Times New Roman"/>
            <w:bCs/>
          </w:rPr>
          <w:t>80440100026</w:t>
        </w:r>
      </w:hyperlink>
      <w:r w:rsidRPr="006A7850">
        <w:rPr>
          <w:rFonts w:ascii="Times New Roman" w:hAnsi="Times New Roman" w:cs="Times New Roman"/>
          <w:bCs/>
        </w:rPr>
        <w:t>.</w:t>
      </w:r>
    </w:p>
    <w:p w14:paraId="639CED35" w14:textId="223CBFEA" w:rsidR="006A7850" w:rsidRDefault="006F5A3B" w:rsidP="006A7850">
      <w:pPr>
        <w:spacing w:after="120"/>
        <w:jc w:val="both"/>
        <w:rPr>
          <w:rFonts w:ascii="Times New Roman" w:hAnsi="Times New Roman" w:cs="Times New Roman"/>
        </w:rPr>
      </w:pPr>
      <w:r w:rsidRPr="009D0A23">
        <w:rPr>
          <w:rFonts w:ascii="Times New Roman" w:hAnsi="Times New Roman" w:cs="Times New Roman"/>
        </w:rPr>
        <w:t>Ņemot vērā zemes vienīb</w:t>
      </w:r>
      <w:r>
        <w:rPr>
          <w:rFonts w:ascii="Times New Roman" w:hAnsi="Times New Roman" w:cs="Times New Roman"/>
        </w:rPr>
        <w:t>u</w:t>
      </w:r>
      <w:r w:rsidRPr="009D0A23">
        <w:rPr>
          <w:rFonts w:ascii="Times New Roman" w:hAnsi="Times New Roman" w:cs="Times New Roman"/>
        </w:rPr>
        <w:t xml:space="preserve"> platību un konfi</w:t>
      </w:r>
      <w:r w:rsidRPr="009D0A23">
        <w:rPr>
          <w:rFonts w:ascii="Times New Roman" w:hAnsi="Times New Roman" w:cs="Times New Roman"/>
        </w:rPr>
        <w:t>gurāciju</w:t>
      </w:r>
      <w:r>
        <w:rPr>
          <w:rFonts w:ascii="Times New Roman" w:hAnsi="Times New Roman" w:cs="Times New Roman"/>
        </w:rPr>
        <w:t>, k</w:t>
      </w:r>
      <w:r w:rsidR="00925C42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arī atļauto izmantošanu</w:t>
      </w:r>
      <w:r w:rsidR="00925C42">
        <w:rPr>
          <w:rFonts w:ascii="Times New Roman" w:hAnsi="Times New Roman" w:cs="Times New Roman"/>
        </w:rPr>
        <w:t>,</w:t>
      </w:r>
      <w:r w:rsidRPr="009D0A23">
        <w:rPr>
          <w:rFonts w:ascii="Times New Roman" w:hAnsi="Times New Roman" w:cs="Times New Roman"/>
        </w:rPr>
        <w:t xml:space="preserve"> secināms, ka t</w:t>
      </w:r>
      <w:r w:rsidR="00925C42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s</w:t>
      </w:r>
      <w:r w:rsidRPr="009D0A23">
        <w:rPr>
          <w:rFonts w:ascii="Times New Roman" w:hAnsi="Times New Roman" w:cs="Times New Roman"/>
        </w:rPr>
        <w:t xml:space="preserve"> ir adresācijas objekt</w:t>
      </w:r>
      <w:r>
        <w:rPr>
          <w:rFonts w:ascii="Times New Roman" w:hAnsi="Times New Roman" w:cs="Times New Roman"/>
        </w:rPr>
        <w:t>i</w:t>
      </w:r>
      <w:r w:rsidRPr="009D0A23">
        <w:rPr>
          <w:rFonts w:ascii="Times New Roman" w:hAnsi="Times New Roman" w:cs="Times New Roman"/>
        </w:rPr>
        <w:t xml:space="preserve"> atbilstoši Ministru kabineta 29.06.2021. noteikumu Nr. 455 “Adresācijas noteikumu” (turpmāk – Noteikumi) 2.10. apakšpunktam. </w:t>
      </w:r>
    </w:p>
    <w:p w14:paraId="1644FE05" w14:textId="77777777" w:rsidR="006A7850" w:rsidRPr="00DC4322" w:rsidRDefault="006F5A3B" w:rsidP="006A7850">
      <w:pPr>
        <w:spacing w:after="120"/>
        <w:jc w:val="both"/>
        <w:textAlignment w:val="baseline"/>
        <w:rPr>
          <w:rFonts w:ascii="Times New Roman" w:hAnsi="Times New Roman" w:cs="Times New Roman"/>
        </w:rPr>
      </w:pPr>
      <w:r w:rsidRPr="00DC4322">
        <w:rPr>
          <w:rFonts w:ascii="Times New Roman" w:hAnsi="Times New Roman" w:cs="Times New Roman"/>
        </w:rPr>
        <w:t xml:space="preserve">Noteikumu 9. punktā noteikts, ka </w:t>
      </w:r>
      <w:r w:rsidRPr="00DC4322">
        <w:rPr>
          <w:rFonts w:ascii="Times New Roman" w:hAnsi="Times New Roman" w:cs="Times New Roman"/>
        </w:rPr>
        <w:t>pašvaldībai bez personas piekrišanas, izvērtējot konkrēto situāciju, ir tiesības piešķirt vai mainīt adresi, ja tā neatbilst šo noteikumu prasībām.</w:t>
      </w:r>
    </w:p>
    <w:p w14:paraId="6FD1D1A4" w14:textId="77777777" w:rsidR="006A7850" w:rsidRPr="00DC4322" w:rsidRDefault="006F5A3B" w:rsidP="006A7850">
      <w:pPr>
        <w:spacing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DC4322">
        <w:rPr>
          <w:rFonts w:ascii="Times New Roman" w:hAnsi="Times New Roman" w:cs="Times New Roman"/>
        </w:rPr>
        <w:t>Noteikumu</w:t>
      </w:r>
      <w:r w:rsidRPr="00DC4322">
        <w:rPr>
          <w:rFonts w:ascii="Times New Roman" w:hAnsi="Times New Roman" w:cs="Times New Roman"/>
          <w:shd w:val="clear" w:color="auto" w:fill="FFFFFF"/>
        </w:rPr>
        <w:t xml:space="preserve"> 15. punktā noteikts, ka ciemu teritoriju daļās, kur ir ielas, apbūvei paredzētajai zemes vienībai </w:t>
      </w:r>
      <w:r w:rsidRPr="00DC4322">
        <w:rPr>
          <w:rFonts w:ascii="Times New Roman" w:hAnsi="Times New Roman" w:cs="Times New Roman"/>
          <w:shd w:val="clear" w:color="auto" w:fill="FFFFFF"/>
        </w:rPr>
        <w:t xml:space="preserve">piešķir numuru ar piesaisti ielas nosaukumam. </w:t>
      </w:r>
    </w:p>
    <w:p w14:paraId="5F6479E3" w14:textId="77777777" w:rsidR="006A7850" w:rsidRPr="00DC4322" w:rsidRDefault="006F5A3B" w:rsidP="006A7850">
      <w:pPr>
        <w:spacing w:after="120"/>
        <w:jc w:val="both"/>
        <w:textAlignment w:val="baseline"/>
        <w:rPr>
          <w:rFonts w:ascii="Times New Roman" w:hAnsi="Times New Roman" w:cs="Times New Roman"/>
        </w:rPr>
      </w:pPr>
      <w:r w:rsidRPr="00DC4322">
        <w:rPr>
          <w:rFonts w:ascii="Times New Roman" w:hAnsi="Times New Roman" w:cs="Times New Roman"/>
        </w:rPr>
        <w:t>Noteikumu</w:t>
      </w:r>
      <w:r w:rsidRPr="00DC4322">
        <w:rPr>
          <w:rFonts w:ascii="Times New Roman" w:hAnsi="Times New Roman" w:cs="Times New Roman"/>
          <w:shd w:val="clear" w:color="auto" w:fill="FFFFFF"/>
        </w:rPr>
        <w:t xml:space="preserve"> 18.1. apakšpunktā noteikts, ka </w:t>
      </w:r>
      <w:r w:rsidRPr="00DC4322">
        <w:rPr>
          <w:rFonts w:ascii="Times New Roman" w:hAnsi="Times New Roman" w:cs="Times New Roman"/>
        </w:rPr>
        <w:t>ciemos apbūvei paredzētu zemes vienību un ēku numurus piešķir šādā kārtībā: ielās – no ielas sākuma augošā secībā, sākot numerāciju ar pirmajiem cipariem, virzienā no a</w:t>
      </w:r>
      <w:r w:rsidRPr="00DC4322">
        <w:rPr>
          <w:rFonts w:ascii="Times New Roman" w:hAnsi="Times New Roman" w:cs="Times New Roman"/>
        </w:rPr>
        <w:t>pdzīvotās vietas centra uz nomali vai no galvenās ielas, laukuma, autoceļa. Ielas kreisajā pusē piešķir nepāra numurus, labajā pusē – pāra numurus.</w:t>
      </w:r>
    </w:p>
    <w:p w14:paraId="2CA4D64D" w14:textId="77777777" w:rsidR="006A7850" w:rsidRPr="00DC4322" w:rsidRDefault="006F5A3B" w:rsidP="006A7850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C4322">
        <w:rPr>
          <w:rFonts w:ascii="Times New Roman" w:hAnsi="Times New Roman" w:cs="Times New Roman"/>
        </w:rPr>
        <w:t>Noteikumu</w:t>
      </w:r>
      <w:r w:rsidRPr="00DC4322">
        <w:rPr>
          <w:rFonts w:ascii="Times New Roman" w:hAnsi="Times New Roman" w:cs="Times New Roman"/>
          <w:shd w:val="clear" w:color="auto" w:fill="FFFFFF"/>
        </w:rPr>
        <w:t xml:space="preserve"> 20. punktā noteikts, ka ciemu teritoriju daļās, kur ir ielas, apbūvei paredzētajai zemes vienībai </w:t>
      </w:r>
      <w:r w:rsidRPr="00DC4322">
        <w:rPr>
          <w:rFonts w:ascii="Times New Roman" w:hAnsi="Times New Roman" w:cs="Times New Roman"/>
          <w:shd w:val="clear" w:color="auto" w:fill="FFFFFF"/>
        </w:rPr>
        <w:t>vai ēkai numuru piešķir, izvērtējot konkrēto situāciju un ņemot vērā tuvāko ielu vai ielu, no kuras iespējams pie ēkas piekļūt ar transportu.</w:t>
      </w:r>
    </w:p>
    <w:p w14:paraId="4ABE23D6" w14:textId="77777777" w:rsidR="006A7850" w:rsidRPr="00DC4322" w:rsidRDefault="006F5A3B" w:rsidP="006A7850">
      <w:pPr>
        <w:spacing w:after="120"/>
        <w:jc w:val="both"/>
        <w:textAlignment w:val="baseline"/>
        <w:rPr>
          <w:rFonts w:ascii="Times New Roman" w:hAnsi="Times New Roman" w:cs="Times New Roman"/>
        </w:rPr>
      </w:pPr>
      <w:r w:rsidRPr="00DC4322">
        <w:rPr>
          <w:rFonts w:ascii="Times New Roman" w:hAnsi="Times New Roman" w:cs="Times New Roman"/>
        </w:rPr>
        <w:t xml:space="preserve">Atbilstoši Valsts zemes dienesta </w:t>
      </w:r>
      <w:r w:rsidRPr="00DC4322">
        <w:rPr>
          <w:rFonts w:ascii="Times New Roman" w:hAnsi="Times New Roman" w:cs="Times New Roman"/>
          <w:spacing w:val="2"/>
        </w:rPr>
        <w:t>Adrešu reģistra departamenta ieteikumiem,</w:t>
      </w:r>
      <w:r w:rsidRPr="00DC4322">
        <w:rPr>
          <w:rFonts w:ascii="Times New Roman" w:hAnsi="Times New Roman" w:cs="Times New Roman"/>
        </w:rPr>
        <w:t xml:space="preserve"> lemjot par adrešu maiņu adresācijas obj</w:t>
      </w:r>
      <w:r w:rsidRPr="00DC4322">
        <w:rPr>
          <w:rFonts w:ascii="Times New Roman" w:hAnsi="Times New Roman" w:cs="Times New Roman"/>
        </w:rPr>
        <w:t>ektiem, ir lietderīgi vienlaikus izvērtēt un likvidēt, kur nepieciešams, arī īpašumu nosaukumus, lai neveidotos situācija, kad īpašuma nosaukums atšķiras no adreses</w:t>
      </w:r>
      <w:r w:rsidRPr="00DC4322">
        <w:rPr>
          <w:rFonts w:ascii="Times New Roman" w:hAnsi="Times New Roman" w:cs="Times New Roman"/>
          <w:spacing w:val="2"/>
        </w:rPr>
        <w:t>.</w:t>
      </w:r>
      <w:r w:rsidRPr="00DC4322">
        <w:rPr>
          <w:rFonts w:ascii="Times New Roman" w:hAnsi="Times New Roman" w:cs="Times New Roman"/>
        </w:rPr>
        <w:t xml:space="preserve"> </w:t>
      </w:r>
    </w:p>
    <w:p w14:paraId="7B7196BD" w14:textId="27019C19" w:rsidR="006A7850" w:rsidRPr="008325D8" w:rsidRDefault="006F5A3B" w:rsidP="006A7850">
      <w:pPr>
        <w:spacing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bookmarkStart w:id="1" w:name="_Hlk178684829"/>
      <w:r w:rsidRPr="00DC4322">
        <w:rPr>
          <w:rFonts w:ascii="Times New Roman" w:hAnsi="Times New Roman" w:cs="Times New Roman"/>
        </w:rPr>
        <w:t xml:space="preserve">Pamatojoties uz </w:t>
      </w:r>
      <w:r w:rsidRPr="00DC4322">
        <w:rPr>
          <w:rFonts w:ascii="Times New Roman" w:eastAsia="Calibri" w:hAnsi="Times New Roman" w:cs="Times New Roman"/>
        </w:rPr>
        <w:t xml:space="preserve">Pašvaldību likuma 10. panta pirmās daļas 21. punktu un </w:t>
      </w:r>
      <w:r w:rsidRPr="00DC4322">
        <w:rPr>
          <w:rFonts w:ascii="Times New Roman" w:hAnsi="Times New Roman" w:cs="Times New Roman"/>
        </w:rPr>
        <w:t xml:space="preserve">Ministru kabineta 29.06.2021. noteikumu Nr. 455 “Adresācijas noteikumi” 2.10., </w:t>
      </w:r>
      <w:r w:rsidRPr="00DC4322">
        <w:rPr>
          <w:rFonts w:ascii="Times New Roman" w:eastAsia="Calibri" w:hAnsi="Times New Roman" w:cs="Times New Roman"/>
        </w:rPr>
        <w:t xml:space="preserve">9., 15., 18.1., 20. </w:t>
      </w:r>
      <w:r w:rsidRPr="00DC4322">
        <w:rPr>
          <w:rFonts w:ascii="Times New Roman" w:hAnsi="Times New Roman" w:cs="Times New Roman"/>
          <w:shd w:val="clear" w:color="auto" w:fill="FFFFFF"/>
        </w:rPr>
        <w:t xml:space="preserve">punktu, </w:t>
      </w:r>
      <w:r w:rsidRPr="00DC4322">
        <w:rPr>
          <w:rFonts w:ascii="Times New Roman" w:hAnsi="Times New Roman"/>
        </w:rPr>
        <w:t xml:space="preserve">kā arī Attīstības </w:t>
      </w:r>
      <w:r w:rsidRPr="006A7850">
        <w:rPr>
          <w:rFonts w:ascii="Times New Roman" w:hAnsi="Times New Roman"/>
        </w:rPr>
        <w:t>komitejas 09.10.2024. atzinumu</w:t>
      </w:r>
      <w:r w:rsidRPr="00DC4322">
        <w:rPr>
          <w:rFonts w:ascii="Times New Roman" w:eastAsia="Calibri" w:hAnsi="Times New Roman" w:cs="Times New Roman"/>
        </w:rPr>
        <w:t xml:space="preserve">, </w:t>
      </w:r>
      <w:r w:rsidRPr="00DC4322">
        <w:rPr>
          <w:rFonts w:ascii="Times New Roman" w:hAnsi="Times New Roman" w:cs="Times New Roman"/>
        </w:rPr>
        <w:t>Ādažu novada pašvaldības dome</w:t>
      </w:r>
    </w:p>
    <w:p w14:paraId="4FB0D43C" w14:textId="77777777" w:rsidR="006A7850" w:rsidRPr="002377C6" w:rsidRDefault="006F5A3B" w:rsidP="006A7850">
      <w:pPr>
        <w:spacing w:after="120"/>
        <w:jc w:val="center"/>
        <w:rPr>
          <w:rFonts w:ascii="Times New Roman" w:hAnsi="Times New Roman" w:cs="Times New Roman"/>
          <w:b/>
        </w:rPr>
      </w:pPr>
      <w:bookmarkStart w:id="2" w:name="_Hlk178684949"/>
      <w:bookmarkEnd w:id="1"/>
      <w:r w:rsidRPr="002377C6">
        <w:rPr>
          <w:rFonts w:ascii="Times New Roman" w:hAnsi="Times New Roman" w:cs="Times New Roman"/>
          <w:b/>
        </w:rPr>
        <w:t>NOLEMJ:</w:t>
      </w:r>
    </w:p>
    <w:p w14:paraId="4DCADA23" w14:textId="77777777" w:rsidR="006A7850" w:rsidRDefault="006F5A3B" w:rsidP="006A7850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Piešķirt adreses adresācijas objektiem saskaņā ar sarakstu: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0E3B74" w14:paraId="4D882EAB" w14:textId="77777777" w:rsidTr="00987D9D">
        <w:trPr>
          <w:trHeight w:val="394"/>
        </w:trPr>
        <w:tc>
          <w:tcPr>
            <w:tcW w:w="1296" w:type="dxa"/>
            <w:vAlign w:val="center"/>
          </w:tcPr>
          <w:bookmarkEnd w:id="2"/>
          <w:p w14:paraId="7A1F5078" w14:textId="77777777" w:rsidR="006A7850" w:rsidRPr="006A7850" w:rsidRDefault="006F5A3B" w:rsidP="006A785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7850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1E5F110B" w14:textId="77777777" w:rsidR="006A7850" w:rsidRPr="006A7850" w:rsidRDefault="006F5A3B" w:rsidP="006A785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7850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401D99CE" w14:textId="288C9750" w:rsidR="006A7850" w:rsidRPr="006A7850" w:rsidRDefault="006F5A3B" w:rsidP="006A785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7850"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3543" w:type="dxa"/>
            <w:vAlign w:val="center"/>
          </w:tcPr>
          <w:p w14:paraId="4AA24043" w14:textId="77777777" w:rsidR="006A7850" w:rsidRPr="006A7850" w:rsidRDefault="006F5A3B" w:rsidP="006A785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7850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0E3B74" w14:paraId="6A711C54" w14:textId="77777777" w:rsidTr="00987D9D">
        <w:tc>
          <w:tcPr>
            <w:tcW w:w="1296" w:type="dxa"/>
            <w:vAlign w:val="center"/>
          </w:tcPr>
          <w:p w14:paraId="7C733846" w14:textId="77777777" w:rsidR="006A7850" w:rsidRPr="000A5A71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A5A71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6B42D3AE" w14:textId="77777777" w:rsidR="006A7850" w:rsidRPr="000A5A71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</w:rPr>
            </w:pPr>
            <w:r w:rsidRPr="000A5A71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268" w:type="dxa"/>
            <w:vAlign w:val="center"/>
          </w:tcPr>
          <w:p w14:paraId="7DBFBCF5" w14:textId="77777777" w:rsidR="006A7850" w:rsidRPr="000A5A71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A5A71">
              <w:rPr>
                <w:rFonts w:ascii="Times New Roman" w:hAnsi="Times New Roman" w:cs="Times New Roman"/>
                <w:shd w:val="clear" w:color="auto" w:fill="FFFFFF"/>
              </w:rPr>
              <w:t>80440140295</w:t>
            </w:r>
          </w:p>
        </w:tc>
        <w:tc>
          <w:tcPr>
            <w:tcW w:w="3543" w:type="dxa"/>
            <w:vAlign w:val="center"/>
          </w:tcPr>
          <w:p w14:paraId="3FC101DC" w14:textId="3495A6E3" w:rsidR="006A7850" w:rsidRPr="000A5A71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A5A71">
              <w:rPr>
                <w:rFonts w:ascii="Times New Roman" w:hAnsi="Times New Roman" w:cs="Times New Roman"/>
                <w:shd w:val="clear" w:color="auto" w:fill="FFFFFF"/>
              </w:rPr>
              <w:t>Enkuru iela 9, Alderi, Ādažu pag., Ādažu nov., LV</w:t>
            </w:r>
            <w:r w:rsidRPr="000A5A71">
              <w:rPr>
                <w:rFonts w:ascii="Times New Roman" w:hAnsi="Times New Roman" w:cs="Times New Roman"/>
                <w:shd w:val="clear" w:color="auto" w:fill="FFFFFF"/>
              </w:rPr>
              <w:t>-2164</w:t>
            </w:r>
          </w:p>
        </w:tc>
      </w:tr>
      <w:tr w:rsidR="000E3B74" w14:paraId="3FC1288C" w14:textId="77777777" w:rsidTr="00987D9D">
        <w:tc>
          <w:tcPr>
            <w:tcW w:w="1296" w:type="dxa"/>
            <w:vAlign w:val="center"/>
          </w:tcPr>
          <w:p w14:paraId="1058A054" w14:textId="77777777" w:rsidR="006A7850" w:rsidRPr="000A5A71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A5A7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piešķiršana</w:t>
            </w:r>
          </w:p>
        </w:tc>
        <w:tc>
          <w:tcPr>
            <w:tcW w:w="1539" w:type="dxa"/>
            <w:vAlign w:val="center"/>
          </w:tcPr>
          <w:p w14:paraId="330B79E1" w14:textId="77777777" w:rsidR="006A7850" w:rsidRPr="000A5A71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</w:rPr>
            </w:pPr>
            <w:r w:rsidRPr="000A5A71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268" w:type="dxa"/>
            <w:vAlign w:val="center"/>
          </w:tcPr>
          <w:p w14:paraId="5A4F6B87" w14:textId="77777777" w:rsidR="006A7850" w:rsidRPr="000A5A71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A5A71">
              <w:rPr>
                <w:rFonts w:ascii="Times New Roman" w:hAnsi="Times New Roman" w:cs="Times New Roman"/>
                <w:shd w:val="clear" w:color="auto" w:fill="FFFFFF"/>
              </w:rPr>
              <w:t>80440100299</w:t>
            </w:r>
          </w:p>
        </w:tc>
        <w:tc>
          <w:tcPr>
            <w:tcW w:w="3543" w:type="dxa"/>
            <w:vAlign w:val="center"/>
          </w:tcPr>
          <w:p w14:paraId="33DCFC20" w14:textId="77777777" w:rsidR="006A7850" w:rsidRPr="000A5A71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A5A71">
              <w:rPr>
                <w:rFonts w:ascii="Times New Roman" w:hAnsi="Times New Roman" w:cs="Times New Roman"/>
                <w:shd w:val="clear" w:color="auto" w:fill="FFFFFF"/>
              </w:rPr>
              <w:t>Jaunkūlu</w:t>
            </w:r>
            <w:proofErr w:type="spellEnd"/>
            <w:r w:rsidRPr="000A5A71">
              <w:rPr>
                <w:rFonts w:ascii="Times New Roman" w:hAnsi="Times New Roman" w:cs="Times New Roman"/>
                <w:shd w:val="clear" w:color="auto" w:fill="FFFFFF"/>
              </w:rPr>
              <w:t xml:space="preserve"> iela 17, Ādaži, Ādažu nov., LV-2164</w:t>
            </w:r>
          </w:p>
        </w:tc>
      </w:tr>
    </w:tbl>
    <w:p w14:paraId="703D634A" w14:textId="77777777" w:rsidR="006A7850" w:rsidRDefault="006F5A3B" w:rsidP="00925C42">
      <w:pPr>
        <w:pStyle w:val="ListParagraph"/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Likvidēt īpašumu nosaukumus saskaņā </w:t>
      </w:r>
      <w:r w:rsidRPr="000A5A71">
        <w:rPr>
          <w:rFonts w:ascii="Times New Roman" w:hAnsi="Times New Roman" w:cs="Times New Roman"/>
          <w:sz w:val="24"/>
          <w:szCs w:val="24"/>
          <w:shd w:val="clear" w:color="auto" w:fill="FFFFFF"/>
        </w:rPr>
        <w:t>ar sarakstu: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4638"/>
        <w:gridCol w:w="4008"/>
      </w:tblGrid>
      <w:tr w:rsidR="000E3B74" w14:paraId="659634C1" w14:textId="77777777" w:rsidTr="00987D9D">
        <w:trPr>
          <w:trHeight w:val="394"/>
        </w:trPr>
        <w:tc>
          <w:tcPr>
            <w:tcW w:w="4638" w:type="dxa"/>
          </w:tcPr>
          <w:p w14:paraId="7E170551" w14:textId="77777777" w:rsidR="006A7850" w:rsidRPr="00526A2E" w:rsidRDefault="006F5A3B" w:rsidP="006A7850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b/>
                <w:bCs/>
              </w:rPr>
              <w:t>Īpašuma kadastra numurs</w:t>
            </w:r>
          </w:p>
        </w:tc>
        <w:tc>
          <w:tcPr>
            <w:tcW w:w="4008" w:type="dxa"/>
          </w:tcPr>
          <w:p w14:paraId="5433E2F2" w14:textId="77777777" w:rsidR="006A7850" w:rsidRPr="00526A2E" w:rsidRDefault="006F5A3B" w:rsidP="006A7850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b/>
                <w:bCs/>
              </w:rPr>
              <w:t>Likvidējamais īpašuma nosaukums</w:t>
            </w:r>
          </w:p>
        </w:tc>
      </w:tr>
      <w:tr w:rsidR="000E3B74" w14:paraId="29D19243" w14:textId="77777777" w:rsidTr="00987D9D">
        <w:tc>
          <w:tcPr>
            <w:tcW w:w="4638" w:type="dxa"/>
            <w:vAlign w:val="center"/>
          </w:tcPr>
          <w:p w14:paraId="4E72BDF5" w14:textId="77777777" w:rsidR="006A7850" w:rsidRPr="006A7850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</w:rPr>
            </w:pPr>
            <w:r w:rsidRPr="006A7850">
              <w:rPr>
                <w:rFonts w:ascii="Times New Roman" w:hAnsi="Times New Roman" w:cs="Times New Roman"/>
              </w:rPr>
              <w:t>80440140295</w:t>
            </w:r>
          </w:p>
        </w:tc>
        <w:tc>
          <w:tcPr>
            <w:tcW w:w="4008" w:type="dxa"/>
            <w:vAlign w:val="center"/>
          </w:tcPr>
          <w:p w14:paraId="22EE44C9" w14:textId="77777777" w:rsidR="006A7850" w:rsidRPr="006A7850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</w:rPr>
            </w:pPr>
            <w:r w:rsidRPr="006A7850">
              <w:rPr>
                <w:rFonts w:ascii="Times New Roman" w:hAnsi="Times New Roman" w:cs="Times New Roman"/>
              </w:rPr>
              <w:t>Alderi 13A</w:t>
            </w:r>
          </w:p>
        </w:tc>
      </w:tr>
      <w:tr w:rsidR="000E3B74" w14:paraId="2CD243EB" w14:textId="77777777" w:rsidTr="00987D9D">
        <w:tc>
          <w:tcPr>
            <w:tcW w:w="4638" w:type="dxa"/>
            <w:vAlign w:val="center"/>
          </w:tcPr>
          <w:p w14:paraId="67E4D381" w14:textId="77777777" w:rsidR="006A7850" w:rsidRPr="006A7850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6A7850">
                <w:rPr>
                  <w:rFonts w:ascii="Times New Roman" w:hAnsi="Times New Roman" w:cs="Times New Roman"/>
                </w:rPr>
                <w:t>80440100026</w:t>
              </w:r>
            </w:hyperlink>
          </w:p>
        </w:tc>
        <w:tc>
          <w:tcPr>
            <w:tcW w:w="4008" w:type="dxa"/>
            <w:vAlign w:val="center"/>
          </w:tcPr>
          <w:p w14:paraId="5092DA6C" w14:textId="77777777" w:rsidR="006A7850" w:rsidRPr="006A7850" w:rsidRDefault="006F5A3B" w:rsidP="006A7850">
            <w:pPr>
              <w:spacing w:before="40" w:after="120"/>
              <w:jc w:val="center"/>
              <w:rPr>
                <w:rFonts w:ascii="Times New Roman" w:hAnsi="Times New Roman" w:cs="Times New Roman"/>
              </w:rPr>
            </w:pPr>
            <w:r w:rsidRPr="006A7850">
              <w:rPr>
                <w:rFonts w:ascii="Times New Roman" w:hAnsi="Times New Roman" w:cs="Times New Roman"/>
              </w:rPr>
              <w:t>Jaunbērz</w:t>
            </w:r>
            <w:r w:rsidRPr="006A7850">
              <w:rPr>
                <w:rFonts w:ascii="Times New Roman" w:hAnsi="Times New Roman" w:cs="Times New Roman"/>
              </w:rPr>
              <w:t>iņu skvērs</w:t>
            </w:r>
          </w:p>
        </w:tc>
      </w:tr>
    </w:tbl>
    <w:p w14:paraId="19844A51" w14:textId="2A2DA512" w:rsidR="006A7850" w:rsidRPr="00925C42" w:rsidRDefault="006F5A3B" w:rsidP="00925C42">
      <w:pPr>
        <w:pStyle w:val="ListParagraph"/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5C42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uz e-adresi.</w:t>
      </w:r>
    </w:p>
    <w:p w14:paraId="0323C4E5" w14:textId="67AC7AAF" w:rsidR="006A7850" w:rsidRPr="00925C42" w:rsidRDefault="006F5A3B" w:rsidP="00925C42">
      <w:pPr>
        <w:pStyle w:val="ListParagraph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Pašvaldības aģentūrai “Carnikavas komunālserviss” līdz 30.04.2025. izvietot adrešu plāksnes pie </w:t>
      </w:r>
      <w:r w:rsidR="00925C42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925C42">
        <w:rPr>
          <w:rFonts w:ascii="Times New Roman" w:hAnsi="Times New Roman" w:cs="Times New Roman"/>
          <w:sz w:val="24"/>
          <w:szCs w:val="24"/>
          <w:shd w:val="clear" w:color="auto" w:fill="FFFFFF"/>
        </w:rPr>
        <w:t>ēmuma 1. punktā minēt</w:t>
      </w:r>
      <w:r w:rsidR="00925C42">
        <w:rPr>
          <w:rFonts w:ascii="Times New Roman" w:hAnsi="Times New Roman" w:cs="Times New Roman"/>
          <w:sz w:val="24"/>
          <w:szCs w:val="24"/>
          <w:shd w:val="clear" w:color="auto" w:fill="FFFFFF"/>
        </w:rPr>
        <w:t>aj</w:t>
      </w:r>
      <w:r w:rsidRPr="00925C42">
        <w:rPr>
          <w:rFonts w:ascii="Times New Roman" w:hAnsi="Times New Roman" w:cs="Times New Roman"/>
          <w:sz w:val="24"/>
          <w:szCs w:val="24"/>
          <w:shd w:val="clear" w:color="auto" w:fill="FFFFFF"/>
        </w:rPr>
        <w:t>iem zemes ga</w:t>
      </w:r>
      <w:r w:rsidRPr="00925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baliem. </w:t>
      </w:r>
    </w:p>
    <w:p w14:paraId="0E4532E7" w14:textId="77777777" w:rsidR="006A7850" w:rsidRPr="002377C6" w:rsidRDefault="006F5A3B" w:rsidP="006F5A3B">
      <w:pPr>
        <w:pStyle w:val="ListParagraph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C42">
        <w:rPr>
          <w:rFonts w:ascii="Times New Roman" w:hAnsi="Times New Roman" w:cs="Times New Roman"/>
          <w:sz w:val="24"/>
          <w:szCs w:val="24"/>
        </w:rPr>
        <w:t>Pašvaldības izpilddirektora vietniecei veikt lēmuma</w:t>
      </w:r>
      <w:r w:rsidRPr="002377C6">
        <w:rPr>
          <w:rFonts w:ascii="Times New Roman" w:hAnsi="Times New Roman" w:cs="Times New Roman"/>
          <w:sz w:val="24"/>
          <w:szCs w:val="24"/>
        </w:rPr>
        <w:t xml:space="preserve"> izpildes kontroli.</w:t>
      </w:r>
    </w:p>
    <w:p w14:paraId="0FBE73C2" w14:textId="77777777" w:rsidR="006A7850" w:rsidRPr="006F5A3B" w:rsidRDefault="006A7850" w:rsidP="006F5A3B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703C479F" w14:textId="77777777" w:rsidR="006A7850" w:rsidRDefault="006A7850" w:rsidP="006F5A3B">
      <w:pPr>
        <w:jc w:val="both"/>
        <w:rPr>
          <w:rFonts w:ascii="Times New Roman" w:hAnsi="Times New Roman" w:cs="Times New Roman"/>
        </w:rPr>
      </w:pPr>
    </w:p>
    <w:p w14:paraId="53949453" w14:textId="77777777" w:rsidR="006A7850" w:rsidRPr="00564CA6" w:rsidRDefault="006A7850" w:rsidP="006F5A3B">
      <w:pPr>
        <w:jc w:val="both"/>
        <w:rPr>
          <w:rFonts w:ascii="Times New Roman" w:hAnsi="Times New Roman" w:cs="Times New Roman"/>
        </w:rPr>
      </w:pPr>
    </w:p>
    <w:p w14:paraId="060B0DD8" w14:textId="77777777" w:rsidR="006A7850" w:rsidRDefault="006F5A3B" w:rsidP="006F5A3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114513C" w14:textId="77777777" w:rsidR="006A7850" w:rsidRDefault="006A7850" w:rsidP="006F5A3B">
      <w:pPr>
        <w:jc w:val="both"/>
        <w:rPr>
          <w:rFonts w:ascii="Times New Roman" w:hAnsi="Times New Roman" w:cs="Times New Roman"/>
          <w:noProof/>
        </w:rPr>
      </w:pPr>
    </w:p>
    <w:p w14:paraId="6955A864" w14:textId="41960FD0" w:rsidR="00564CA6" w:rsidRPr="006A7850" w:rsidRDefault="006F5A3B" w:rsidP="006F5A3B">
      <w:pPr>
        <w:jc w:val="center"/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6A785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A5D8" w14:textId="77777777" w:rsidR="00000000" w:rsidRDefault="006F5A3B">
      <w:r>
        <w:separator/>
      </w:r>
    </w:p>
  </w:endnote>
  <w:endnote w:type="continuationSeparator" w:id="0">
    <w:p w14:paraId="6FD9C32B" w14:textId="77777777" w:rsidR="00000000" w:rsidRDefault="006F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630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F5A3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B97B" w14:textId="77777777" w:rsidR="00000000" w:rsidRDefault="006F5A3B">
      <w:r>
        <w:separator/>
      </w:r>
    </w:p>
  </w:footnote>
  <w:footnote w:type="continuationSeparator" w:id="0">
    <w:p w14:paraId="4743DF1B" w14:textId="77777777" w:rsidR="00000000" w:rsidRDefault="006F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68E0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151C" w:tentative="1">
      <w:start w:val="1"/>
      <w:numFmt w:val="lowerLetter"/>
      <w:lvlText w:val="%2."/>
      <w:lvlJc w:val="left"/>
      <w:pPr>
        <w:ind w:left="1440" w:hanging="360"/>
      </w:pPr>
    </w:lvl>
    <w:lvl w:ilvl="2" w:tplc="46DAA168" w:tentative="1">
      <w:start w:val="1"/>
      <w:numFmt w:val="lowerRoman"/>
      <w:lvlText w:val="%3."/>
      <w:lvlJc w:val="right"/>
      <w:pPr>
        <w:ind w:left="2160" w:hanging="180"/>
      </w:pPr>
    </w:lvl>
    <w:lvl w:ilvl="3" w:tplc="8AF42B66" w:tentative="1">
      <w:start w:val="1"/>
      <w:numFmt w:val="decimal"/>
      <w:lvlText w:val="%4."/>
      <w:lvlJc w:val="left"/>
      <w:pPr>
        <w:ind w:left="2880" w:hanging="360"/>
      </w:pPr>
    </w:lvl>
    <w:lvl w:ilvl="4" w:tplc="6A906F16" w:tentative="1">
      <w:start w:val="1"/>
      <w:numFmt w:val="lowerLetter"/>
      <w:lvlText w:val="%5."/>
      <w:lvlJc w:val="left"/>
      <w:pPr>
        <w:ind w:left="3600" w:hanging="360"/>
      </w:pPr>
    </w:lvl>
    <w:lvl w:ilvl="5" w:tplc="1FCAE22C" w:tentative="1">
      <w:start w:val="1"/>
      <w:numFmt w:val="lowerRoman"/>
      <w:lvlText w:val="%6."/>
      <w:lvlJc w:val="right"/>
      <w:pPr>
        <w:ind w:left="4320" w:hanging="180"/>
      </w:pPr>
    </w:lvl>
    <w:lvl w:ilvl="6" w:tplc="6A06CBC8" w:tentative="1">
      <w:start w:val="1"/>
      <w:numFmt w:val="decimal"/>
      <w:lvlText w:val="%7."/>
      <w:lvlJc w:val="left"/>
      <w:pPr>
        <w:ind w:left="5040" w:hanging="360"/>
      </w:pPr>
    </w:lvl>
    <w:lvl w:ilvl="7" w:tplc="70F49A66" w:tentative="1">
      <w:start w:val="1"/>
      <w:numFmt w:val="lowerLetter"/>
      <w:lvlText w:val="%8."/>
      <w:lvlJc w:val="left"/>
      <w:pPr>
        <w:ind w:left="5760" w:hanging="360"/>
      </w:pPr>
    </w:lvl>
    <w:lvl w:ilvl="8" w:tplc="AE3E2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7039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5A71"/>
    <w:rsid w:val="000E3B74"/>
    <w:rsid w:val="00147221"/>
    <w:rsid w:val="00195A73"/>
    <w:rsid w:val="001A297B"/>
    <w:rsid w:val="002377C6"/>
    <w:rsid w:val="0025391B"/>
    <w:rsid w:val="00297558"/>
    <w:rsid w:val="002D53F6"/>
    <w:rsid w:val="00313909"/>
    <w:rsid w:val="00351D48"/>
    <w:rsid w:val="003915CD"/>
    <w:rsid w:val="003C401E"/>
    <w:rsid w:val="004D516C"/>
    <w:rsid w:val="004D5427"/>
    <w:rsid w:val="00521C00"/>
    <w:rsid w:val="00526A2E"/>
    <w:rsid w:val="0053073B"/>
    <w:rsid w:val="00543508"/>
    <w:rsid w:val="00564CA6"/>
    <w:rsid w:val="005C7FA1"/>
    <w:rsid w:val="00617AAC"/>
    <w:rsid w:val="00693F05"/>
    <w:rsid w:val="006A7850"/>
    <w:rsid w:val="006D3451"/>
    <w:rsid w:val="006D513B"/>
    <w:rsid w:val="006F5A3B"/>
    <w:rsid w:val="0074092B"/>
    <w:rsid w:val="0079484F"/>
    <w:rsid w:val="007B4DDB"/>
    <w:rsid w:val="007C22AA"/>
    <w:rsid w:val="008257F8"/>
    <w:rsid w:val="008325D8"/>
    <w:rsid w:val="008E3846"/>
    <w:rsid w:val="009139A1"/>
    <w:rsid w:val="009228AF"/>
    <w:rsid w:val="00925C42"/>
    <w:rsid w:val="00931891"/>
    <w:rsid w:val="00996740"/>
    <w:rsid w:val="009A3989"/>
    <w:rsid w:val="009B7F8F"/>
    <w:rsid w:val="009D0A23"/>
    <w:rsid w:val="00A066DD"/>
    <w:rsid w:val="00A254B5"/>
    <w:rsid w:val="00A52B04"/>
    <w:rsid w:val="00AB467C"/>
    <w:rsid w:val="00B36CD4"/>
    <w:rsid w:val="00B4014F"/>
    <w:rsid w:val="00B47C10"/>
    <w:rsid w:val="00BB16A4"/>
    <w:rsid w:val="00BE75D1"/>
    <w:rsid w:val="00C82360"/>
    <w:rsid w:val="00C9477C"/>
    <w:rsid w:val="00CB1523"/>
    <w:rsid w:val="00CC1B2F"/>
    <w:rsid w:val="00CF16C2"/>
    <w:rsid w:val="00D8536D"/>
    <w:rsid w:val="00D86969"/>
    <w:rsid w:val="00DC4322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A7850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uiPriority w:val="99"/>
    <w:rsid w:val="006A7850"/>
    <w:rPr>
      <w:color w:val="0000FF"/>
      <w:u w:val="single"/>
    </w:rPr>
  </w:style>
  <w:style w:type="table" w:styleId="TableGrid">
    <w:name w:val="Table Grid"/>
    <w:basedOn w:val="TableNormal"/>
    <w:uiPriority w:val="39"/>
    <w:rsid w:val="006A78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properties/4901159062?options%5Bnew_tab%5D=true&amp;options%5Borigin%5D=property&amp;options%5Bsource%5D%5B%5D%5Bid%5D=4900110641&amp;options%5Bsource%5D%5B%5D%5Btype%5D=parce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properties/4901159062?options%5Bnew_tab%5D=true&amp;options%5Borigin%5D=property&amp;options%5Bsource%5D%5B%5D%5Bid%5D=4900110641&amp;options%5Bsource%5D%5B%5D%5Btype%5D=parc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22</cp:revision>
  <dcterms:created xsi:type="dcterms:W3CDTF">2024-06-01T14:06:00Z</dcterms:created>
  <dcterms:modified xsi:type="dcterms:W3CDTF">2024-10-25T09:50:00Z</dcterms:modified>
</cp:coreProperties>
</file>