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7303F" w14:textId="0BF0DA82" w:rsidR="00FA127B" w:rsidRPr="00AC6E72" w:rsidRDefault="00BC0FC7" w:rsidP="00FA127B">
      <w:pPr>
        <w:suppressAutoHyphens/>
        <w:jc w:val="center"/>
        <w:rPr>
          <w:sz w:val="4"/>
          <w:szCs w:val="4"/>
          <w:lang w:eastAsia="ar-SA"/>
        </w:rPr>
      </w:pPr>
      <w:r>
        <w:rPr>
          <w:noProof/>
        </w:rPr>
        <w:drawing>
          <wp:inline distT="0" distB="0" distL="0" distR="0" wp14:anchorId="31FB632D" wp14:editId="141886C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2C837" w14:textId="77777777" w:rsidR="00FA127B" w:rsidRPr="00AC6E72" w:rsidRDefault="00FA127B" w:rsidP="00FA127B">
      <w:pPr>
        <w:suppressAutoHyphens/>
        <w:jc w:val="center"/>
        <w:rPr>
          <w:b/>
          <w:sz w:val="16"/>
          <w:szCs w:val="16"/>
          <w:lang w:eastAsia="ar-SA"/>
        </w:rPr>
      </w:pPr>
    </w:p>
    <w:p w14:paraId="58B5E373" w14:textId="77777777" w:rsidR="00E933BD" w:rsidRPr="00AC6E72" w:rsidRDefault="00E933BD" w:rsidP="00E933BD">
      <w:pPr>
        <w:pStyle w:val="Default"/>
        <w:jc w:val="center"/>
        <w:rPr>
          <w:caps/>
          <w:color w:val="auto"/>
          <w:sz w:val="28"/>
          <w:szCs w:val="28"/>
        </w:rPr>
      </w:pPr>
      <w:r w:rsidRPr="00AC6E72">
        <w:rPr>
          <w:b/>
          <w:caps/>
          <w:sz w:val="28"/>
          <w:szCs w:val="28"/>
        </w:rPr>
        <w:t>Ādažu novada pašvaldības mantas iznomāšanas un atsavināšanas KOMISIJAS</w:t>
      </w:r>
      <w:r w:rsidRPr="00AC6E72">
        <w:rPr>
          <w:caps/>
          <w:color w:val="auto"/>
          <w:sz w:val="28"/>
          <w:szCs w:val="28"/>
        </w:rPr>
        <w:t xml:space="preserve"> </w:t>
      </w:r>
      <w:r w:rsidRPr="00AC6E72">
        <w:rPr>
          <w:b/>
          <w:bCs/>
          <w:color w:val="auto"/>
          <w:sz w:val="28"/>
          <w:szCs w:val="28"/>
        </w:rPr>
        <w:t>SĒDES PROTOKOLS</w:t>
      </w:r>
    </w:p>
    <w:p w14:paraId="54E392FC" w14:textId="77777777" w:rsidR="00E933BD" w:rsidRPr="00AC6E72" w:rsidRDefault="00E933BD" w:rsidP="00E933BD">
      <w:pPr>
        <w:pStyle w:val="Default"/>
        <w:jc w:val="center"/>
        <w:rPr>
          <w:color w:val="auto"/>
        </w:rPr>
      </w:pPr>
      <w:r w:rsidRPr="00AC6E72">
        <w:rPr>
          <w:color w:val="auto"/>
        </w:rPr>
        <w:t>Ādažos, Ādažu novadā</w:t>
      </w:r>
    </w:p>
    <w:p w14:paraId="1593A5A3" w14:textId="77777777" w:rsidR="00005C21" w:rsidRDefault="00005C21" w:rsidP="00E933BD">
      <w:pPr>
        <w:pStyle w:val="Default"/>
        <w:tabs>
          <w:tab w:val="right" w:pos="9356"/>
        </w:tabs>
      </w:pPr>
    </w:p>
    <w:p w14:paraId="40CF520E" w14:textId="3F02E552" w:rsidR="00E933BD" w:rsidRPr="00AC6E72" w:rsidRDefault="00D243BE" w:rsidP="00401CEA">
      <w:pPr>
        <w:pStyle w:val="Default"/>
        <w:tabs>
          <w:tab w:val="right" w:pos="9071"/>
        </w:tabs>
        <w:rPr>
          <w:color w:val="auto"/>
        </w:rPr>
      </w:pPr>
      <w:r>
        <w:t>2024</w:t>
      </w:r>
      <w:r w:rsidR="00E933BD" w:rsidRPr="00AC6E72">
        <w:t xml:space="preserve">. </w:t>
      </w:r>
      <w:r w:rsidR="00E933BD" w:rsidRPr="00324556">
        <w:t xml:space="preserve">gada </w:t>
      </w:r>
      <w:r w:rsidR="008F6B24">
        <w:t>5</w:t>
      </w:r>
      <w:r w:rsidR="00E933BD" w:rsidRPr="00324556">
        <w:t xml:space="preserve">. </w:t>
      </w:r>
      <w:r w:rsidR="008F6B24">
        <w:t>septembrī</w:t>
      </w:r>
      <w:r w:rsidR="00E933BD" w:rsidRPr="00AC6E72">
        <w:t xml:space="preserve">                                               </w:t>
      </w:r>
      <w:r w:rsidR="00401CEA">
        <w:t xml:space="preserve">                            </w:t>
      </w:r>
      <w:r w:rsidR="00E933BD" w:rsidRPr="00AC6E72">
        <w:t xml:space="preserve"> </w:t>
      </w:r>
      <w:r w:rsidR="00E933BD" w:rsidRPr="00AC6E72">
        <w:rPr>
          <w:bCs/>
          <w:color w:val="auto"/>
        </w:rPr>
        <w:t>Nr. </w:t>
      </w:r>
      <w:r w:rsidR="004D56B9" w:rsidRPr="004D56B9">
        <w:t>ĀNP/1-7-14-2/24/</w:t>
      </w:r>
      <w:r w:rsidR="00797F06">
        <w:t>33</w:t>
      </w:r>
    </w:p>
    <w:p w14:paraId="6B2B1450" w14:textId="77777777" w:rsidR="002A5E20" w:rsidRPr="00AC6E72" w:rsidRDefault="002A5E20" w:rsidP="002A5E20">
      <w:pPr>
        <w:pStyle w:val="Default"/>
        <w:spacing w:after="120"/>
        <w:rPr>
          <w:color w:val="auto"/>
        </w:rPr>
      </w:pPr>
    </w:p>
    <w:p w14:paraId="589C29F9" w14:textId="78EB6A52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>Komisijas izveides pamats: Ādažu novada pašvaldības domes 2022.gada 10.maija lēmums Nr. 222 “Par Pašvaldības mantas iznomāšanas un atsavināšanas komisija</w:t>
      </w:r>
      <w:r w:rsidR="00D57FCC">
        <w:rPr>
          <w:color w:val="auto"/>
        </w:rPr>
        <w:t>s sastāva apstiprināšanu”, 2022.gada 7.jūlija lēmums Nr. 314 “</w:t>
      </w:r>
      <w:r w:rsidR="00D57FCC" w:rsidRPr="00E86B05">
        <w:rPr>
          <w:color w:val="auto"/>
        </w:rPr>
        <w:t>Par izmaiņām Pašvaldības mantas iznomāšanas un atsavināšanas komisijas sastāvā</w:t>
      </w:r>
      <w:r w:rsidR="00D57FCC">
        <w:rPr>
          <w:color w:val="auto"/>
        </w:rPr>
        <w:t>”</w:t>
      </w:r>
      <w:r w:rsidR="00D57FCC" w:rsidRPr="00AC6E72">
        <w:rPr>
          <w:color w:val="auto"/>
        </w:rPr>
        <w:t>.</w:t>
      </w:r>
    </w:p>
    <w:p w14:paraId="7A03253F" w14:textId="77777777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Sēdi vada: komisijas priekšsēdētājs: Edvīns </w:t>
      </w:r>
      <w:proofErr w:type="spellStart"/>
      <w:r w:rsidRPr="00AC6E72">
        <w:rPr>
          <w:color w:val="auto"/>
        </w:rPr>
        <w:t>Šēpers</w:t>
      </w:r>
      <w:proofErr w:type="spellEnd"/>
      <w:r w:rsidRPr="00AC6E72">
        <w:rPr>
          <w:color w:val="auto"/>
        </w:rPr>
        <w:t>.</w:t>
      </w:r>
    </w:p>
    <w:p w14:paraId="65B8E263" w14:textId="7262AA72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Sēdē piedalās: komisijas locekļi: </w:t>
      </w:r>
      <w:r w:rsidR="00305CCE">
        <w:rPr>
          <w:color w:val="auto"/>
        </w:rPr>
        <w:t xml:space="preserve">Guna Cielava, </w:t>
      </w:r>
      <w:r w:rsidR="00D243BE">
        <w:rPr>
          <w:color w:val="auto"/>
        </w:rPr>
        <w:t>Volli Kukk</w:t>
      </w:r>
      <w:r w:rsidR="0011766A">
        <w:rPr>
          <w:color w:val="auto"/>
        </w:rPr>
        <w:t>.</w:t>
      </w:r>
    </w:p>
    <w:p w14:paraId="00D1DD97" w14:textId="77777777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>Sēdi protokolē: Linda Naļivaiko.</w:t>
      </w:r>
    </w:p>
    <w:p w14:paraId="0E2E935E" w14:textId="57EDDB3E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Sēdi atklāj plkst. </w:t>
      </w:r>
      <w:r w:rsidR="0011766A">
        <w:rPr>
          <w:color w:val="auto"/>
        </w:rPr>
        <w:t>10</w:t>
      </w:r>
      <w:r w:rsidR="002B262E" w:rsidRPr="00324556">
        <w:rPr>
          <w:color w:val="auto"/>
        </w:rPr>
        <w:t>:0</w:t>
      </w:r>
      <w:r w:rsidRPr="00324556">
        <w:rPr>
          <w:color w:val="auto"/>
        </w:rPr>
        <w:t xml:space="preserve">0 un slēdz </w:t>
      </w:r>
      <w:r w:rsidRPr="00C41F63">
        <w:rPr>
          <w:color w:val="auto"/>
        </w:rPr>
        <w:t xml:space="preserve">plkst. </w:t>
      </w:r>
      <w:r w:rsidR="0011766A">
        <w:rPr>
          <w:color w:val="auto"/>
        </w:rPr>
        <w:t>11</w:t>
      </w:r>
      <w:r w:rsidR="00170D73" w:rsidRPr="00C41F63">
        <w:rPr>
          <w:color w:val="auto"/>
        </w:rPr>
        <w:t>:</w:t>
      </w:r>
      <w:r w:rsidR="0011766A">
        <w:rPr>
          <w:color w:val="auto"/>
        </w:rPr>
        <w:t>00</w:t>
      </w:r>
      <w:r w:rsidR="00D57FCC">
        <w:rPr>
          <w:color w:val="auto"/>
        </w:rPr>
        <w:t xml:space="preserve">, </w:t>
      </w:r>
      <w:r w:rsidR="00D57FCC" w:rsidRPr="00D57FCC">
        <w:rPr>
          <w:color w:val="auto"/>
        </w:rPr>
        <w:t xml:space="preserve">attālināti </w:t>
      </w:r>
      <w:r w:rsidR="00D638E2" w:rsidRPr="0076430F">
        <w:rPr>
          <w:i/>
          <w:color w:val="auto"/>
        </w:rPr>
        <w:t xml:space="preserve">MS </w:t>
      </w:r>
      <w:proofErr w:type="spellStart"/>
      <w:r w:rsidR="00D638E2" w:rsidRPr="0076430F">
        <w:rPr>
          <w:i/>
          <w:color w:val="auto"/>
        </w:rPr>
        <w:t>teams</w:t>
      </w:r>
      <w:proofErr w:type="spellEnd"/>
      <w:r w:rsidR="00D638E2">
        <w:rPr>
          <w:color w:val="auto"/>
        </w:rPr>
        <w:t xml:space="preserve"> vidē</w:t>
      </w:r>
      <w:r w:rsidR="00D57FCC" w:rsidRPr="00D57FCC">
        <w:rPr>
          <w:color w:val="auto"/>
        </w:rPr>
        <w:t>.</w:t>
      </w:r>
    </w:p>
    <w:p w14:paraId="467831A6" w14:textId="77777777" w:rsidR="008F7ECE" w:rsidRPr="00AC6E72" w:rsidRDefault="008F7ECE" w:rsidP="00F55319"/>
    <w:p w14:paraId="3F9C7754" w14:textId="33AD63A1" w:rsidR="00F55319" w:rsidRPr="00AC6E72" w:rsidRDefault="00F55319" w:rsidP="00F55319">
      <w:pPr>
        <w:spacing w:after="120"/>
        <w:jc w:val="center"/>
      </w:pPr>
      <w:r w:rsidRPr="00365A6C">
        <w:rPr>
          <w:b/>
          <w:bCs/>
        </w:rPr>
        <w:t>Darba kārtībā:</w:t>
      </w:r>
    </w:p>
    <w:p w14:paraId="22EBD7E4" w14:textId="3361AC29" w:rsidR="003E09BB" w:rsidRDefault="002A1D6F" w:rsidP="003B03A0">
      <w:pPr>
        <w:pStyle w:val="Sarakstarindkopa"/>
        <w:numPr>
          <w:ilvl w:val="0"/>
          <w:numId w:val="2"/>
        </w:numPr>
        <w:spacing w:before="60"/>
        <w:jc w:val="both"/>
        <w:rPr>
          <w:bCs/>
        </w:rPr>
      </w:pPr>
      <w:r w:rsidRPr="001921A0">
        <w:rPr>
          <w:rFonts w:eastAsia="Calibri"/>
        </w:rPr>
        <w:t xml:space="preserve">Par </w:t>
      </w:r>
      <w:r w:rsidRPr="001921A0">
        <w:rPr>
          <w:bCs/>
        </w:rPr>
        <w:t xml:space="preserve">pašvaldībai </w:t>
      </w:r>
      <w:r w:rsidRPr="001921A0">
        <w:rPr>
          <w:color w:val="000000"/>
        </w:rPr>
        <w:t xml:space="preserve">piederoša nekustamā īpašuma elektroniskās izsoles ar augšupejošu soli </w:t>
      </w:r>
      <w:r w:rsidRPr="00AC6E72">
        <w:t xml:space="preserve">izsoles </w:t>
      </w:r>
      <w:r w:rsidRPr="001921A0">
        <w:rPr>
          <w:bCs/>
        </w:rPr>
        <w:t xml:space="preserve">noteikumu apstiprināšanu – </w:t>
      </w:r>
      <w:r w:rsidR="0076430F">
        <w:rPr>
          <w:bCs/>
        </w:rPr>
        <w:t xml:space="preserve">Muzeja iela 5, </w:t>
      </w:r>
      <w:proofErr w:type="spellStart"/>
      <w:r w:rsidR="0076430F">
        <w:rPr>
          <w:bCs/>
        </w:rPr>
        <w:t>Mežgarciems</w:t>
      </w:r>
      <w:proofErr w:type="spellEnd"/>
      <w:r w:rsidR="0076430F">
        <w:rPr>
          <w:bCs/>
        </w:rPr>
        <w:t>, Carnikavas pag.</w:t>
      </w:r>
    </w:p>
    <w:p w14:paraId="1E45B1D6" w14:textId="20D62FD1" w:rsidR="0076430F" w:rsidRDefault="0076430F" w:rsidP="0076430F">
      <w:pPr>
        <w:pStyle w:val="Sarakstarindkopa"/>
        <w:numPr>
          <w:ilvl w:val="0"/>
          <w:numId w:val="2"/>
        </w:numPr>
        <w:spacing w:before="60"/>
        <w:jc w:val="both"/>
        <w:rPr>
          <w:bCs/>
        </w:rPr>
      </w:pPr>
      <w:r w:rsidRPr="001921A0">
        <w:rPr>
          <w:rFonts w:eastAsia="Calibri"/>
        </w:rPr>
        <w:t xml:space="preserve">Par </w:t>
      </w:r>
      <w:r w:rsidRPr="001921A0">
        <w:rPr>
          <w:bCs/>
        </w:rPr>
        <w:t xml:space="preserve">pašvaldībai </w:t>
      </w:r>
      <w:r w:rsidRPr="001921A0">
        <w:rPr>
          <w:color w:val="000000"/>
        </w:rPr>
        <w:t xml:space="preserve">piederoša nekustamā īpašuma elektroniskās izsoles ar augšupejošu soli </w:t>
      </w:r>
      <w:r w:rsidRPr="00AC6E72">
        <w:t xml:space="preserve">izsoles </w:t>
      </w:r>
      <w:r w:rsidRPr="001921A0">
        <w:rPr>
          <w:bCs/>
        </w:rPr>
        <w:t xml:space="preserve">noteikumu apstiprināšanu – </w:t>
      </w:r>
      <w:r>
        <w:rPr>
          <w:bCs/>
        </w:rPr>
        <w:t xml:space="preserve">Sintēzes iela 7, </w:t>
      </w:r>
      <w:proofErr w:type="spellStart"/>
      <w:r>
        <w:rPr>
          <w:bCs/>
        </w:rPr>
        <w:t>Mežgarciems</w:t>
      </w:r>
      <w:proofErr w:type="spellEnd"/>
      <w:r>
        <w:rPr>
          <w:bCs/>
        </w:rPr>
        <w:t>, Carnikavas pag.</w:t>
      </w:r>
    </w:p>
    <w:p w14:paraId="250826CF" w14:textId="76AB822F" w:rsidR="00540B57" w:rsidRPr="00AC6E72" w:rsidRDefault="00540B57" w:rsidP="00540B57">
      <w:pPr>
        <w:pStyle w:val="Sarakstarindkopa"/>
        <w:ind w:left="294"/>
        <w:jc w:val="center"/>
        <w:rPr>
          <w:b/>
          <w:bCs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E80294" w:rsidRPr="00AC6E72" w14:paraId="7BC8C339" w14:textId="77777777" w:rsidTr="00FD61A2">
        <w:tc>
          <w:tcPr>
            <w:tcW w:w="9071" w:type="dxa"/>
            <w:shd w:val="clear" w:color="auto" w:fill="auto"/>
          </w:tcPr>
          <w:p w14:paraId="7CEBC3F0" w14:textId="0AE5C6B5" w:rsidR="00E80294" w:rsidRPr="00AC6E72" w:rsidRDefault="00137F7A" w:rsidP="00BA067E">
            <w:pPr>
              <w:spacing w:before="240" w:after="120"/>
              <w:jc w:val="center"/>
            </w:pPr>
            <w:r>
              <w:rPr>
                <w:rFonts w:eastAsia="Calibri"/>
                <w:b/>
                <w:bCs/>
              </w:rPr>
              <w:t>1</w:t>
            </w:r>
            <w:r w:rsidR="00E80294">
              <w:rPr>
                <w:rFonts w:eastAsia="Calibri"/>
                <w:b/>
                <w:bCs/>
              </w:rPr>
              <w:t>. </w:t>
            </w:r>
            <w:r w:rsidR="00E80294" w:rsidRPr="00242F72">
              <w:rPr>
                <w:rFonts w:eastAsia="Calibri"/>
                <w:b/>
                <w:bCs/>
              </w:rPr>
              <w:t xml:space="preserve">Par pašvaldībai piederoša nekustamā īpašuma elektroniskās izsoles ar augšupejošu soli izsoles noteikumu apstiprināšanu – </w:t>
            </w:r>
            <w:r w:rsidR="00757FDE">
              <w:rPr>
                <w:rFonts w:eastAsia="Calibri"/>
                <w:b/>
                <w:bCs/>
              </w:rPr>
              <w:t>Muzeja iela 5</w:t>
            </w:r>
            <w:r w:rsidR="00757FDE" w:rsidRPr="00FB14AC">
              <w:rPr>
                <w:rFonts w:eastAsia="Calibri"/>
                <w:b/>
                <w:bCs/>
              </w:rPr>
              <w:t xml:space="preserve">, </w:t>
            </w:r>
            <w:proofErr w:type="spellStart"/>
            <w:r w:rsidR="00757FDE" w:rsidRPr="00FB14AC">
              <w:rPr>
                <w:rFonts w:eastAsia="Calibri"/>
                <w:b/>
                <w:bCs/>
              </w:rPr>
              <w:t>Mežgarciems</w:t>
            </w:r>
            <w:proofErr w:type="spellEnd"/>
            <w:r w:rsidR="00757FDE" w:rsidRPr="00FB14AC">
              <w:rPr>
                <w:rFonts w:eastAsia="Calibri"/>
                <w:b/>
                <w:bCs/>
              </w:rPr>
              <w:t>, Carnikavas pag</w:t>
            </w:r>
            <w:r w:rsidR="00E80294">
              <w:rPr>
                <w:rFonts w:eastAsia="Calibri"/>
                <w:b/>
                <w:bCs/>
              </w:rPr>
              <w:t>.</w:t>
            </w:r>
          </w:p>
        </w:tc>
      </w:tr>
    </w:tbl>
    <w:p w14:paraId="4F15542A" w14:textId="77777777" w:rsidR="001A55D3" w:rsidRPr="00AC6E72" w:rsidRDefault="001A55D3" w:rsidP="001A55D3">
      <w:pPr>
        <w:spacing w:before="240" w:after="120"/>
        <w:jc w:val="both"/>
        <w:rPr>
          <w:b/>
        </w:rPr>
      </w:pPr>
      <w:r w:rsidRPr="00AC6E72">
        <w:rPr>
          <w:bCs/>
        </w:rPr>
        <w:t>Pašvaldības mantas iznomāšanas un atsavināšanas komisija (turpmāk - Komisija) izskatīja</w:t>
      </w:r>
      <w:r>
        <w:rPr>
          <w:bCs/>
        </w:rPr>
        <w:t xml:space="preserve"> </w:t>
      </w:r>
      <w:r w:rsidRPr="00AC6E72">
        <w:rPr>
          <w:color w:val="000000"/>
        </w:rPr>
        <w:t xml:space="preserve">elektroniskās izsoles ar augšupejošu soli </w:t>
      </w:r>
      <w:r w:rsidRPr="00AC6E72">
        <w:t>noteikumu projektu</w:t>
      </w:r>
      <w:r>
        <w:t xml:space="preserve"> un ta</w:t>
      </w:r>
      <w:r w:rsidRPr="00AC6E72">
        <w:t>m pievienotos dokumentus</w:t>
      </w:r>
      <w:r w:rsidRPr="00AC6E72">
        <w:rPr>
          <w:bCs/>
        </w:rPr>
        <w:t xml:space="preserve"> par pašvaldībai </w:t>
      </w:r>
      <w:r w:rsidRPr="00AC6E72">
        <w:t>piederoš</w:t>
      </w:r>
      <w:r>
        <w:t>u,</w:t>
      </w:r>
      <w:r w:rsidRPr="00AC6E72">
        <w:rPr>
          <w:color w:val="000000"/>
        </w:rPr>
        <w:t xml:space="preserve"> </w:t>
      </w:r>
      <w:r>
        <w:rPr>
          <w:color w:val="000000"/>
        </w:rPr>
        <w:t xml:space="preserve">atsavināšanai nodotu </w:t>
      </w:r>
      <w:r w:rsidRPr="00AC6E72">
        <w:rPr>
          <w:color w:val="000000"/>
        </w:rPr>
        <w:t>nekustam</w:t>
      </w:r>
      <w:r>
        <w:rPr>
          <w:color w:val="000000"/>
        </w:rPr>
        <w:t>o</w:t>
      </w:r>
      <w:r w:rsidRPr="00AC6E72">
        <w:rPr>
          <w:color w:val="000000"/>
        </w:rPr>
        <w:t xml:space="preserve"> īpašum</w:t>
      </w:r>
      <w:r>
        <w:rPr>
          <w:color w:val="000000"/>
        </w:rPr>
        <w:t>u</w:t>
      </w:r>
      <w:r>
        <w:rPr>
          <w:rFonts w:eastAsia="Calibri"/>
        </w:rPr>
        <w:t xml:space="preserve"> - </w:t>
      </w:r>
      <w:r w:rsidRPr="00173747">
        <w:rPr>
          <w:rFonts w:eastAsia="Calibri"/>
        </w:rPr>
        <w:t xml:space="preserve">Muzeja iela 5, </w:t>
      </w:r>
      <w:proofErr w:type="spellStart"/>
      <w:r w:rsidRPr="00173747">
        <w:rPr>
          <w:rFonts w:eastAsia="Calibri"/>
        </w:rPr>
        <w:t>Mežgarciems</w:t>
      </w:r>
      <w:proofErr w:type="spellEnd"/>
      <w:r w:rsidRPr="00173747">
        <w:rPr>
          <w:rFonts w:eastAsia="Calibri"/>
        </w:rPr>
        <w:t xml:space="preserve">, Carnikavas pag., Ādažu nov., ar kadastra numuru 8052 008 1600, kas sastāv no </w:t>
      </w:r>
      <w:r>
        <w:rPr>
          <w:rFonts w:eastAsia="Calibri"/>
        </w:rPr>
        <w:t xml:space="preserve">neapbūvētas </w:t>
      </w:r>
      <w:r w:rsidRPr="00173747">
        <w:rPr>
          <w:rFonts w:eastAsia="Calibri"/>
        </w:rPr>
        <w:t>zemes vienības</w:t>
      </w:r>
      <w:r>
        <w:rPr>
          <w:rFonts w:eastAsia="Calibri"/>
        </w:rPr>
        <w:t xml:space="preserve"> </w:t>
      </w:r>
      <w:r w:rsidRPr="00173747">
        <w:rPr>
          <w:rFonts w:eastAsia="Calibri"/>
        </w:rPr>
        <w:t xml:space="preserve">0,4265 ha platībā ar kadastra apzīmējumu 8052 008 1576, </w:t>
      </w:r>
      <w:r>
        <w:rPr>
          <w:rFonts w:eastAsia="Calibri"/>
        </w:rPr>
        <w:t>(turpmāk – Īpašums), un konstatēja:</w:t>
      </w:r>
    </w:p>
    <w:p w14:paraId="004AAEA5" w14:textId="77777777" w:rsidR="001A55D3" w:rsidRDefault="001A55D3" w:rsidP="001E41A0">
      <w:pPr>
        <w:pStyle w:val="Sarakstarindkopa"/>
        <w:numPr>
          <w:ilvl w:val="0"/>
          <w:numId w:val="21"/>
        </w:numPr>
        <w:spacing w:after="120"/>
        <w:jc w:val="both"/>
      </w:pPr>
      <w:r w:rsidRPr="00685A49">
        <w:t xml:space="preserve">Ar Carnikavas novada domes (turpmāk – CND) 24.07.2019. lēmumu „Par Carnikavas novada pašvaldības mantas - nekustamu īpašumu Sintēzes iela 2, </w:t>
      </w:r>
      <w:proofErr w:type="spellStart"/>
      <w:r w:rsidRPr="00685A49">
        <w:t>Mežgarciems</w:t>
      </w:r>
      <w:proofErr w:type="spellEnd"/>
      <w:r w:rsidRPr="00685A49">
        <w:t xml:space="preserve">, Carnikavas novads, Muzeja iela 1, </w:t>
      </w:r>
      <w:proofErr w:type="spellStart"/>
      <w:r w:rsidRPr="00685A49">
        <w:t>Mežgarciems</w:t>
      </w:r>
      <w:proofErr w:type="spellEnd"/>
      <w:r w:rsidRPr="00685A49">
        <w:t xml:space="preserve">, Carnikavas novads, Muzeja iela 2, </w:t>
      </w:r>
      <w:proofErr w:type="spellStart"/>
      <w:r w:rsidRPr="00685A49">
        <w:t>Mežgarciems</w:t>
      </w:r>
      <w:proofErr w:type="spellEnd"/>
      <w:r w:rsidRPr="00685A49">
        <w:t xml:space="preserve">, Carnikavas novads, Muzeja iela 3, </w:t>
      </w:r>
      <w:proofErr w:type="spellStart"/>
      <w:r w:rsidRPr="00685A49">
        <w:t>Mežgarciems</w:t>
      </w:r>
      <w:proofErr w:type="spellEnd"/>
      <w:r w:rsidRPr="00685A49">
        <w:t xml:space="preserve">, Carnikavas novads, Muzeja iela 4, </w:t>
      </w:r>
      <w:proofErr w:type="spellStart"/>
      <w:r w:rsidRPr="00685A49">
        <w:t>Mežgarciems</w:t>
      </w:r>
      <w:proofErr w:type="spellEnd"/>
      <w:r w:rsidRPr="00685A49">
        <w:t xml:space="preserve">, Carnikavas novads, Muzeja iela 5, </w:t>
      </w:r>
      <w:proofErr w:type="spellStart"/>
      <w:r w:rsidRPr="00685A49">
        <w:t>Mežgarciems</w:t>
      </w:r>
      <w:proofErr w:type="spellEnd"/>
      <w:r w:rsidRPr="00685A49">
        <w:t xml:space="preserve">, Carnikavas novads, Muzeja iela 7, </w:t>
      </w:r>
      <w:proofErr w:type="spellStart"/>
      <w:r w:rsidRPr="00685A49">
        <w:t>Mežgarciems</w:t>
      </w:r>
      <w:proofErr w:type="spellEnd"/>
      <w:r w:rsidRPr="00685A49">
        <w:t>, Carnikavas novads, atsavināšanu un nekustamās mantas nosacītās cenas apstiprinā</w:t>
      </w:r>
      <w:r>
        <w:t>šanu” (prot. Nr.11, 4.§)</w:t>
      </w:r>
      <w:r w:rsidRPr="00685A49">
        <w:t xml:space="preserve"> Īpašums</w:t>
      </w:r>
      <w:r w:rsidRPr="00685A49">
        <w:rPr>
          <w:b/>
        </w:rPr>
        <w:t xml:space="preserve"> nodots atsavināšanai</w:t>
      </w:r>
      <w:r>
        <w:t xml:space="preserve"> un noteikti īpaši tā</w:t>
      </w:r>
      <w:r w:rsidRPr="00685A49">
        <w:t xml:space="preserve"> turpmākās izmantošanas nosacījumi un atsavināšanas tiesību aprobežojumi</w:t>
      </w:r>
      <w:r>
        <w:t>;</w:t>
      </w:r>
    </w:p>
    <w:p w14:paraId="4C1AAC2F" w14:textId="77777777" w:rsidR="001A55D3" w:rsidRDefault="001A55D3" w:rsidP="001E41A0">
      <w:pPr>
        <w:pStyle w:val="Sarakstarindkopa"/>
        <w:numPr>
          <w:ilvl w:val="0"/>
          <w:numId w:val="21"/>
        </w:numPr>
        <w:spacing w:after="120"/>
        <w:jc w:val="both"/>
      </w:pPr>
      <w:r>
        <w:lastRenderedPageBreak/>
        <w:t xml:space="preserve">Ar </w:t>
      </w:r>
      <w:r w:rsidRPr="00F76841">
        <w:t>Ādažu novada pašvaldības domes</w:t>
      </w:r>
      <w:r>
        <w:t xml:space="preserve"> (turpmāk – Dome) 28.09.2022. lēmumu Nr. 447 “</w:t>
      </w:r>
      <w:r w:rsidRPr="00173747">
        <w:t>Par nosacītās cenas apstiprināšanu nekustamajam īpašumam “Muzeja iela 5”</w:t>
      </w:r>
      <w:r>
        <w:t xml:space="preserve">” Īpašumam </w:t>
      </w:r>
      <w:r w:rsidRPr="00685A49">
        <w:rPr>
          <w:b/>
        </w:rPr>
        <w:t>apstiprināta</w:t>
      </w:r>
      <w:r>
        <w:t xml:space="preserve"> </w:t>
      </w:r>
      <w:r>
        <w:rPr>
          <w:b/>
        </w:rPr>
        <w:t xml:space="preserve">nosacītā cena EUR </w:t>
      </w:r>
      <w:r w:rsidRPr="00685A49">
        <w:rPr>
          <w:b/>
        </w:rPr>
        <w:t>14</w:t>
      </w:r>
      <w:r>
        <w:rPr>
          <w:b/>
        </w:rPr>
        <w:t> 000,-</w:t>
      </w:r>
      <w:r w:rsidRPr="00F76841">
        <w:t xml:space="preserve"> (</w:t>
      </w:r>
      <w:r>
        <w:t>četrpadsmit tūkstoši ei</w:t>
      </w:r>
      <w:r w:rsidRPr="00F76841">
        <w:t xml:space="preserve">ro), jeb </w:t>
      </w:r>
      <w:r>
        <w:t>3,28</w:t>
      </w:r>
      <w:r w:rsidRPr="00F76841">
        <w:t xml:space="preserve"> </w:t>
      </w:r>
      <w:proofErr w:type="spellStart"/>
      <w:r w:rsidRPr="00685A49">
        <w:rPr>
          <w:i/>
        </w:rPr>
        <w:t>euro</w:t>
      </w:r>
      <w:proofErr w:type="spellEnd"/>
      <w:r w:rsidRPr="00F76841">
        <w:t>/m</w:t>
      </w:r>
      <w:r w:rsidRPr="00685A49">
        <w:rPr>
          <w:vertAlign w:val="superscript"/>
        </w:rPr>
        <w:t>2</w:t>
      </w:r>
      <w:r>
        <w:t>;</w:t>
      </w:r>
    </w:p>
    <w:p w14:paraId="364C626A" w14:textId="77777777" w:rsidR="001A55D3" w:rsidRDefault="001A55D3" w:rsidP="001E41A0">
      <w:pPr>
        <w:pStyle w:val="Sarakstarindkopa"/>
        <w:numPr>
          <w:ilvl w:val="0"/>
          <w:numId w:val="21"/>
        </w:numPr>
        <w:spacing w:after="120"/>
        <w:jc w:val="both"/>
      </w:pPr>
      <w:r>
        <w:t>Ar Domes 26.10.2022. lēmumu Nr. 505 “</w:t>
      </w:r>
      <w:r w:rsidRPr="00685A49">
        <w:t xml:space="preserve">Par īpašumu </w:t>
      </w:r>
      <w:proofErr w:type="spellStart"/>
      <w:r w:rsidRPr="00685A49">
        <w:t>Mežgarciema</w:t>
      </w:r>
      <w:proofErr w:type="spellEnd"/>
      <w:r w:rsidRPr="00685A49">
        <w:t xml:space="preserve"> uzņēmējdarbības teritorijā atsavināšanas nosacījumu precizēšanu</w:t>
      </w:r>
      <w:r>
        <w:t xml:space="preserve">” </w:t>
      </w:r>
      <w:r w:rsidRPr="00685A49">
        <w:rPr>
          <w:b/>
        </w:rPr>
        <w:t>precizēti Īpašuma atsavināšanas, turpmākās izmantošanas nosacījumi un atsavināšanas tiesību aprobežojumi</w:t>
      </w:r>
      <w:r w:rsidRPr="00685A49">
        <w:t xml:space="preserve"> attiecībā par īpašumiem, kas atrodas </w:t>
      </w:r>
      <w:proofErr w:type="spellStart"/>
      <w:r w:rsidRPr="00685A49">
        <w:t>Mežgarciema</w:t>
      </w:r>
      <w:proofErr w:type="spellEnd"/>
      <w:r w:rsidRPr="00685A49">
        <w:t xml:space="preserve"> uzņēmējdarbības teritorijā un tiek atsavināti saistībā ar  Eiropas Savienības projekta Nr.3.3.1.0/17/I/025 īstenošanu, kas apstiprināti ar Carnikavas novada domes 24.07.2019. lēmumu (protokols Nr.</w:t>
      </w:r>
      <w:r>
        <w:t>1</w:t>
      </w:r>
      <w:r w:rsidRPr="00685A49">
        <w:t>1, 4.§)</w:t>
      </w:r>
      <w:r>
        <w:t>;</w:t>
      </w:r>
    </w:p>
    <w:p w14:paraId="5D4D8382" w14:textId="05687907" w:rsidR="0088286D" w:rsidRDefault="0088286D" w:rsidP="0088286D">
      <w:pPr>
        <w:pStyle w:val="Sarakstarindkopa"/>
        <w:numPr>
          <w:ilvl w:val="0"/>
          <w:numId w:val="21"/>
        </w:numPr>
        <w:spacing w:after="120"/>
        <w:jc w:val="both"/>
      </w:pPr>
      <w:r>
        <w:t xml:space="preserve">Ar Domes </w:t>
      </w:r>
      <w:r w:rsidR="00106251">
        <w:t>30</w:t>
      </w:r>
      <w:r>
        <w:t>.</w:t>
      </w:r>
      <w:r w:rsidR="00106251">
        <w:t>05</w:t>
      </w:r>
      <w:r>
        <w:t>.202</w:t>
      </w:r>
      <w:r w:rsidR="00106251">
        <w:t>4</w:t>
      </w:r>
      <w:r>
        <w:t xml:space="preserve">. lēmumu Nr. </w:t>
      </w:r>
      <w:r w:rsidR="007E71CF">
        <w:t>225</w:t>
      </w:r>
      <w:r>
        <w:t xml:space="preserve"> “</w:t>
      </w:r>
      <w:r w:rsidRPr="00685A49">
        <w:t xml:space="preserve">Par īpašumu </w:t>
      </w:r>
      <w:proofErr w:type="spellStart"/>
      <w:r w:rsidRPr="00685A49">
        <w:t>Mežgarciema</w:t>
      </w:r>
      <w:proofErr w:type="spellEnd"/>
      <w:r w:rsidRPr="00685A49">
        <w:t xml:space="preserve"> uzņēmējdarbības teritorijā atsavināšanas nosacījumu precizēšanu</w:t>
      </w:r>
      <w:r>
        <w:t xml:space="preserve">” </w:t>
      </w:r>
      <w:r w:rsidRPr="00685A49">
        <w:rPr>
          <w:b/>
        </w:rPr>
        <w:t>precizēti Īpašuma atsavināšanas, turpmākās izmantošanas nosacījumi un atsavināšanas tiesību aprobežojumi</w:t>
      </w:r>
      <w:r w:rsidRPr="00685A49">
        <w:t xml:space="preserve"> attiecībā par īpašumiem, kas atrodas </w:t>
      </w:r>
      <w:proofErr w:type="spellStart"/>
      <w:r w:rsidRPr="00685A49">
        <w:t>Mežgarciema</w:t>
      </w:r>
      <w:proofErr w:type="spellEnd"/>
      <w:r w:rsidRPr="00685A49">
        <w:t xml:space="preserve"> uzņēmējdarbības teritorijā un tiek atsavināti saistībā ar  Eiropas Savienības projekta Nr.3.3.1.0/17/I/025 īstenošanu, kas apstiprināti ar Carnikavas novada domes 24.07.2019. lēmumu (protokols Nr.</w:t>
      </w:r>
      <w:r>
        <w:t>1</w:t>
      </w:r>
      <w:r w:rsidRPr="00685A49">
        <w:t>1, 4.§)</w:t>
      </w:r>
      <w:r>
        <w:t>.</w:t>
      </w:r>
    </w:p>
    <w:p w14:paraId="38069450" w14:textId="5EBB905E" w:rsidR="00CC6C12" w:rsidRDefault="00CC6C12" w:rsidP="00484BE1">
      <w:pPr>
        <w:pStyle w:val="Sarakstarindkopa"/>
        <w:numPr>
          <w:ilvl w:val="0"/>
          <w:numId w:val="21"/>
        </w:numPr>
        <w:spacing w:after="120"/>
        <w:jc w:val="both"/>
      </w:pPr>
      <w:r>
        <w:t xml:space="preserve">Ar Domes </w:t>
      </w:r>
      <w:r w:rsidR="001F0D55">
        <w:t>29</w:t>
      </w:r>
      <w:r>
        <w:t>.0</w:t>
      </w:r>
      <w:r w:rsidR="00827997">
        <w:t>8</w:t>
      </w:r>
      <w:r>
        <w:t>.2024</w:t>
      </w:r>
      <w:r w:rsidRPr="00942C4D">
        <w:t>.</w:t>
      </w:r>
      <w:r>
        <w:t xml:space="preserve"> </w:t>
      </w:r>
      <w:r w:rsidRPr="00942C4D">
        <w:t>lēmumu</w:t>
      </w:r>
      <w:r w:rsidR="00037D99">
        <w:t xml:space="preserve"> Nr. 337</w:t>
      </w:r>
      <w:r w:rsidRPr="00942C4D">
        <w:t xml:space="preserve"> “</w:t>
      </w:r>
      <w:r w:rsidR="007A1EA3" w:rsidRPr="007A1EA3">
        <w:t>Par nekustamo īpašumu “Muzeja iela 5” un “Sintēzes iela 7” izsoļu atzīšanu par nenotikušām un atkārtotu izsoļu rīkošanu</w:t>
      </w:r>
      <w:r w:rsidRPr="00942C4D">
        <w:t xml:space="preserve">” Komisijai uzdots </w:t>
      </w:r>
      <w:r>
        <w:t xml:space="preserve">atkārtoti </w:t>
      </w:r>
      <w:r w:rsidRPr="00942C4D">
        <w:t xml:space="preserve">rīkot Īpašuma pārdošanu elektroniskā izsolē ar augšupejošu soli (atkārtota izsole) par </w:t>
      </w:r>
      <w:proofErr w:type="spellStart"/>
      <w:r w:rsidRPr="00942C4D">
        <w:rPr>
          <w:i/>
        </w:rPr>
        <w:t>euro</w:t>
      </w:r>
      <w:proofErr w:type="spellEnd"/>
      <w:r>
        <w:t>;</w:t>
      </w:r>
    </w:p>
    <w:p w14:paraId="5B979395" w14:textId="77777777" w:rsidR="001A55D3" w:rsidRPr="00AC6E72" w:rsidRDefault="001A55D3" w:rsidP="001A55D3">
      <w:pPr>
        <w:spacing w:after="120"/>
        <w:jc w:val="both"/>
      </w:pPr>
      <w:r>
        <w:rPr>
          <w:rFonts w:eastAsia="Calibri"/>
        </w:rPr>
        <w:t>Saskaņā ar iepriekš minēto, izpildot Ādažu novada pašvaldības domes lēmumus, p</w:t>
      </w:r>
      <w:r w:rsidRPr="00AC6E72">
        <w:rPr>
          <w:rFonts w:eastAsia="Calibri"/>
        </w:rPr>
        <w:t xml:space="preserve">amatojoties uz </w:t>
      </w:r>
      <w:r w:rsidRPr="00AC6E72">
        <w:t xml:space="preserve">Publiskas personas mantas atsavināšanas likuma </w:t>
      </w:r>
      <w:r w:rsidRPr="00AC6E72">
        <w:rPr>
          <w:bCs/>
        </w:rPr>
        <w:t>10. panta pirmo daļu</w:t>
      </w:r>
      <w:r w:rsidRPr="00AC6E72">
        <w:t xml:space="preserve">, </w:t>
      </w:r>
      <w:r w:rsidRPr="00AC6E72">
        <w:rPr>
          <w:color w:val="000000"/>
        </w:rPr>
        <w:t>Ādažu novada pašvaldības 23.03.2022. nolikuma Nr.14 “Pašvaldības mantas iznomāšanas un atsavināšanas komisijas nolikums” 8.2. punktu</w:t>
      </w:r>
      <w:r w:rsidRPr="00AC6E72">
        <w:rPr>
          <w:rFonts w:eastAsia="Calibri"/>
        </w:rPr>
        <w:t xml:space="preserve">, </w:t>
      </w:r>
      <w:r w:rsidRPr="003433F6">
        <w:rPr>
          <w:rFonts w:eastAsia="Calibri"/>
          <w:b/>
        </w:rPr>
        <w:t>Komisija</w:t>
      </w:r>
      <w:r w:rsidRPr="003433F6">
        <w:rPr>
          <w:b/>
        </w:rPr>
        <w:t xml:space="preserve"> vienbalsīgi NOLEMJ</w:t>
      </w:r>
      <w:r w:rsidRPr="00AC6E72">
        <w:t>:</w:t>
      </w:r>
    </w:p>
    <w:p w14:paraId="61059F3B" w14:textId="224A7F7F" w:rsidR="001A55D3" w:rsidRPr="00C73C14" w:rsidRDefault="001A55D3" w:rsidP="00D243BE">
      <w:pPr>
        <w:pStyle w:val="Sarakstarindkopa"/>
        <w:widowControl w:val="0"/>
        <w:numPr>
          <w:ilvl w:val="0"/>
          <w:numId w:val="17"/>
        </w:numPr>
        <w:suppressAutoHyphens/>
        <w:spacing w:after="120"/>
        <w:jc w:val="both"/>
        <w:rPr>
          <w:rFonts w:eastAsia="Calibri"/>
        </w:rPr>
      </w:pPr>
      <w:r w:rsidRPr="00C73C14">
        <w:rPr>
          <w:b/>
          <w:bCs/>
        </w:rPr>
        <w:t>Apstiprināt</w:t>
      </w:r>
      <w:r w:rsidRPr="00C73C14">
        <w:rPr>
          <w:rFonts w:eastAsia="Calibri"/>
        </w:rPr>
        <w:t xml:space="preserve"> Ādažu novada pašvaldībai piederoša</w:t>
      </w:r>
      <w:r>
        <w:rPr>
          <w:rFonts w:eastAsia="Calibri"/>
        </w:rPr>
        <w:t xml:space="preserve">, </w:t>
      </w:r>
      <w:r w:rsidRPr="00C73C14">
        <w:rPr>
          <w:rFonts w:eastAsia="Calibri"/>
        </w:rPr>
        <w:t xml:space="preserve">atsavināšanai nodota </w:t>
      </w:r>
      <w:r>
        <w:rPr>
          <w:rFonts w:eastAsia="Calibri"/>
          <w:b/>
          <w:bCs/>
        </w:rPr>
        <w:t>Ī</w:t>
      </w:r>
      <w:r w:rsidRPr="00C73C14">
        <w:rPr>
          <w:rFonts w:eastAsia="Calibri"/>
          <w:b/>
          <w:bCs/>
        </w:rPr>
        <w:t>pašuma</w:t>
      </w:r>
      <w:r w:rsidRPr="00C73C14">
        <w:rPr>
          <w:rFonts w:eastAsia="Calibri"/>
        </w:rPr>
        <w:t xml:space="preserve"> </w:t>
      </w:r>
      <w:r w:rsidRPr="00C73C14">
        <w:rPr>
          <w:b/>
          <w:bCs/>
          <w:color w:val="000000"/>
        </w:rPr>
        <w:t xml:space="preserve">elektroniskās izsoles </w:t>
      </w:r>
      <w:r w:rsidRPr="00C73C14">
        <w:rPr>
          <w:color w:val="000000"/>
        </w:rPr>
        <w:t>ar augšupejošu soli</w:t>
      </w:r>
      <w:r w:rsidRPr="00C73C14">
        <w:rPr>
          <w:b/>
          <w:bCs/>
          <w:color w:val="000000"/>
        </w:rPr>
        <w:t xml:space="preserve"> </w:t>
      </w:r>
      <w:r w:rsidRPr="00685A49">
        <w:rPr>
          <w:rFonts w:eastAsia="Calibri"/>
          <w:b/>
        </w:rPr>
        <w:t xml:space="preserve">noteikumus Nr. </w:t>
      </w:r>
      <w:r w:rsidR="0055057F" w:rsidRPr="0055057F">
        <w:rPr>
          <w:b/>
          <w:bCs/>
        </w:rPr>
        <w:t>ĀNP/1-7-14-1/24/</w:t>
      </w:r>
      <w:r w:rsidR="00966FFA">
        <w:rPr>
          <w:b/>
          <w:bCs/>
        </w:rPr>
        <w:t>24</w:t>
      </w:r>
      <w:r w:rsidR="0055057F">
        <w:rPr>
          <w:b/>
          <w:bCs/>
        </w:rPr>
        <w:t xml:space="preserve"> </w:t>
      </w:r>
      <w:r w:rsidRPr="00AC6E72">
        <w:t>un tiem pievienotos pielikumus</w:t>
      </w:r>
      <w:r w:rsidRPr="00C73C14">
        <w:rPr>
          <w:rFonts w:eastAsia="Calibri"/>
        </w:rPr>
        <w:t xml:space="preserve"> –  </w:t>
      </w:r>
      <w:r w:rsidRPr="00173747">
        <w:rPr>
          <w:rFonts w:eastAsia="Calibri"/>
        </w:rPr>
        <w:t xml:space="preserve">Muzeja iela 5, </w:t>
      </w:r>
      <w:proofErr w:type="spellStart"/>
      <w:r w:rsidRPr="00173747">
        <w:rPr>
          <w:rFonts w:eastAsia="Calibri"/>
        </w:rPr>
        <w:t>Mežgarciems</w:t>
      </w:r>
      <w:proofErr w:type="spellEnd"/>
      <w:r w:rsidRPr="00173747">
        <w:rPr>
          <w:rFonts w:eastAsia="Calibri"/>
        </w:rPr>
        <w:t>, Carnikavas pag., Ādažu nov., ar kadastra numuru 8052 008 1600, kas sastāv no</w:t>
      </w:r>
      <w:r>
        <w:rPr>
          <w:rFonts w:eastAsia="Calibri"/>
        </w:rPr>
        <w:t xml:space="preserve"> neapbūvētas</w:t>
      </w:r>
      <w:r w:rsidRPr="00173747">
        <w:rPr>
          <w:rFonts w:eastAsia="Calibri"/>
        </w:rPr>
        <w:t xml:space="preserve"> zemes vienības 0,4265 ha platībā ar kadastra apzīmējumu 8052 008 1576</w:t>
      </w:r>
      <w:r w:rsidRPr="00AC6E72">
        <w:t>, nosakot</w:t>
      </w:r>
      <w:r w:rsidRPr="00C73C14">
        <w:rPr>
          <w:b/>
          <w:bCs/>
        </w:rPr>
        <w:t xml:space="preserve"> </w:t>
      </w:r>
      <w:r w:rsidRPr="00AC6E72">
        <w:t xml:space="preserve">izsoles </w:t>
      </w:r>
      <w:r w:rsidRPr="00D148FD">
        <w:rPr>
          <w:b/>
        </w:rPr>
        <w:t xml:space="preserve">sākumcenu (nosacīto cenu) </w:t>
      </w:r>
      <w:r w:rsidRPr="00D148FD">
        <w:rPr>
          <w:rFonts w:eastAsia="Calibri"/>
          <w:b/>
          <w:bCs/>
        </w:rPr>
        <w:t>EUR 14 000,-</w:t>
      </w:r>
      <w:r w:rsidRPr="00C73C14">
        <w:rPr>
          <w:rFonts w:eastAsia="Calibri"/>
        </w:rPr>
        <w:t xml:space="preserve"> (</w:t>
      </w:r>
      <w:r>
        <w:rPr>
          <w:rFonts w:eastAsia="Calibri"/>
        </w:rPr>
        <w:t>četrpadsmit tūkstoši eiro) jeb 3,28</w:t>
      </w:r>
      <w:r w:rsidRPr="00C73C14">
        <w:rPr>
          <w:rFonts w:eastAsia="Calibri"/>
        </w:rPr>
        <w:t xml:space="preserve"> EUR/m</w:t>
      </w:r>
      <w:r w:rsidRPr="00C73C14">
        <w:rPr>
          <w:rFonts w:eastAsia="Calibri"/>
          <w:vertAlign w:val="superscript"/>
        </w:rPr>
        <w:t>2</w:t>
      </w:r>
      <w:r w:rsidRPr="00C73C14">
        <w:rPr>
          <w:rFonts w:eastAsia="Calibri"/>
        </w:rPr>
        <w:t>;</w:t>
      </w:r>
    </w:p>
    <w:p w14:paraId="2FBA8E0D" w14:textId="77777777" w:rsidR="001A55D3" w:rsidRPr="00AC6E72" w:rsidRDefault="001A55D3" w:rsidP="001A55D3">
      <w:pPr>
        <w:pStyle w:val="Sarakstarindkopa"/>
        <w:widowControl w:val="0"/>
        <w:numPr>
          <w:ilvl w:val="0"/>
          <w:numId w:val="17"/>
        </w:numPr>
        <w:suppressAutoHyphens/>
        <w:spacing w:after="120"/>
        <w:jc w:val="both"/>
      </w:pPr>
      <w:r w:rsidRPr="00C73C14">
        <w:rPr>
          <w:rFonts w:eastAsia="Calibri"/>
        </w:rPr>
        <w:t>Lēmuma 1.punktā minētā Īpašuma izsoles noteikumos iekļauti šādi nosacījumi:</w:t>
      </w:r>
    </w:p>
    <w:p w14:paraId="22E8469E" w14:textId="77777777" w:rsidR="001A55D3" w:rsidRPr="00D148FD" w:rsidRDefault="001A55D3" w:rsidP="001A55D3">
      <w:pPr>
        <w:pStyle w:val="Sarakstarindkopa"/>
        <w:widowControl w:val="0"/>
        <w:numPr>
          <w:ilvl w:val="1"/>
          <w:numId w:val="17"/>
        </w:numPr>
        <w:suppressAutoHyphens/>
        <w:spacing w:after="120"/>
        <w:jc w:val="both"/>
      </w:pPr>
      <w:r w:rsidRPr="00D148FD">
        <w:rPr>
          <w:bCs/>
        </w:rPr>
        <w:t>izsoles solis ir EUR 1000,- (viens tūkstotis eiro);</w:t>
      </w:r>
    </w:p>
    <w:p w14:paraId="43E9D039" w14:textId="77777777" w:rsidR="001A55D3" w:rsidRPr="00AC6E72" w:rsidRDefault="001A55D3" w:rsidP="001A55D3">
      <w:pPr>
        <w:pStyle w:val="Sarakstarindkopa"/>
        <w:widowControl w:val="0"/>
        <w:numPr>
          <w:ilvl w:val="1"/>
          <w:numId w:val="17"/>
        </w:numPr>
        <w:suppressAutoHyphens/>
        <w:spacing w:after="120"/>
        <w:jc w:val="both"/>
      </w:pPr>
      <w:r w:rsidRPr="00C73C14">
        <w:rPr>
          <w:bCs/>
        </w:rPr>
        <w:t>nodrošinājums - 10 % no nekustamā īpašuma sākumcenas;</w:t>
      </w:r>
    </w:p>
    <w:p w14:paraId="7BE5F6B7" w14:textId="77777777" w:rsidR="001A55D3" w:rsidRPr="00AC6E72" w:rsidRDefault="001A55D3" w:rsidP="001A55D3">
      <w:pPr>
        <w:pStyle w:val="Sarakstarindkopa"/>
        <w:widowControl w:val="0"/>
        <w:numPr>
          <w:ilvl w:val="1"/>
          <w:numId w:val="17"/>
        </w:numPr>
        <w:suppressAutoHyphens/>
        <w:spacing w:after="120"/>
        <w:jc w:val="both"/>
      </w:pPr>
      <w:r w:rsidRPr="00C73C14">
        <w:rPr>
          <w:color w:val="000000"/>
        </w:rPr>
        <w:t xml:space="preserve">personai, kura vēlas piedalīties izsolē </w:t>
      </w:r>
      <w:r w:rsidRPr="00C73C14">
        <w:rPr>
          <w:bCs/>
        </w:rPr>
        <w:t>nodrošinājums</w:t>
      </w:r>
      <w:r w:rsidRPr="00C73C14">
        <w:rPr>
          <w:color w:val="000000"/>
        </w:rPr>
        <w:t xml:space="preserve"> 20 (divdesmit) dienu laikā no izsoles sākuma datuma jāpārskaita </w:t>
      </w:r>
      <w:r w:rsidRPr="00C73C14">
        <w:rPr>
          <w:spacing w:val="5"/>
        </w:rPr>
        <w:t>Ādažu novada pašvaldības bankas kontā;</w:t>
      </w:r>
    </w:p>
    <w:p w14:paraId="23384FF5" w14:textId="415B5ED6" w:rsidR="00991941" w:rsidRPr="00E90F6C" w:rsidRDefault="00991941" w:rsidP="00991941">
      <w:pPr>
        <w:pStyle w:val="Sarakstarindkopa"/>
        <w:numPr>
          <w:ilvl w:val="1"/>
          <w:numId w:val="17"/>
        </w:numPr>
        <w:spacing w:after="120"/>
        <w:jc w:val="both"/>
        <w:rPr>
          <w:bCs/>
        </w:rPr>
      </w:pPr>
      <w:r w:rsidRPr="00E90F6C">
        <w:rPr>
          <w:bCs/>
        </w:rPr>
        <w:t>pretendentu reģ</w:t>
      </w:r>
      <w:r w:rsidR="00D243BE" w:rsidRPr="00E90F6C">
        <w:rPr>
          <w:bCs/>
        </w:rPr>
        <w:t>i</w:t>
      </w:r>
      <w:r w:rsidR="00FA5733" w:rsidRPr="00E90F6C">
        <w:rPr>
          <w:bCs/>
        </w:rPr>
        <w:t xml:space="preserve">strācija notiek no 2024. gada </w:t>
      </w:r>
      <w:r w:rsidR="008061F9">
        <w:rPr>
          <w:bCs/>
        </w:rPr>
        <w:t>11</w:t>
      </w:r>
      <w:r w:rsidR="00FA5733" w:rsidRPr="00E90F6C">
        <w:rPr>
          <w:bCs/>
        </w:rPr>
        <w:t xml:space="preserve">. </w:t>
      </w:r>
      <w:r w:rsidR="008061F9">
        <w:rPr>
          <w:bCs/>
        </w:rPr>
        <w:t>septembra</w:t>
      </w:r>
      <w:r w:rsidR="00D243BE" w:rsidRPr="00E90F6C">
        <w:rPr>
          <w:bCs/>
        </w:rPr>
        <w:t xml:space="preserve"> plkst. 13.00 līdz 2024</w:t>
      </w:r>
      <w:r w:rsidR="00A246B8" w:rsidRPr="00E90F6C">
        <w:rPr>
          <w:bCs/>
        </w:rPr>
        <w:t>.</w:t>
      </w:r>
      <w:r w:rsidR="00FA5733" w:rsidRPr="00E90F6C">
        <w:rPr>
          <w:bCs/>
        </w:rPr>
        <w:t xml:space="preserve"> gada </w:t>
      </w:r>
      <w:r w:rsidR="00110D4F">
        <w:rPr>
          <w:bCs/>
        </w:rPr>
        <w:t>1</w:t>
      </w:r>
      <w:r w:rsidR="00FA5733" w:rsidRPr="00E90F6C">
        <w:rPr>
          <w:bCs/>
        </w:rPr>
        <w:t>.</w:t>
      </w:r>
      <w:r w:rsidR="0021238B" w:rsidRPr="00E90F6C">
        <w:rPr>
          <w:bCs/>
        </w:rPr>
        <w:t> </w:t>
      </w:r>
      <w:r w:rsidR="00110D4F">
        <w:rPr>
          <w:bCs/>
        </w:rPr>
        <w:t>oktobra</w:t>
      </w:r>
      <w:r w:rsidRPr="00E90F6C">
        <w:rPr>
          <w:bCs/>
        </w:rPr>
        <w:t xml:space="preserve"> plkst. 23:59 elektronisko izsoļu vietnē https://izsoles.ta.gov.lv uzturētā izsoļu dalībnieku reģistrā pēc oficiāla paziņojuma par izsoli publicēšanas Latvijas Republikas oficiālajā izdevumā “Latvijas Vēstnesis” tīmekļa vietnē www.vestnesis.lv;</w:t>
      </w:r>
    </w:p>
    <w:p w14:paraId="1F9092C6" w14:textId="5452894B" w:rsidR="00CA519C" w:rsidRPr="00E67DA3" w:rsidRDefault="00991941" w:rsidP="00E67DA3">
      <w:pPr>
        <w:pStyle w:val="Sarakstarindkopa"/>
        <w:numPr>
          <w:ilvl w:val="1"/>
          <w:numId w:val="17"/>
        </w:numPr>
        <w:spacing w:after="120"/>
        <w:jc w:val="both"/>
        <w:rPr>
          <w:bCs/>
        </w:rPr>
      </w:pPr>
      <w:r w:rsidRPr="00E90F6C">
        <w:rPr>
          <w:bCs/>
        </w:rPr>
        <w:t>izsole sākas elektronisko izsoļu vietn</w:t>
      </w:r>
      <w:r w:rsidR="00D243BE" w:rsidRPr="00E90F6C">
        <w:rPr>
          <w:bCs/>
        </w:rPr>
        <w:t>ē https:</w:t>
      </w:r>
      <w:r w:rsidR="00FA5733" w:rsidRPr="00E90F6C">
        <w:rPr>
          <w:bCs/>
        </w:rPr>
        <w:t xml:space="preserve">//izsoles.ta.gov.lv 2024.gada </w:t>
      </w:r>
      <w:r w:rsidR="00110D4F">
        <w:rPr>
          <w:bCs/>
        </w:rPr>
        <w:t>11</w:t>
      </w:r>
      <w:r w:rsidR="008C3804" w:rsidRPr="00E90F6C">
        <w:rPr>
          <w:bCs/>
        </w:rPr>
        <w:t xml:space="preserve">. </w:t>
      </w:r>
      <w:r w:rsidR="00110D4F">
        <w:rPr>
          <w:bCs/>
        </w:rPr>
        <w:t>septembrī</w:t>
      </w:r>
      <w:r w:rsidRPr="00E90F6C">
        <w:rPr>
          <w:bCs/>
        </w:rPr>
        <w:t xml:space="preserve"> plkst.</w:t>
      </w:r>
      <w:r w:rsidR="00D243BE" w:rsidRPr="00E90F6C">
        <w:rPr>
          <w:bCs/>
        </w:rPr>
        <w:t xml:space="preserve"> 13.00 un noslēdzas 2024</w:t>
      </w:r>
      <w:r w:rsidR="008C3804" w:rsidRPr="00E90F6C">
        <w:rPr>
          <w:bCs/>
        </w:rPr>
        <w:t>.</w:t>
      </w:r>
      <w:r w:rsidR="00FA5733" w:rsidRPr="00E90F6C">
        <w:rPr>
          <w:bCs/>
        </w:rPr>
        <w:t xml:space="preserve"> gada </w:t>
      </w:r>
      <w:r w:rsidR="00110D4F">
        <w:rPr>
          <w:bCs/>
        </w:rPr>
        <w:t>11</w:t>
      </w:r>
      <w:r w:rsidR="00FA5733" w:rsidRPr="00E90F6C">
        <w:rPr>
          <w:bCs/>
        </w:rPr>
        <w:t xml:space="preserve">. </w:t>
      </w:r>
      <w:r w:rsidR="00110D4F">
        <w:rPr>
          <w:bCs/>
        </w:rPr>
        <w:t>oktobrī</w:t>
      </w:r>
      <w:r w:rsidRPr="00E90F6C">
        <w:rPr>
          <w:bCs/>
        </w:rPr>
        <w:t xml:space="preserve"> plkst. 13.00.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757934" w:rsidRPr="00AC6E72" w14:paraId="1C7B2F98" w14:textId="77777777" w:rsidTr="00F678CD">
        <w:tc>
          <w:tcPr>
            <w:tcW w:w="9071" w:type="dxa"/>
            <w:shd w:val="clear" w:color="auto" w:fill="auto"/>
          </w:tcPr>
          <w:p w14:paraId="7E2CEC89" w14:textId="63ED49FA" w:rsidR="00757934" w:rsidRPr="00AC6E72" w:rsidRDefault="00E67DA3" w:rsidP="0025231C">
            <w:pPr>
              <w:spacing w:before="240" w:after="120"/>
              <w:jc w:val="center"/>
            </w:pPr>
            <w:r>
              <w:rPr>
                <w:rFonts w:eastAsia="Calibri"/>
                <w:b/>
                <w:bCs/>
              </w:rPr>
              <w:t>2</w:t>
            </w:r>
            <w:r w:rsidR="00757934">
              <w:rPr>
                <w:rFonts w:eastAsia="Calibri"/>
                <w:b/>
                <w:bCs/>
              </w:rPr>
              <w:t>. </w:t>
            </w:r>
            <w:r w:rsidR="00757934" w:rsidRPr="00242F72">
              <w:rPr>
                <w:rFonts w:eastAsia="Calibri"/>
                <w:b/>
                <w:bCs/>
              </w:rPr>
              <w:t xml:space="preserve">Par pašvaldībai piederoša nekustamā īpašuma elektroniskās izsoles ar augšupejošu soli izsoles noteikumu apstiprināšanu – </w:t>
            </w:r>
            <w:r w:rsidR="0025231C">
              <w:rPr>
                <w:rFonts w:eastAsia="Calibri"/>
                <w:b/>
                <w:bCs/>
              </w:rPr>
              <w:t>Sintēzes iela 7</w:t>
            </w:r>
            <w:r w:rsidR="00757934" w:rsidRPr="00FB14AC">
              <w:rPr>
                <w:rFonts w:eastAsia="Calibri"/>
                <w:b/>
                <w:bCs/>
              </w:rPr>
              <w:t xml:space="preserve">, </w:t>
            </w:r>
            <w:proofErr w:type="spellStart"/>
            <w:r w:rsidR="00757934" w:rsidRPr="00FB14AC">
              <w:rPr>
                <w:rFonts w:eastAsia="Calibri"/>
                <w:b/>
                <w:bCs/>
              </w:rPr>
              <w:t>Mežgarciems</w:t>
            </w:r>
            <w:proofErr w:type="spellEnd"/>
            <w:r w:rsidR="00757934" w:rsidRPr="00FB14AC">
              <w:rPr>
                <w:rFonts w:eastAsia="Calibri"/>
                <w:b/>
                <w:bCs/>
              </w:rPr>
              <w:t>, Carnikavas pag</w:t>
            </w:r>
            <w:r w:rsidR="00757934">
              <w:rPr>
                <w:rFonts w:eastAsia="Calibri"/>
                <w:b/>
                <w:bCs/>
              </w:rPr>
              <w:t>.</w:t>
            </w:r>
          </w:p>
        </w:tc>
      </w:tr>
    </w:tbl>
    <w:p w14:paraId="3CDD9C62" w14:textId="6F12AC69" w:rsidR="00757934" w:rsidRPr="00AC6E72" w:rsidRDefault="00757934" w:rsidP="00757934">
      <w:pPr>
        <w:spacing w:before="240" w:after="120"/>
        <w:jc w:val="both"/>
        <w:rPr>
          <w:b/>
        </w:rPr>
      </w:pPr>
      <w:r w:rsidRPr="00AC6E72">
        <w:rPr>
          <w:bCs/>
        </w:rPr>
        <w:t xml:space="preserve">Pašvaldības mantas iznomāšanas un atsavināšanas komisija (turpmāk - Komisija) </w:t>
      </w:r>
      <w:r>
        <w:rPr>
          <w:bCs/>
        </w:rPr>
        <w:t xml:space="preserve">izskatīja </w:t>
      </w:r>
      <w:r w:rsidRPr="00AC6E72">
        <w:rPr>
          <w:color w:val="000000"/>
        </w:rPr>
        <w:t xml:space="preserve">elektroniskās izsoles ar augšupejošu soli </w:t>
      </w:r>
      <w:r w:rsidRPr="00AC6E72">
        <w:t>noteikumu projektu</w:t>
      </w:r>
      <w:r>
        <w:t xml:space="preserve"> un ta</w:t>
      </w:r>
      <w:r w:rsidRPr="00AC6E72">
        <w:t>m pievienotos dokumentus</w:t>
      </w:r>
      <w:r w:rsidRPr="00AC6E72">
        <w:rPr>
          <w:bCs/>
        </w:rPr>
        <w:t xml:space="preserve"> </w:t>
      </w:r>
      <w:r w:rsidRPr="00AC6E72">
        <w:rPr>
          <w:bCs/>
        </w:rPr>
        <w:lastRenderedPageBreak/>
        <w:t xml:space="preserve">par pašvaldībai </w:t>
      </w:r>
      <w:r w:rsidRPr="00AC6E72">
        <w:t>piederoš</w:t>
      </w:r>
      <w:r>
        <w:t>u,</w:t>
      </w:r>
      <w:r w:rsidRPr="00AC6E72">
        <w:rPr>
          <w:color w:val="000000"/>
        </w:rPr>
        <w:t xml:space="preserve"> </w:t>
      </w:r>
      <w:r>
        <w:rPr>
          <w:color w:val="000000"/>
        </w:rPr>
        <w:t xml:space="preserve">atsavināšanai nodotu </w:t>
      </w:r>
      <w:r w:rsidRPr="00AC6E72">
        <w:rPr>
          <w:color w:val="000000"/>
        </w:rPr>
        <w:t>nekustam</w:t>
      </w:r>
      <w:r>
        <w:rPr>
          <w:color w:val="000000"/>
        </w:rPr>
        <w:t>o</w:t>
      </w:r>
      <w:r w:rsidRPr="00AC6E72">
        <w:rPr>
          <w:color w:val="000000"/>
        </w:rPr>
        <w:t xml:space="preserve"> īpašum</w:t>
      </w:r>
      <w:r>
        <w:rPr>
          <w:color w:val="000000"/>
        </w:rPr>
        <w:t>u</w:t>
      </w:r>
      <w:r>
        <w:rPr>
          <w:rFonts w:eastAsia="Calibri"/>
        </w:rPr>
        <w:t xml:space="preserve"> – </w:t>
      </w:r>
      <w:r w:rsidR="00E54C06">
        <w:rPr>
          <w:rFonts w:eastAsia="Calibri"/>
        </w:rPr>
        <w:t>Sintēzes</w:t>
      </w:r>
      <w:r w:rsidR="00B34265">
        <w:rPr>
          <w:rFonts w:eastAsia="Calibri"/>
        </w:rPr>
        <w:t xml:space="preserve"> iela 7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Mežgarciems</w:t>
      </w:r>
      <w:proofErr w:type="spellEnd"/>
      <w:r>
        <w:rPr>
          <w:rFonts w:eastAsia="Calibri"/>
        </w:rPr>
        <w:t>, Carnikavas pag.</w:t>
      </w:r>
      <w:r w:rsidRPr="00F76841">
        <w:rPr>
          <w:rFonts w:eastAsia="Calibri"/>
        </w:rPr>
        <w:t xml:space="preserve">, Ādažu nov. </w:t>
      </w:r>
      <w:r w:rsidR="007E7C0F" w:rsidRPr="007E7C0F">
        <w:rPr>
          <w:rFonts w:eastAsia="Calibri"/>
        </w:rPr>
        <w:t xml:space="preserve">kadastra numurs 8052 008 1603, kas sastāv no neapbūvētas zemes vienības, kadastra apzīmējums 8052 008 1567, platība 0,7001 ha </w:t>
      </w:r>
      <w:r>
        <w:rPr>
          <w:rFonts w:eastAsia="Calibri"/>
        </w:rPr>
        <w:t>(turpmāk – Īpašums), un konstatēja:</w:t>
      </w:r>
    </w:p>
    <w:p w14:paraId="1CC51DFE" w14:textId="77777777" w:rsidR="00757934" w:rsidRDefault="00757934" w:rsidP="00CC04B1">
      <w:pPr>
        <w:pStyle w:val="Sarakstarindkopa"/>
        <w:numPr>
          <w:ilvl w:val="0"/>
          <w:numId w:val="19"/>
        </w:numPr>
        <w:spacing w:after="120"/>
        <w:jc w:val="both"/>
      </w:pPr>
      <w:r w:rsidRPr="00F76841">
        <w:t>Ar Ādažu novada pašva</w:t>
      </w:r>
      <w:r>
        <w:t xml:space="preserve">ldības domes (turpmāk - Dome) 26.04.2023. lēmumu Nr. 158 </w:t>
      </w:r>
      <w:r w:rsidRPr="00F76841">
        <w:t>“</w:t>
      </w:r>
      <w:r w:rsidRPr="00ED65D8">
        <w:t xml:space="preserve">Par pašvaldības nekustamo īpašumu atsavināšanu “Muzeja iela 2” un “Sintēzes iela 7”, </w:t>
      </w:r>
      <w:proofErr w:type="spellStart"/>
      <w:r w:rsidRPr="00ED65D8">
        <w:t>Mežgarciems</w:t>
      </w:r>
      <w:proofErr w:type="spellEnd"/>
      <w:r w:rsidRPr="00F76841">
        <w:t>”</w:t>
      </w:r>
      <w:r w:rsidRPr="00C73C14">
        <w:t xml:space="preserve"> Īpašums</w:t>
      </w:r>
      <w:r w:rsidRPr="00685A49">
        <w:rPr>
          <w:b/>
        </w:rPr>
        <w:t xml:space="preserve"> nodots atsavināšanai</w:t>
      </w:r>
      <w:r>
        <w:t>.</w:t>
      </w:r>
    </w:p>
    <w:p w14:paraId="511C4A33" w14:textId="25DE12E6" w:rsidR="00757934" w:rsidRDefault="00973626" w:rsidP="00CC04B1">
      <w:pPr>
        <w:pStyle w:val="Sarakstarindkopa"/>
        <w:numPr>
          <w:ilvl w:val="0"/>
          <w:numId w:val="19"/>
        </w:numPr>
        <w:spacing w:after="120"/>
        <w:jc w:val="both"/>
      </w:pPr>
      <w:r>
        <w:t>Ar Domes 23.08</w:t>
      </w:r>
      <w:r w:rsidR="00757934">
        <w:t xml:space="preserve">.2023. lēmumu Nr. </w:t>
      </w:r>
      <w:r>
        <w:t>305</w:t>
      </w:r>
      <w:r w:rsidR="00757934">
        <w:t xml:space="preserve"> “</w:t>
      </w:r>
      <w:r w:rsidR="00757934" w:rsidRPr="00FB14AC">
        <w:t xml:space="preserve">Par nosacītās cenas apstiprināšanu nekustamajiem īpašumiem “Muzeja iela 2” un “Sintēzes iela 7”, </w:t>
      </w:r>
      <w:proofErr w:type="spellStart"/>
      <w:r w:rsidR="00757934" w:rsidRPr="00FB14AC">
        <w:t>Mežgarciemā</w:t>
      </w:r>
      <w:proofErr w:type="spellEnd"/>
      <w:r w:rsidR="00757934">
        <w:t xml:space="preserve">” Īpašumam </w:t>
      </w:r>
      <w:r w:rsidR="00757934" w:rsidRPr="00685A49">
        <w:rPr>
          <w:b/>
        </w:rPr>
        <w:t>apstiprināta</w:t>
      </w:r>
      <w:r w:rsidR="00757934">
        <w:t xml:space="preserve"> </w:t>
      </w:r>
      <w:r w:rsidR="00757934">
        <w:rPr>
          <w:b/>
        </w:rPr>
        <w:t xml:space="preserve">nosacītā cena </w:t>
      </w:r>
      <w:r w:rsidR="007E7C0F" w:rsidRPr="00F45068">
        <w:rPr>
          <w:b/>
          <w:bCs/>
          <w:lang w:eastAsia="lv-LV"/>
        </w:rPr>
        <w:t>EUR 23 000</w:t>
      </w:r>
      <w:r w:rsidR="007E7C0F" w:rsidRPr="00F45068">
        <w:rPr>
          <w:lang w:eastAsia="lv-LV"/>
        </w:rPr>
        <w:t xml:space="preserve"> (divdesmit trīs trūkstoši </w:t>
      </w:r>
      <w:proofErr w:type="spellStart"/>
      <w:r w:rsidR="007E7C0F" w:rsidRPr="0039600D">
        <w:rPr>
          <w:i/>
          <w:iCs/>
          <w:lang w:eastAsia="lv-LV"/>
        </w:rPr>
        <w:t>euro</w:t>
      </w:r>
      <w:proofErr w:type="spellEnd"/>
      <w:r w:rsidR="007E7C0F" w:rsidRPr="00F45068">
        <w:rPr>
          <w:lang w:eastAsia="lv-LV"/>
        </w:rPr>
        <w:t>) jeb 3,29 EUR/m</w:t>
      </w:r>
      <w:r w:rsidR="007E7C0F" w:rsidRPr="00F45068">
        <w:rPr>
          <w:vertAlign w:val="superscript"/>
          <w:lang w:eastAsia="lv-LV"/>
        </w:rPr>
        <w:t>2</w:t>
      </w:r>
      <w:r w:rsidR="00757934" w:rsidRPr="00FB14AC">
        <w:t>.</w:t>
      </w:r>
    </w:p>
    <w:p w14:paraId="68DECDAC" w14:textId="77777777" w:rsidR="00B1651E" w:rsidRDefault="00B1651E" w:rsidP="00B1651E">
      <w:pPr>
        <w:pStyle w:val="Sarakstarindkopa"/>
        <w:numPr>
          <w:ilvl w:val="0"/>
          <w:numId w:val="19"/>
        </w:numPr>
        <w:spacing w:after="120"/>
        <w:jc w:val="both"/>
      </w:pPr>
      <w:r>
        <w:t>Ar Domes 26.10.2022. lēmumu Nr. 505 “</w:t>
      </w:r>
      <w:r w:rsidRPr="00685A49">
        <w:t xml:space="preserve">Par īpašumu </w:t>
      </w:r>
      <w:proofErr w:type="spellStart"/>
      <w:r w:rsidRPr="00685A49">
        <w:t>Mežgarciema</w:t>
      </w:r>
      <w:proofErr w:type="spellEnd"/>
      <w:r w:rsidRPr="00685A49">
        <w:t xml:space="preserve"> uzņēmējdarbības teritorijā atsavināšanas nosacījumu precizēšanu</w:t>
      </w:r>
      <w:r>
        <w:t xml:space="preserve">” </w:t>
      </w:r>
      <w:r w:rsidRPr="00685A49">
        <w:rPr>
          <w:b/>
        </w:rPr>
        <w:t>precizēti Īpašuma atsavināšanas, turpmākās izmantošanas nosacījumi un atsavināšanas tiesību aprobežojumi</w:t>
      </w:r>
      <w:r w:rsidRPr="00685A49">
        <w:t xml:space="preserve"> attiecībā par īpašumiem, kas atrodas </w:t>
      </w:r>
      <w:proofErr w:type="spellStart"/>
      <w:r w:rsidRPr="00685A49">
        <w:t>Mežgarciema</w:t>
      </w:r>
      <w:proofErr w:type="spellEnd"/>
      <w:r w:rsidRPr="00685A49">
        <w:t xml:space="preserve"> uzņēmējdarbības teritorijā un tiek atsavināti saistībā ar  Eiropas Savienības projekta Nr.3.3.1.0/17/I/025 īstenošanu, kas apstiprināti ar Carnikavas novada domes 24.07.2019. lēmumu (protokols Nr.</w:t>
      </w:r>
      <w:r>
        <w:t>1</w:t>
      </w:r>
      <w:r w:rsidRPr="00685A49">
        <w:t>1, 4.§)</w:t>
      </w:r>
      <w:r>
        <w:t>;</w:t>
      </w:r>
    </w:p>
    <w:p w14:paraId="468537E5" w14:textId="77777777" w:rsidR="00B1651E" w:rsidRDefault="00B1651E" w:rsidP="00B1651E">
      <w:pPr>
        <w:pStyle w:val="Sarakstarindkopa"/>
        <w:numPr>
          <w:ilvl w:val="0"/>
          <w:numId w:val="19"/>
        </w:numPr>
        <w:spacing w:after="120"/>
        <w:jc w:val="both"/>
      </w:pPr>
      <w:r>
        <w:t>Ar Domes 30.05.2024. lēmumu Nr. 225 “</w:t>
      </w:r>
      <w:r w:rsidRPr="00685A49">
        <w:t xml:space="preserve">Par īpašumu </w:t>
      </w:r>
      <w:proofErr w:type="spellStart"/>
      <w:r w:rsidRPr="00685A49">
        <w:t>Mežgarciema</w:t>
      </w:r>
      <w:proofErr w:type="spellEnd"/>
      <w:r w:rsidRPr="00685A49">
        <w:t xml:space="preserve"> uzņēmējdarbības teritorijā atsavināšanas nosacījumu precizēšanu</w:t>
      </w:r>
      <w:r>
        <w:t xml:space="preserve">” </w:t>
      </w:r>
      <w:r w:rsidRPr="00685A49">
        <w:rPr>
          <w:b/>
        </w:rPr>
        <w:t>precizēti Īpašuma atsavināšanas, turpmākās izmantošanas nosacījumi un atsavināšanas tiesību aprobežojumi</w:t>
      </w:r>
      <w:r w:rsidRPr="00685A49">
        <w:t xml:space="preserve"> attiecībā par īpašumiem, kas atrodas </w:t>
      </w:r>
      <w:proofErr w:type="spellStart"/>
      <w:r w:rsidRPr="00685A49">
        <w:t>Mežgarciema</w:t>
      </w:r>
      <w:proofErr w:type="spellEnd"/>
      <w:r w:rsidRPr="00685A49">
        <w:t xml:space="preserve"> uzņēmējdarbības teritorijā un tiek atsavināti saistībā ar  Eiropas Savienības projekta Nr.3.3.1.0/17/I/025 īstenošanu, kas apstiprināti ar Carnikavas novada domes 24.07.2019. lēmumu (protokols Nr.</w:t>
      </w:r>
      <w:r>
        <w:t>1</w:t>
      </w:r>
      <w:r w:rsidRPr="00685A49">
        <w:t>1, 4.§)</w:t>
      </w:r>
      <w:r>
        <w:t>.</w:t>
      </w:r>
    </w:p>
    <w:p w14:paraId="7FBE220E" w14:textId="77777777" w:rsidR="00B1651E" w:rsidRDefault="00B1651E" w:rsidP="00B1651E">
      <w:pPr>
        <w:pStyle w:val="Sarakstarindkopa"/>
        <w:numPr>
          <w:ilvl w:val="0"/>
          <w:numId w:val="19"/>
        </w:numPr>
        <w:spacing w:after="120"/>
        <w:jc w:val="both"/>
      </w:pPr>
      <w:r>
        <w:t>Ar Domes 29.08.2024</w:t>
      </w:r>
      <w:r w:rsidRPr="00942C4D">
        <w:t>.</w:t>
      </w:r>
      <w:r>
        <w:t xml:space="preserve"> </w:t>
      </w:r>
      <w:r w:rsidRPr="00942C4D">
        <w:t>lēmumu</w:t>
      </w:r>
      <w:r>
        <w:t xml:space="preserve"> Nr. 337</w:t>
      </w:r>
      <w:r w:rsidRPr="00942C4D">
        <w:t xml:space="preserve"> “</w:t>
      </w:r>
      <w:r w:rsidRPr="007A1EA3">
        <w:t>Par nekustamo īpašumu “Muzeja iela 5” un “Sintēzes iela 7” izsoļu atzīšanu par nenotikušām un atkārtotu izsoļu rīkošanu</w:t>
      </w:r>
      <w:r w:rsidRPr="00942C4D">
        <w:t xml:space="preserve">” Komisijai uzdots </w:t>
      </w:r>
      <w:r>
        <w:t xml:space="preserve">atkārtoti </w:t>
      </w:r>
      <w:r w:rsidRPr="00942C4D">
        <w:t xml:space="preserve">rīkot Īpašuma pārdošanu elektroniskā izsolē ar augšupejošu soli (atkārtota izsole) par </w:t>
      </w:r>
      <w:proofErr w:type="spellStart"/>
      <w:r w:rsidRPr="00942C4D">
        <w:rPr>
          <w:i/>
        </w:rPr>
        <w:t>euro</w:t>
      </w:r>
      <w:proofErr w:type="spellEnd"/>
      <w:r>
        <w:t>;</w:t>
      </w:r>
    </w:p>
    <w:p w14:paraId="455777D2" w14:textId="77777777" w:rsidR="00757934" w:rsidRPr="00AC6E72" w:rsidRDefault="00757934" w:rsidP="00757934">
      <w:pPr>
        <w:spacing w:after="120"/>
        <w:jc w:val="both"/>
      </w:pPr>
      <w:r>
        <w:rPr>
          <w:rFonts w:eastAsia="Calibri"/>
        </w:rPr>
        <w:t>Saskaņā ar iepriekš minēto, izpildot Ādažu novada pašvaldības domes lēmumus, p</w:t>
      </w:r>
      <w:r w:rsidRPr="00AC6E72">
        <w:rPr>
          <w:rFonts w:eastAsia="Calibri"/>
        </w:rPr>
        <w:t xml:space="preserve">amatojoties uz </w:t>
      </w:r>
      <w:r w:rsidRPr="00AC6E72">
        <w:t xml:space="preserve">Publiskas personas mantas atsavināšanas likuma </w:t>
      </w:r>
      <w:r w:rsidRPr="00AC6E72">
        <w:rPr>
          <w:bCs/>
        </w:rPr>
        <w:t>10. panta pirmo daļu</w:t>
      </w:r>
      <w:r w:rsidRPr="00AC6E72">
        <w:t xml:space="preserve">, </w:t>
      </w:r>
      <w:r w:rsidRPr="00AC6E72">
        <w:rPr>
          <w:color w:val="000000"/>
        </w:rPr>
        <w:t>Ādažu novada pašvaldības 23.03.2022. nolikuma Nr.14 “Pašvaldības mantas iznomāšanas un atsavināšanas komisijas nolikums” 8.2. punktu</w:t>
      </w:r>
      <w:r w:rsidRPr="00AC6E72">
        <w:rPr>
          <w:rFonts w:eastAsia="Calibri"/>
        </w:rPr>
        <w:t xml:space="preserve">, </w:t>
      </w:r>
      <w:r w:rsidRPr="003433F6">
        <w:rPr>
          <w:rFonts w:eastAsia="Calibri"/>
          <w:b/>
        </w:rPr>
        <w:t>Komisija</w:t>
      </w:r>
      <w:r w:rsidRPr="003433F6">
        <w:rPr>
          <w:b/>
        </w:rPr>
        <w:t xml:space="preserve"> vienbalsīgi NOLEMJ</w:t>
      </w:r>
      <w:r w:rsidRPr="00AC6E72">
        <w:t>:</w:t>
      </w:r>
    </w:p>
    <w:p w14:paraId="479C7F57" w14:textId="0F76FD5A" w:rsidR="00757934" w:rsidRPr="00EF3780" w:rsidRDefault="00757934" w:rsidP="00B70FEB">
      <w:pPr>
        <w:pStyle w:val="Sarakstarindkopa"/>
        <w:widowControl w:val="0"/>
        <w:numPr>
          <w:ilvl w:val="0"/>
          <w:numId w:val="20"/>
        </w:numPr>
        <w:suppressAutoHyphens/>
        <w:spacing w:after="120"/>
        <w:jc w:val="both"/>
        <w:rPr>
          <w:rFonts w:eastAsia="Calibri"/>
          <w:b/>
        </w:rPr>
      </w:pPr>
      <w:r w:rsidRPr="00C73C14">
        <w:rPr>
          <w:b/>
          <w:bCs/>
        </w:rPr>
        <w:t>Apstiprināt</w:t>
      </w:r>
      <w:r w:rsidRPr="00C73C14">
        <w:rPr>
          <w:rFonts w:eastAsia="Calibri"/>
        </w:rPr>
        <w:t xml:space="preserve"> Ādažu novada pašvaldībai piederoša</w:t>
      </w:r>
      <w:r>
        <w:rPr>
          <w:rFonts w:eastAsia="Calibri"/>
        </w:rPr>
        <w:t xml:space="preserve">, </w:t>
      </w:r>
      <w:r w:rsidRPr="00C73C14">
        <w:rPr>
          <w:rFonts w:eastAsia="Calibri"/>
        </w:rPr>
        <w:t xml:space="preserve">atsavināšanai nodota </w:t>
      </w:r>
      <w:r>
        <w:rPr>
          <w:rFonts w:eastAsia="Calibri"/>
          <w:b/>
          <w:bCs/>
        </w:rPr>
        <w:t>Ī</w:t>
      </w:r>
      <w:r w:rsidRPr="00C73C14">
        <w:rPr>
          <w:rFonts w:eastAsia="Calibri"/>
          <w:b/>
          <w:bCs/>
        </w:rPr>
        <w:t>pašuma</w:t>
      </w:r>
      <w:r w:rsidRPr="00C73C14">
        <w:rPr>
          <w:rFonts w:eastAsia="Calibri"/>
        </w:rPr>
        <w:t xml:space="preserve"> </w:t>
      </w:r>
      <w:r w:rsidRPr="00C73C14">
        <w:rPr>
          <w:b/>
          <w:bCs/>
          <w:color w:val="000000"/>
        </w:rPr>
        <w:t xml:space="preserve">elektroniskās izsoles </w:t>
      </w:r>
      <w:r w:rsidRPr="00C73C14">
        <w:rPr>
          <w:color w:val="000000"/>
        </w:rPr>
        <w:t>ar augšupejošu soli</w:t>
      </w:r>
      <w:r w:rsidRPr="00C73C14">
        <w:rPr>
          <w:b/>
          <w:bCs/>
          <w:color w:val="000000"/>
        </w:rPr>
        <w:t xml:space="preserve"> </w:t>
      </w:r>
      <w:r w:rsidRPr="00EA79C9">
        <w:rPr>
          <w:rFonts w:eastAsia="Calibri"/>
          <w:b/>
        </w:rPr>
        <w:t>noteikumus</w:t>
      </w:r>
      <w:r>
        <w:rPr>
          <w:rFonts w:eastAsia="Calibri"/>
          <w:b/>
        </w:rPr>
        <w:t xml:space="preserve"> </w:t>
      </w:r>
      <w:r w:rsidRPr="00EA79C9">
        <w:rPr>
          <w:rFonts w:eastAsia="Calibri"/>
          <w:b/>
        </w:rPr>
        <w:t xml:space="preserve">Nr. </w:t>
      </w:r>
      <w:r w:rsidR="009C2640" w:rsidRPr="009C2640">
        <w:rPr>
          <w:b/>
          <w:bCs/>
        </w:rPr>
        <w:t>ĀNP/1-7-14-1/24/</w:t>
      </w:r>
      <w:r w:rsidR="00B1651E">
        <w:rPr>
          <w:b/>
          <w:bCs/>
        </w:rPr>
        <w:t>25</w:t>
      </w:r>
      <w:r w:rsidR="009C2640">
        <w:rPr>
          <w:b/>
          <w:bCs/>
        </w:rPr>
        <w:t xml:space="preserve"> </w:t>
      </w:r>
      <w:r w:rsidRPr="00AC6E72">
        <w:t xml:space="preserve">un tiem </w:t>
      </w:r>
      <w:r w:rsidRPr="00C93A85">
        <w:t>pievienotos pielikumus</w:t>
      </w:r>
      <w:r w:rsidRPr="00EF3780">
        <w:rPr>
          <w:rFonts w:eastAsia="Calibri"/>
        </w:rPr>
        <w:t xml:space="preserve"> –  </w:t>
      </w:r>
      <w:r w:rsidR="00E56BEF">
        <w:rPr>
          <w:rFonts w:eastAsia="Calibri"/>
        </w:rPr>
        <w:t xml:space="preserve">Sintēzes iela 7, </w:t>
      </w:r>
      <w:proofErr w:type="spellStart"/>
      <w:r w:rsidR="00E56BEF">
        <w:rPr>
          <w:rFonts w:eastAsia="Calibri"/>
        </w:rPr>
        <w:t>Mežgarciems</w:t>
      </w:r>
      <w:proofErr w:type="spellEnd"/>
      <w:r w:rsidR="00E56BEF">
        <w:rPr>
          <w:rFonts w:eastAsia="Calibri"/>
        </w:rPr>
        <w:t>, Carnikavas pag.</w:t>
      </w:r>
      <w:r w:rsidR="00E56BEF" w:rsidRPr="00F76841">
        <w:rPr>
          <w:rFonts w:eastAsia="Calibri"/>
        </w:rPr>
        <w:t xml:space="preserve">, Ādažu nov. </w:t>
      </w:r>
      <w:r w:rsidR="00E56BEF" w:rsidRPr="007E7C0F">
        <w:rPr>
          <w:rFonts w:eastAsia="Calibri"/>
        </w:rPr>
        <w:t>kadastra numurs 8052 008 1603, kas sastāv no neapbūvētas zemes vienības, kadastra apzīmējums 8052 008 1567, platība 0,7001 ha</w:t>
      </w:r>
      <w:r w:rsidRPr="00C93A85">
        <w:t>, nosakot</w:t>
      </w:r>
      <w:r w:rsidRPr="00EF3780">
        <w:rPr>
          <w:b/>
          <w:bCs/>
        </w:rPr>
        <w:t xml:space="preserve"> </w:t>
      </w:r>
      <w:r w:rsidRPr="00C93A85">
        <w:t xml:space="preserve">izsoles </w:t>
      </w:r>
      <w:r w:rsidRPr="00EF3780">
        <w:rPr>
          <w:b/>
        </w:rPr>
        <w:t xml:space="preserve">sākumcenu (nosacīto cenu) </w:t>
      </w:r>
      <w:r w:rsidR="002E6093" w:rsidRPr="00F45068">
        <w:rPr>
          <w:b/>
          <w:bCs/>
          <w:lang w:eastAsia="lv-LV"/>
        </w:rPr>
        <w:t>EUR 23 000</w:t>
      </w:r>
      <w:r w:rsidR="002E6093" w:rsidRPr="00F45068">
        <w:rPr>
          <w:lang w:eastAsia="lv-LV"/>
        </w:rPr>
        <w:t xml:space="preserve"> (divdesmit trīs trūkstoši </w:t>
      </w:r>
      <w:proofErr w:type="spellStart"/>
      <w:r w:rsidR="002E6093" w:rsidRPr="0039600D">
        <w:rPr>
          <w:i/>
          <w:iCs/>
          <w:lang w:eastAsia="lv-LV"/>
        </w:rPr>
        <w:t>euro</w:t>
      </w:r>
      <w:proofErr w:type="spellEnd"/>
      <w:r w:rsidR="002E6093" w:rsidRPr="00F45068">
        <w:rPr>
          <w:lang w:eastAsia="lv-LV"/>
        </w:rPr>
        <w:t>) jeb 3,29 EUR/m</w:t>
      </w:r>
      <w:r w:rsidR="002E6093" w:rsidRPr="00F45068">
        <w:rPr>
          <w:vertAlign w:val="superscript"/>
          <w:lang w:eastAsia="lv-LV"/>
        </w:rPr>
        <w:t>2</w:t>
      </w:r>
      <w:r w:rsidRPr="00EF3780">
        <w:rPr>
          <w:rFonts w:eastAsia="Calibri"/>
        </w:rPr>
        <w:t>;</w:t>
      </w:r>
    </w:p>
    <w:p w14:paraId="59CE1474" w14:textId="77777777" w:rsidR="00757934" w:rsidRPr="00C93A85" w:rsidRDefault="00757934" w:rsidP="00B70FEB">
      <w:pPr>
        <w:pStyle w:val="Sarakstarindkopa"/>
        <w:widowControl w:val="0"/>
        <w:numPr>
          <w:ilvl w:val="0"/>
          <w:numId w:val="20"/>
        </w:numPr>
        <w:suppressAutoHyphens/>
        <w:spacing w:after="120"/>
        <w:jc w:val="both"/>
      </w:pPr>
      <w:r w:rsidRPr="00C93A85">
        <w:rPr>
          <w:rFonts w:eastAsia="Calibri"/>
        </w:rPr>
        <w:t>Lēmuma 1.punktā minētā Īpašuma izsoles noteikumos iekļauti šādi nosacījumi:</w:t>
      </w:r>
    </w:p>
    <w:p w14:paraId="51F39CE7" w14:textId="77777777" w:rsidR="00757934" w:rsidRPr="00C93A85" w:rsidRDefault="00757934" w:rsidP="00B70FEB">
      <w:pPr>
        <w:pStyle w:val="Sarakstarindkopa"/>
        <w:widowControl w:val="0"/>
        <w:numPr>
          <w:ilvl w:val="1"/>
          <w:numId w:val="20"/>
        </w:numPr>
        <w:suppressAutoHyphens/>
        <w:spacing w:after="120"/>
        <w:jc w:val="both"/>
      </w:pPr>
      <w:r w:rsidRPr="00C93A85">
        <w:rPr>
          <w:bCs/>
        </w:rPr>
        <w:t>izsoles solis ir EUR 1000,- (viens tūkstotis eiro);</w:t>
      </w:r>
    </w:p>
    <w:p w14:paraId="09D71FF0" w14:textId="77777777" w:rsidR="00757934" w:rsidRPr="00AC6E72" w:rsidRDefault="00757934" w:rsidP="00B70FEB">
      <w:pPr>
        <w:pStyle w:val="Sarakstarindkopa"/>
        <w:widowControl w:val="0"/>
        <w:numPr>
          <w:ilvl w:val="1"/>
          <w:numId w:val="20"/>
        </w:numPr>
        <w:suppressAutoHyphens/>
        <w:spacing w:after="120"/>
        <w:jc w:val="both"/>
      </w:pPr>
      <w:r w:rsidRPr="00C73C14">
        <w:rPr>
          <w:bCs/>
        </w:rPr>
        <w:t>nodrošinājums - 10 % no nekustamā īpašuma sākumcenas;</w:t>
      </w:r>
    </w:p>
    <w:p w14:paraId="1CF101BF" w14:textId="77777777" w:rsidR="00757934" w:rsidRPr="00516D1C" w:rsidRDefault="00757934" w:rsidP="00B70FEB">
      <w:pPr>
        <w:pStyle w:val="Sarakstarindkopa"/>
        <w:widowControl w:val="0"/>
        <w:numPr>
          <w:ilvl w:val="1"/>
          <w:numId w:val="20"/>
        </w:numPr>
        <w:suppressAutoHyphens/>
        <w:spacing w:after="120"/>
        <w:jc w:val="both"/>
      </w:pPr>
      <w:r w:rsidRPr="00516D1C">
        <w:rPr>
          <w:color w:val="000000"/>
        </w:rPr>
        <w:t xml:space="preserve">personai, kura vēlas piedalīties izsolē </w:t>
      </w:r>
      <w:r w:rsidRPr="00516D1C">
        <w:rPr>
          <w:bCs/>
        </w:rPr>
        <w:t>nodrošinājums</w:t>
      </w:r>
      <w:r w:rsidRPr="00516D1C">
        <w:rPr>
          <w:color w:val="000000"/>
        </w:rPr>
        <w:t xml:space="preserve"> 20 (divdesmit) dienu laikā no izsoles sākuma datuma jāpārskaita </w:t>
      </w:r>
      <w:r w:rsidRPr="00516D1C">
        <w:rPr>
          <w:spacing w:val="5"/>
        </w:rPr>
        <w:t>Ādažu novada pašvaldības bankas kontā;</w:t>
      </w:r>
    </w:p>
    <w:p w14:paraId="064F9D4A" w14:textId="77777777" w:rsidR="00B77A65" w:rsidRPr="00E90F6C" w:rsidRDefault="00B77A65" w:rsidP="00B77A65">
      <w:pPr>
        <w:pStyle w:val="Sarakstarindkopa"/>
        <w:numPr>
          <w:ilvl w:val="1"/>
          <w:numId w:val="20"/>
        </w:numPr>
        <w:spacing w:after="120"/>
        <w:jc w:val="both"/>
        <w:rPr>
          <w:bCs/>
        </w:rPr>
      </w:pPr>
      <w:r w:rsidRPr="00E90F6C">
        <w:rPr>
          <w:bCs/>
        </w:rPr>
        <w:t xml:space="preserve">pretendentu reģistrācija notiek no 2024. gada </w:t>
      </w:r>
      <w:r>
        <w:rPr>
          <w:bCs/>
        </w:rPr>
        <w:t>11</w:t>
      </w:r>
      <w:r w:rsidRPr="00E90F6C">
        <w:rPr>
          <w:bCs/>
        </w:rPr>
        <w:t xml:space="preserve">. </w:t>
      </w:r>
      <w:r>
        <w:rPr>
          <w:bCs/>
        </w:rPr>
        <w:t>septembra</w:t>
      </w:r>
      <w:r w:rsidRPr="00E90F6C">
        <w:rPr>
          <w:bCs/>
        </w:rPr>
        <w:t xml:space="preserve"> plkst. 13.00 līdz 2024. gada </w:t>
      </w:r>
      <w:r>
        <w:rPr>
          <w:bCs/>
        </w:rPr>
        <w:t>1</w:t>
      </w:r>
      <w:r w:rsidRPr="00E90F6C">
        <w:rPr>
          <w:bCs/>
        </w:rPr>
        <w:t>. </w:t>
      </w:r>
      <w:r>
        <w:rPr>
          <w:bCs/>
        </w:rPr>
        <w:t>oktobra</w:t>
      </w:r>
      <w:r w:rsidRPr="00E90F6C">
        <w:rPr>
          <w:bCs/>
        </w:rPr>
        <w:t xml:space="preserve"> plkst. 23:59 elektronisko izsoļu vietnē https://izsoles.ta.gov.lv uzturētā izsoļu dalībnieku reģistrā pēc oficiāla paziņojuma par izsoli publicēšanas Latvijas Republikas oficiālajā izdevumā “Latvijas Vēstnesis” tīmekļa vietnē www.vestnesis.lv;</w:t>
      </w:r>
    </w:p>
    <w:p w14:paraId="7C15DE77" w14:textId="3751CECA" w:rsidR="00CA519C" w:rsidRPr="00991941" w:rsidRDefault="00B77A65" w:rsidP="00B77A65">
      <w:pPr>
        <w:pStyle w:val="Sarakstarindkopa"/>
        <w:numPr>
          <w:ilvl w:val="1"/>
          <w:numId w:val="20"/>
        </w:numPr>
        <w:spacing w:after="120"/>
        <w:jc w:val="both"/>
        <w:rPr>
          <w:bCs/>
        </w:rPr>
      </w:pPr>
      <w:r w:rsidRPr="00E90F6C">
        <w:rPr>
          <w:bCs/>
        </w:rPr>
        <w:lastRenderedPageBreak/>
        <w:t xml:space="preserve">izsole sākas elektronisko izsoļu vietnē https://izsoles.ta.gov.lv 2024.gada </w:t>
      </w:r>
      <w:r>
        <w:rPr>
          <w:bCs/>
        </w:rPr>
        <w:t>11</w:t>
      </w:r>
      <w:r w:rsidRPr="00E90F6C">
        <w:rPr>
          <w:bCs/>
        </w:rPr>
        <w:t xml:space="preserve">. </w:t>
      </w:r>
      <w:r>
        <w:rPr>
          <w:bCs/>
        </w:rPr>
        <w:t>septembrī</w:t>
      </w:r>
      <w:r w:rsidRPr="00E90F6C">
        <w:rPr>
          <w:bCs/>
        </w:rPr>
        <w:t xml:space="preserve"> plkst. 13.00 un noslēdzas 2024. gada </w:t>
      </w:r>
      <w:r>
        <w:rPr>
          <w:bCs/>
        </w:rPr>
        <w:t>11</w:t>
      </w:r>
      <w:r w:rsidRPr="00E90F6C">
        <w:rPr>
          <w:bCs/>
        </w:rPr>
        <w:t xml:space="preserve">. </w:t>
      </w:r>
      <w:r>
        <w:rPr>
          <w:bCs/>
        </w:rPr>
        <w:t>oktobrī</w:t>
      </w:r>
      <w:r w:rsidRPr="00E90F6C">
        <w:rPr>
          <w:bCs/>
        </w:rPr>
        <w:t xml:space="preserve"> plkst. 13.00</w:t>
      </w:r>
      <w:r w:rsidR="00CA519C" w:rsidRPr="0040436A">
        <w:rPr>
          <w:bCs/>
        </w:rPr>
        <w:t>.</w:t>
      </w:r>
    </w:p>
    <w:p w14:paraId="2E571925" w14:textId="77777777" w:rsidR="00D6581B" w:rsidRPr="00D6581B" w:rsidRDefault="00D6581B" w:rsidP="00D6581B">
      <w:pPr>
        <w:spacing w:after="120"/>
        <w:jc w:val="both"/>
        <w:rPr>
          <w:bCs/>
        </w:rPr>
      </w:pPr>
    </w:p>
    <w:tbl>
      <w:tblPr>
        <w:tblStyle w:val="Reatabula"/>
        <w:tblW w:w="8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8"/>
        <w:gridCol w:w="2691"/>
        <w:gridCol w:w="2163"/>
      </w:tblGrid>
      <w:tr w:rsidR="00491BD4" w:rsidRPr="00AC6E72" w14:paraId="0C95BC9E" w14:textId="77777777" w:rsidTr="00CD34E7">
        <w:trPr>
          <w:trHeight w:val="284"/>
        </w:trPr>
        <w:tc>
          <w:tcPr>
            <w:tcW w:w="3688" w:type="dxa"/>
            <w:vAlign w:val="bottom"/>
          </w:tcPr>
          <w:p w14:paraId="2384F04E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priekšsēdētājs</w:t>
            </w:r>
          </w:p>
        </w:tc>
        <w:tc>
          <w:tcPr>
            <w:tcW w:w="2691" w:type="dxa"/>
            <w:vAlign w:val="bottom"/>
          </w:tcPr>
          <w:p w14:paraId="3E039C6E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2B94F55D" w14:textId="77777777" w:rsidR="00491BD4" w:rsidRPr="00AC6E72" w:rsidRDefault="00491BD4" w:rsidP="007363A9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Edvīns </w:t>
            </w:r>
            <w:proofErr w:type="spellStart"/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Šēpers</w:t>
            </w:r>
            <w:proofErr w:type="spellEnd"/>
          </w:p>
        </w:tc>
      </w:tr>
      <w:tr w:rsidR="00491BD4" w:rsidRPr="00AC6E72" w14:paraId="77A7C951" w14:textId="77777777" w:rsidTr="00CD34E7">
        <w:trPr>
          <w:trHeight w:val="284"/>
        </w:trPr>
        <w:tc>
          <w:tcPr>
            <w:tcW w:w="3688" w:type="dxa"/>
            <w:vAlign w:val="bottom"/>
          </w:tcPr>
          <w:p w14:paraId="6771A5FB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locekļi</w:t>
            </w:r>
          </w:p>
        </w:tc>
        <w:tc>
          <w:tcPr>
            <w:tcW w:w="2691" w:type="dxa"/>
            <w:vAlign w:val="bottom"/>
          </w:tcPr>
          <w:p w14:paraId="0DF96AF3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34889ACF" w14:textId="0916AE2F" w:rsidR="00826085" w:rsidRPr="00AC6E72" w:rsidRDefault="00534F89" w:rsidP="00534F89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Guna Cielava</w:t>
            </w: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</w:p>
        </w:tc>
      </w:tr>
      <w:tr w:rsidR="0038638C" w:rsidRPr="00AC6E72" w14:paraId="7C8978D1" w14:textId="77777777" w:rsidTr="00CD34E7">
        <w:trPr>
          <w:trHeight w:val="284"/>
        </w:trPr>
        <w:tc>
          <w:tcPr>
            <w:tcW w:w="3688" w:type="dxa"/>
            <w:vAlign w:val="bottom"/>
          </w:tcPr>
          <w:p w14:paraId="1F5BCABC" w14:textId="77777777" w:rsidR="0038638C" w:rsidRPr="00D026CF" w:rsidRDefault="0038638C" w:rsidP="0038638C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  <w:tc>
          <w:tcPr>
            <w:tcW w:w="2691" w:type="dxa"/>
            <w:vAlign w:val="bottom"/>
          </w:tcPr>
          <w:p w14:paraId="1F7D6464" w14:textId="77777777" w:rsidR="0038638C" w:rsidRPr="00D026CF" w:rsidRDefault="0038638C" w:rsidP="0038638C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28811EDB" w14:textId="14416BB9" w:rsidR="0038638C" w:rsidRPr="00D026CF" w:rsidRDefault="0038638C" w:rsidP="0038638C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Volli Kukk</w:t>
            </w:r>
          </w:p>
        </w:tc>
      </w:tr>
      <w:tr w:rsidR="0038638C" w:rsidRPr="00AC6E72" w14:paraId="3BC49C34" w14:textId="77777777" w:rsidTr="00CD34E7">
        <w:trPr>
          <w:trHeight w:val="284"/>
        </w:trPr>
        <w:tc>
          <w:tcPr>
            <w:tcW w:w="3688" w:type="dxa"/>
            <w:vAlign w:val="bottom"/>
          </w:tcPr>
          <w:p w14:paraId="6C56F3EF" w14:textId="77777777" w:rsidR="0038638C" w:rsidRPr="0040436A" w:rsidRDefault="0038638C" w:rsidP="0038638C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  <w:tc>
          <w:tcPr>
            <w:tcW w:w="2691" w:type="dxa"/>
            <w:vAlign w:val="bottom"/>
          </w:tcPr>
          <w:p w14:paraId="5ED8F662" w14:textId="77777777" w:rsidR="0038638C" w:rsidRPr="0040436A" w:rsidRDefault="0038638C" w:rsidP="0038638C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4470F06F" w14:textId="5FAB0B9C" w:rsidR="0038638C" w:rsidRPr="0040436A" w:rsidRDefault="0038638C" w:rsidP="0038638C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</w:tr>
      <w:tr w:rsidR="00491BD4" w:rsidRPr="00AC6E72" w14:paraId="5D36C193" w14:textId="77777777" w:rsidTr="00CD34E7">
        <w:trPr>
          <w:trHeight w:val="284"/>
        </w:trPr>
        <w:tc>
          <w:tcPr>
            <w:tcW w:w="3688" w:type="dxa"/>
            <w:vAlign w:val="bottom"/>
          </w:tcPr>
          <w:p w14:paraId="3A1AD3C7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sekretāre</w:t>
            </w:r>
          </w:p>
        </w:tc>
        <w:tc>
          <w:tcPr>
            <w:tcW w:w="2691" w:type="dxa"/>
            <w:vAlign w:val="bottom"/>
          </w:tcPr>
          <w:p w14:paraId="323B40A0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262B10F8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Linda Naļivaiko</w:t>
            </w:r>
          </w:p>
        </w:tc>
      </w:tr>
    </w:tbl>
    <w:p w14:paraId="3B85C0A5" w14:textId="77777777" w:rsidR="00826085" w:rsidRPr="00AC6E72" w:rsidRDefault="00826085" w:rsidP="00826085">
      <w:pPr>
        <w:jc w:val="center"/>
        <w:rPr>
          <w:rFonts w:eastAsia="Calibri"/>
        </w:rPr>
      </w:pPr>
    </w:p>
    <w:p w14:paraId="4285E2B4" w14:textId="30B10328" w:rsidR="00953245" w:rsidRPr="00AC6E72" w:rsidRDefault="00491BD4" w:rsidP="00851AD5">
      <w:pPr>
        <w:jc w:val="center"/>
      </w:pPr>
      <w:r w:rsidRPr="00AC6E72">
        <w:rPr>
          <w:rFonts w:eastAsia="Calibri"/>
        </w:rPr>
        <w:t>ŠIS DOKUMENTS IR ELEKTRONISKI PARAKSTĪTS AR DROŠU ELEKTRONISKO PARAKSTU UN SATUR LAIKA ZĪMOGU</w:t>
      </w:r>
    </w:p>
    <w:sectPr w:rsidR="00953245" w:rsidRPr="00AC6E72" w:rsidSect="003C6AB4">
      <w:footerReference w:type="default" r:id="rId8"/>
      <w:pgSz w:w="11906" w:h="16838"/>
      <w:pgMar w:top="85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25526" w14:textId="77777777" w:rsidR="00AE64BB" w:rsidRDefault="00AE64BB">
      <w:r>
        <w:separator/>
      </w:r>
    </w:p>
  </w:endnote>
  <w:endnote w:type="continuationSeparator" w:id="0">
    <w:p w14:paraId="0FD9D82C" w14:textId="77777777" w:rsidR="00AE64BB" w:rsidRDefault="00AE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835E5" w14:textId="56538430" w:rsidR="00EB462A" w:rsidRDefault="00ED7140" w:rsidP="00C60C15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1E23D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F7D8D" w14:textId="77777777" w:rsidR="00AE64BB" w:rsidRDefault="00AE64BB">
      <w:r>
        <w:separator/>
      </w:r>
    </w:p>
  </w:footnote>
  <w:footnote w:type="continuationSeparator" w:id="0">
    <w:p w14:paraId="4B101C8E" w14:textId="77777777" w:rsidR="00AE64BB" w:rsidRDefault="00AE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23C9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1FC8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0373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DD30B3"/>
    <w:multiLevelType w:val="hybridMultilevel"/>
    <w:tmpl w:val="73FCF1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29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CB30AF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01FC"/>
    <w:multiLevelType w:val="hybridMultilevel"/>
    <w:tmpl w:val="7FD6D0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4759C"/>
    <w:multiLevelType w:val="hybridMultilevel"/>
    <w:tmpl w:val="8CFE51E6"/>
    <w:lvl w:ilvl="0" w:tplc="A6D82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4AC8B8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F912E050" w:tentative="1">
      <w:start w:val="1"/>
      <w:numFmt w:val="lowerRoman"/>
      <w:lvlText w:val="%3."/>
      <w:lvlJc w:val="right"/>
      <w:pPr>
        <w:ind w:left="1800" w:hanging="180"/>
      </w:pPr>
    </w:lvl>
    <w:lvl w:ilvl="3" w:tplc="F7566330" w:tentative="1">
      <w:start w:val="1"/>
      <w:numFmt w:val="decimal"/>
      <w:lvlText w:val="%4."/>
      <w:lvlJc w:val="left"/>
      <w:pPr>
        <w:ind w:left="2520" w:hanging="360"/>
      </w:pPr>
    </w:lvl>
    <w:lvl w:ilvl="4" w:tplc="934E8CF0" w:tentative="1">
      <w:start w:val="1"/>
      <w:numFmt w:val="lowerLetter"/>
      <w:lvlText w:val="%5."/>
      <w:lvlJc w:val="left"/>
      <w:pPr>
        <w:ind w:left="3240" w:hanging="360"/>
      </w:pPr>
    </w:lvl>
    <w:lvl w:ilvl="5" w:tplc="4794777C" w:tentative="1">
      <w:start w:val="1"/>
      <w:numFmt w:val="lowerRoman"/>
      <w:lvlText w:val="%6."/>
      <w:lvlJc w:val="right"/>
      <w:pPr>
        <w:ind w:left="3960" w:hanging="180"/>
      </w:pPr>
    </w:lvl>
    <w:lvl w:ilvl="6" w:tplc="6F241480" w:tentative="1">
      <w:start w:val="1"/>
      <w:numFmt w:val="decimal"/>
      <w:lvlText w:val="%7."/>
      <w:lvlJc w:val="left"/>
      <w:pPr>
        <w:ind w:left="4680" w:hanging="360"/>
      </w:pPr>
    </w:lvl>
    <w:lvl w:ilvl="7" w:tplc="D69A8A26" w:tentative="1">
      <w:start w:val="1"/>
      <w:numFmt w:val="lowerLetter"/>
      <w:lvlText w:val="%8."/>
      <w:lvlJc w:val="left"/>
      <w:pPr>
        <w:ind w:left="5400" w:hanging="360"/>
      </w:pPr>
    </w:lvl>
    <w:lvl w:ilvl="8" w:tplc="6BC4D6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0A064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7F004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8618D2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27DB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7644DB"/>
    <w:multiLevelType w:val="hybridMultilevel"/>
    <w:tmpl w:val="43EAC1F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37161"/>
    <w:multiLevelType w:val="multilevel"/>
    <w:tmpl w:val="4874D9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147E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8D14BA"/>
    <w:multiLevelType w:val="hybridMultilevel"/>
    <w:tmpl w:val="D60AF8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C4332"/>
    <w:multiLevelType w:val="hybridMultilevel"/>
    <w:tmpl w:val="73FCF1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C71D0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ED7"/>
    <w:multiLevelType w:val="hybridMultilevel"/>
    <w:tmpl w:val="73062CF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308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3D25F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5439C1"/>
    <w:multiLevelType w:val="hybridMultilevel"/>
    <w:tmpl w:val="AC222C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619BB"/>
    <w:multiLevelType w:val="multilevel"/>
    <w:tmpl w:val="4874D9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686A6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EA399D"/>
    <w:multiLevelType w:val="multilevel"/>
    <w:tmpl w:val="4874D9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6BD0BC7"/>
    <w:multiLevelType w:val="hybridMultilevel"/>
    <w:tmpl w:val="73FCF1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056C8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77438"/>
    <w:multiLevelType w:val="multilevel"/>
    <w:tmpl w:val="67AE1ED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FBF0CBD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469529">
    <w:abstractNumId w:val="2"/>
  </w:num>
  <w:num w:numId="2" w16cid:durableId="1927107318">
    <w:abstractNumId w:val="19"/>
  </w:num>
  <w:num w:numId="3" w16cid:durableId="1032146864">
    <w:abstractNumId w:val="1"/>
  </w:num>
  <w:num w:numId="4" w16cid:durableId="1472475707">
    <w:abstractNumId w:val="17"/>
  </w:num>
  <w:num w:numId="5" w16cid:durableId="1455634213">
    <w:abstractNumId w:val="9"/>
  </w:num>
  <w:num w:numId="6" w16cid:durableId="1070349302">
    <w:abstractNumId w:val="10"/>
  </w:num>
  <w:num w:numId="7" w16cid:durableId="1406224097">
    <w:abstractNumId w:val="22"/>
  </w:num>
  <w:num w:numId="8" w16cid:durableId="778766826">
    <w:abstractNumId w:val="0"/>
  </w:num>
  <w:num w:numId="9" w16cid:durableId="336931384">
    <w:abstractNumId w:val="14"/>
  </w:num>
  <w:num w:numId="10" w16cid:durableId="758598189">
    <w:abstractNumId w:val="5"/>
  </w:num>
  <w:num w:numId="11" w16cid:durableId="1237469434">
    <w:abstractNumId w:val="8"/>
  </w:num>
  <w:num w:numId="12" w16cid:durableId="1420757768">
    <w:abstractNumId w:val="28"/>
  </w:num>
  <w:num w:numId="13" w16cid:durableId="203450041">
    <w:abstractNumId w:val="4"/>
  </w:num>
  <w:num w:numId="14" w16cid:durableId="677079529">
    <w:abstractNumId w:val="3"/>
  </w:num>
  <w:num w:numId="15" w16cid:durableId="1416592048">
    <w:abstractNumId w:val="23"/>
  </w:num>
  <w:num w:numId="16" w16cid:durableId="1889027181">
    <w:abstractNumId w:val="11"/>
  </w:num>
  <w:num w:numId="17" w16cid:durableId="1202128031">
    <w:abstractNumId w:val="20"/>
  </w:num>
  <w:num w:numId="18" w16cid:durableId="1706175693">
    <w:abstractNumId w:val="27"/>
  </w:num>
  <w:num w:numId="19" w16cid:durableId="750546565">
    <w:abstractNumId w:val="26"/>
  </w:num>
  <w:num w:numId="20" w16cid:durableId="236598679">
    <w:abstractNumId w:val="24"/>
  </w:num>
  <w:num w:numId="21" w16cid:durableId="1252279711">
    <w:abstractNumId w:val="25"/>
  </w:num>
  <w:num w:numId="22" w16cid:durableId="1315186824">
    <w:abstractNumId w:val="16"/>
  </w:num>
  <w:num w:numId="23" w16cid:durableId="2104960269">
    <w:abstractNumId w:val="18"/>
  </w:num>
  <w:num w:numId="24" w16cid:durableId="561067499">
    <w:abstractNumId w:val="6"/>
  </w:num>
  <w:num w:numId="25" w16cid:durableId="1958756339">
    <w:abstractNumId w:val="15"/>
  </w:num>
  <w:num w:numId="26" w16cid:durableId="2122265114">
    <w:abstractNumId w:val="21"/>
  </w:num>
  <w:num w:numId="27" w16cid:durableId="783882686">
    <w:abstractNumId w:val="7"/>
  </w:num>
  <w:num w:numId="28" w16cid:durableId="182062830">
    <w:abstractNumId w:val="12"/>
  </w:num>
  <w:num w:numId="29" w16cid:durableId="1457917599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19"/>
    <w:rsid w:val="00005C21"/>
    <w:rsid w:val="000073FB"/>
    <w:rsid w:val="000077D8"/>
    <w:rsid w:val="000111AD"/>
    <w:rsid w:val="000257C5"/>
    <w:rsid w:val="00031BB6"/>
    <w:rsid w:val="0003255B"/>
    <w:rsid w:val="000335EB"/>
    <w:rsid w:val="00037D99"/>
    <w:rsid w:val="00043E0B"/>
    <w:rsid w:val="000542B3"/>
    <w:rsid w:val="000752E4"/>
    <w:rsid w:val="00083400"/>
    <w:rsid w:val="00084C57"/>
    <w:rsid w:val="00085184"/>
    <w:rsid w:val="000938A8"/>
    <w:rsid w:val="000B03B0"/>
    <w:rsid w:val="000B2050"/>
    <w:rsid w:val="000B42AD"/>
    <w:rsid w:val="000C04A8"/>
    <w:rsid w:val="000C5B8E"/>
    <w:rsid w:val="000C7DD2"/>
    <w:rsid w:val="000D289C"/>
    <w:rsid w:val="000D4F5B"/>
    <w:rsid w:val="000E474B"/>
    <w:rsid w:val="000F0F4F"/>
    <w:rsid w:val="00100137"/>
    <w:rsid w:val="0010164D"/>
    <w:rsid w:val="001033AA"/>
    <w:rsid w:val="00106251"/>
    <w:rsid w:val="00110D4F"/>
    <w:rsid w:val="00116D2F"/>
    <w:rsid w:val="0011766A"/>
    <w:rsid w:val="0011775B"/>
    <w:rsid w:val="00117839"/>
    <w:rsid w:val="00127C59"/>
    <w:rsid w:val="00130207"/>
    <w:rsid w:val="00133B80"/>
    <w:rsid w:val="00137F7A"/>
    <w:rsid w:val="00143B70"/>
    <w:rsid w:val="001454BF"/>
    <w:rsid w:val="00151BA5"/>
    <w:rsid w:val="0015335E"/>
    <w:rsid w:val="00153C18"/>
    <w:rsid w:val="001568DC"/>
    <w:rsid w:val="0016132E"/>
    <w:rsid w:val="00165FEF"/>
    <w:rsid w:val="0016678D"/>
    <w:rsid w:val="00167656"/>
    <w:rsid w:val="00170D73"/>
    <w:rsid w:val="00173747"/>
    <w:rsid w:val="00175839"/>
    <w:rsid w:val="00175B32"/>
    <w:rsid w:val="0017640E"/>
    <w:rsid w:val="001900F3"/>
    <w:rsid w:val="001921A0"/>
    <w:rsid w:val="001A250F"/>
    <w:rsid w:val="001A252D"/>
    <w:rsid w:val="001A55D3"/>
    <w:rsid w:val="001B5C9B"/>
    <w:rsid w:val="001C008C"/>
    <w:rsid w:val="001C3237"/>
    <w:rsid w:val="001C71BB"/>
    <w:rsid w:val="001D2EE4"/>
    <w:rsid w:val="001D5BDA"/>
    <w:rsid w:val="001E23D9"/>
    <w:rsid w:val="001E3791"/>
    <w:rsid w:val="001E41A0"/>
    <w:rsid w:val="001F0D55"/>
    <w:rsid w:val="0020714A"/>
    <w:rsid w:val="00210E6C"/>
    <w:rsid w:val="0021238B"/>
    <w:rsid w:val="002175A6"/>
    <w:rsid w:val="00217BAC"/>
    <w:rsid w:val="00225DF6"/>
    <w:rsid w:val="0023128F"/>
    <w:rsid w:val="00232DCA"/>
    <w:rsid w:val="00234023"/>
    <w:rsid w:val="002347F1"/>
    <w:rsid w:val="00236869"/>
    <w:rsid w:val="00236D76"/>
    <w:rsid w:val="002422BD"/>
    <w:rsid w:val="00242F72"/>
    <w:rsid w:val="00243FA2"/>
    <w:rsid w:val="0025231C"/>
    <w:rsid w:val="00255059"/>
    <w:rsid w:val="00264932"/>
    <w:rsid w:val="002669BA"/>
    <w:rsid w:val="002717EE"/>
    <w:rsid w:val="0027604A"/>
    <w:rsid w:val="0028072A"/>
    <w:rsid w:val="00281A8D"/>
    <w:rsid w:val="00285F74"/>
    <w:rsid w:val="00291FAC"/>
    <w:rsid w:val="002A15E7"/>
    <w:rsid w:val="002A1D6F"/>
    <w:rsid w:val="002A4C93"/>
    <w:rsid w:val="002A505D"/>
    <w:rsid w:val="002A5E20"/>
    <w:rsid w:val="002B03C4"/>
    <w:rsid w:val="002B262E"/>
    <w:rsid w:val="002B3D8C"/>
    <w:rsid w:val="002B6040"/>
    <w:rsid w:val="002C1CF1"/>
    <w:rsid w:val="002C30B6"/>
    <w:rsid w:val="002C371E"/>
    <w:rsid w:val="002C79FA"/>
    <w:rsid w:val="002D2F74"/>
    <w:rsid w:val="002D6D64"/>
    <w:rsid w:val="002D73BF"/>
    <w:rsid w:val="002E0F71"/>
    <w:rsid w:val="002E6093"/>
    <w:rsid w:val="002F57B6"/>
    <w:rsid w:val="00300680"/>
    <w:rsid w:val="003006FB"/>
    <w:rsid w:val="00305CCE"/>
    <w:rsid w:val="003075F6"/>
    <w:rsid w:val="00316664"/>
    <w:rsid w:val="00316DCB"/>
    <w:rsid w:val="00324556"/>
    <w:rsid w:val="0032497D"/>
    <w:rsid w:val="00326572"/>
    <w:rsid w:val="00326AED"/>
    <w:rsid w:val="00334DCD"/>
    <w:rsid w:val="00342451"/>
    <w:rsid w:val="0034275B"/>
    <w:rsid w:val="003433F6"/>
    <w:rsid w:val="00344DA8"/>
    <w:rsid w:val="00357A28"/>
    <w:rsid w:val="00360CB7"/>
    <w:rsid w:val="00362E97"/>
    <w:rsid w:val="00363BEF"/>
    <w:rsid w:val="00364E73"/>
    <w:rsid w:val="003654BD"/>
    <w:rsid w:val="00365A53"/>
    <w:rsid w:val="00365A6C"/>
    <w:rsid w:val="00365D2D"/>
    <w:rsid w:val="00367E81"/>
    <w:rsid w:val="00382B9B"/>
    <w:rsid w:val="00385DB0"/>
    <w:rsid w:val="0038638C"/>
    <w:rsid w:val="003873C2"/>
    <w:rsid w:val="003A3EC1"/>
    <w:rsid w:val="003A5F2D"/>
    <w:rsid w:val="003A75BD"/>
    <w:rsid w:val="003B03A0"/>
    <w:rsid w:val="003B2977"/>
    <w:rsid w:val="003B700A"/>
    <w:rsid w:val="003C3693"/>
    <w:rsid w:val="003C6AB4"/>
    <w:rsid w:val="003D3C39"/>
    <w:rsid w:val="003E09BB"/>
    <w:rsid w:val="003F5F87"/>
    <w:rsid w:val="00401A80"/>
    <w:rsid w:val="00401CEA"/>
    <w:rsid w:val="0040436A"/>
    <w:rsid w:val="004120B3"/>
    <w:rsid w:val="00412DC6"/>
    <w:rsid w:val="0041729F"/>
    <w:rsid w:val="00421481"/>
    <w:rsid w:val="00425D71"/>
    <w:rsid w:val="00432959"/>
    <w:rsid w:val="004455C0"/>
    <w:rsid w:val="0044788C"/>
    <w:rsid w:val="00452668"/>
    <w:rsid w:val="00460ED0"/>
    <w:rsid w:val="00461E49"/>
    <w:rsid w:val="00483B90"/>
    <w:rsid w:val="00484BE1"/>
    <w:rsid w:val="00484F51"/>
    <w:rsid w:val="00486696"/>
    <w:rsid w:val="0048770E"/>
    <w:rsid w:val="00491BD4"/>
    <w:rsid w:val="00493BBC"/>
    <w:rsid w:val="004A1F48"/>
    <w:rsid w:val="004A4FBC"/>
    <w:rsid w:val="004A52BC"/>
    <w:rsid w:val="004B279C"/>
    <w:rsid w:val="004B537A"/>
    <w:rsid w:val="004B68D0"/>
    <w:rsid w:val="004C07E4"/>
    <w:rsid w:val="004C18B5"/>
    <w:rsid w:val="004C3D57"/>
    <w:rsid w:val="004C578E"/>
    <w:rsid w:val="004C648E"/>
    <w:rsid w:val="004C65D9"/>
    <w:rsid w:val="004C7288"/>
    <w:rsid w:val="004D1086"/>
    <w:rsid w:val="004D56B9"/>
    <w:rsid w:val="004E3DB5"/>
    <w:rsid w:val="004E7F67"/>
    <w:rsid w:val="004F0E23"/>
    <w:rsid w:val="004F57EA"/>
    <w:rsid w:val="00500104"/>
    <w:rsid w:val="00500B48"/>
    <w:rsid w:val="0050227F"/>
    <w:rsid w:val="00513AF7"/>
    <w:rsid w:val="00516AFE"/>
    <w:rsid w:val="00516D1C"/>
    <w:rsid w:val="0051700C"/>
    <w:rsid w:val="00521732"/>
    <w:rsid w:val="0052282C"/>
    <w:rsid w:val="00527BA4"/>
    <w:rsid w:val="00533CF8"/>
    <w:rsid w:val="00534F89"/>
    <w:rsid w:val="00540B57"/>
    <w:rsid w:val="0055057F"/>
    <w:rsid w:val="005522BB"/>
    <w:rsid w:val="00556CF8"/>
    <w:rsid w:val="00561DFD"/>
    <w:rsid w:val="0056227B"/>
    <w:rsid w:val="00570A5B"/>
    <w:rsid w:val="0058472E"/>
    <w:rsid w:val="00585E08"/>
    <w:rsid w:val="00592EC4"/>
    <w:rsid w:val="00593487"/>
    <w:rsid w:val="005937CF"/>
    <w:rsid w:val="005A3F53"/>
    <w:rsid w:val="005A7EDE"/>
    <w:rsid w:val="005B13B6"/>
    <w:rsid w:val="005B5496"/>
    <w:rsid w:val="005C4435"/>
    <w:rsid w:val="005C45B6"/>
    <w:rsid w:val="005C7197"/>
    <w:rsid w:val="005D6589"/>
    <w:rsid w:val="005F53DF"/>
    <w:rsid w:val="005F7769"/>
    <w:rsid w:val="00604B8D"/>
    <w:rsid w:val="006101B6"/>
    <w:rsid w:val="00624C2F"/>
    <w:rsid w:val="00625874"/>
    <w:rsid w:val="006308AF"/>
    <w:rsid w:val="00635AAD"/>
    <w:rsid w:val="00642808"/>
    <w:rsid w:val="00660E0F"/>
    <w:rsid w:val="006616D1"/>
    <w:rsid w:val="00673D5D"/>
    <w:rsid w:val="006757C6"/>
    <w:rsid w:val="006760E8"/>
    <w:rsid w:val="00677370"/>
    <w:rsid w:val="0068367D"/>
    <w:rsid w:val="00683ED0"/>
    <w:rsid w:val="00685A49"/>
    <w:rsid w:val="00687791"/>
    <w:rsid w:val="00687FC8"/>
    <w:rsid w:val="00695AF6"/>
    <w:rsid w:val="006A518E"/>
    <w:rsid w:val="006A5FBC"/>
    <w:rsid w:val="006A6CF4"/>
    <w:rsid w:val="006B278B"/>
    <w:rsid w:val="006B4AA5"/>
    <w:rsid w:val="006C7A21"/>
    <w:rsid w:val="006E1794"/>
    <w:rsid w:val="006F130D"/>
    <w:rsid w:val="006F1947"/>
    <w:rsid w:val="007134EE"/>
    <w:rsid w:val="00721381"/>
    <w:rsid w:val="0072373A"/>
    <w:rsid w:val="00725148"/>
    <w:rsid w:val="00725BEB"/>
    <w:rsid w:val="007363A9"/>
    <w:rsid w:val="0074149D"/>
    <w:rsid w:val="00741534"/>
    <w:rsid w:val="00757934"/>
    <w:rsid w:val="00757FDE"/>
    <w:rsid w:val="00763A59"/>
    <w:rsid w:val="0076430F"/>
    <w:rsid w:val="00785804"/>
    <w:rsid w:val="00797F06"/>
    <w:rsid w:val="007A1180"/>
    <w:rsid w:val="007A133C"/>
    <w:rsid w:val="007A1EA3"/>
    <w:rsid w:val="007A2D97"/>
    <w:rsid w:val="007A3FD4"/>
    <w:rsid w:val="007A5507"/>
    <w:rsid w:val="007A777E"/>
    <w:rsid w:val="007B37E8"/>
    <w:rsid w:val="007C2CE0"/>
    <w:rsid w:val="007C5594"/>
    <w:rsid w:val="007E1922"/>
    <w:rsid w:val="007E71CF"/>
    <w:rsid w:val="007E7C0F"/>
    <w:rsid w:val="007F4E1F"/>
    <w:rsid w:val="008012B2"/>
    <w:rsid w:val="00803437"/>
    <w:rsid w:val="008046F9"/>
    <w:rsid w:val="008061F9"/>
    <w:rsid w:val="00812227"/>
    <w:rsid w:val="00822CF8"/>
    <w:rsid w:val="0082404D"/>
    <w:rsid w:val="00826085"/>
    <w:rsid w:val="00827997"/>
    <w:rsid w:val="00830E16"/>
    <w:rsid w:val="00836621"/>
    <w:rsid w:val="00840C31"/>
    <w:rsid w:val="008426A4"/>
    <w:rsid w:val="00844524"/>
    <w:rsid w:val="00851AD5"/>
    <w:rsid w:val="0085370D"/>
    <w:rsid w:val="0085491C"/>
    <w:rsid w:val="00862790"/>
    <w:rsid w:val="00865192"/>
    <w:rsid w:val="00867357"/>
    <w:rsid w:val="00873DB0"/>
    <w:rsid w:val="0088286D"/>
    <w:rsid w:val="008851C1"/>
    <w:rsid w:val="00885FDE"/>
    <w:rsid w:val="00892F94"/>
    <w:rsid w:val="00896038"/>
    <w:rsid w:val="00896853"/>
    <w:rsid w:val="008A1821"/>
    <w:rsid w:val="008A2530"/>
    <w:rsid w:val="008A2630"/>
    <w:rsid w:val="008A3018"/>
    <w:rsid w:val="008B6756"/>
    <w:rsid w:val="008B72CC"/>
    <w:rsid w:val="008C249F"/>
    <w:rsid w:val="008C3804"/>
    <w:rsid w:val="008D594C"/>
    <w:rsid w:val="008E16C4"/>
    <w:rsid w:val="008F3388"/>
    <w:rsid w:val="008F4D2C"/>
    <w:rsid w:val="008F6B24"/>
    <w:rsid w:val="008F7ECE"/>
    <w:rsid w:val="00905835"/>
    <w:rsid w:val="00907965"/>
    <w:rsid w:val="00907B04"/>
    <w:rsid w:val="00915552"/>
    <w:rsid w:val="009163E1"/>
    <w:rsid w:val="00926D1B"/>
    <w:rsid w:val="009374DC"/>
    <w:rsid w:val="009405F7"/>
    <w:rsid w:val="00940DDA"/>
    <w:rsid w:val="0094109E"/>
    <w:rsid w:val="009428EB"/>
    <w:rsid w:val="00942C4D"/>
    <w:rsid w:val="00942FEB"/>
    <w:rsid w:val="00944473"/>
    <w:rsid w:val="0094464F"/>
    <w:rsid w:val="0095049F"/>
    <w:rsid w:val="00952655"/>
    <w:rsid w:val="00953245"/>
    <w:rsid w:val="00960581"/>
    <w:rsid w:val="00964062"/>
    <w:rsid w:val="009650A9"/>
    <w:rsid w:val="00966FFA"/>
    <w:rsid w:val="00973626"/>
    <w:rsid w:val="00982707"/>
    <w:rsid w:val="00991941"/>
    <w:rsid w:val="00996878"/>
    <w:rsid w:val="009A4D52"/>
    <w:rsid w:val="009A58F4"/>
    <w:rsid w:val="009B1867"/>
    <w:rsid w:val="009B63B5"/>
    <w:rsid w:val="009C2640"/>
    <w:rsid w:val="009C38CD"/>
    <w:rsid w:val="009E02DC"/>
    <w:rsid w:val="009E085A"/>
    <w:rsid w:val="009E5301"/>
    <w:rsid w:val="009E7F18"/>
    <w:rsid w:val="009F2603"/>
    <w:rsid w:val="009F3751"/>
    <w:rsid w:val="009F53BF"/>
    <w:rsid w:val="00A04F97"/>
    <w:rsid w:val="00A06B31"/>
    <w:rsid w:val="00A143A5"/>
    <w:rsid w:val="00A156BD"/>
    <w:rsid w:val="00A17514"/>
    <w:rsid w:val="00A246B8"/>
    <w:rsid w:val="00A24F7C"/>
    <w:rsid w:val="00A334F0"/>
    <w:rsid w:val="00A353ED"/>
    <w:rsid w:val="00A5044C"/>
    <w:rsid w:val="00A66A43"/>
    <w:rsid w:val="00A73A74"/>
    <w:rsid w:val="00A77A36"/>
    <w:rsid w:val="00A8658A"/>
    <w:rsid w:val="00A91995"/>
    <w:rsid w:val="00A92662"/>
    <w:rsid w:val="00AA03DE"/>
    <w:rsid w:val="00AA4619"/>
    <w:rsid w:val="00AC6E72"/>
    <w:rsid w:val="00AD3479"/>
    <w:rsid w:val="00AD3AFC"/>
    <w:rsid w:val="00AE1FDD"/>
    <w:rsid w:val="00AE64BB"/>
    <w:rsid w:val="00AF1EC4"/>
    <w:rsid w:val="00B10F2A"/>
    <w:rsid w:val="00B1177F"/>
    <w:rsid w:val="00B1651E"/>
    <w:rsid w:val="00B179A5"/>
    <w:rsid w:val="00B22146"/>
    <w:rsid w:val="00B24992"/>
    <w:rsid w:val="00B2589A"/>
    <w:rsid w:val="00B30919"/>
    <w:rsid w:val="00B33404"/>
    <w:rsid w:val="00B34265"/>
    <w:rsid w:val="00B374C6"/>
    <w:rsid w:val="00B37DA7"/>
    <w:rsid w:val="00B4045E"/>
    <w:rsid w:val="00B40481"/>
    <w:rsid w:val="00B459C1"/>
    <w:rsid w:val="00B46D84"/>
    <w:rsid w:val="00B52B34"/>
    <w:rsid w:val="00B54714"/>
    <w:rsid w:val="00B54EE7"/>
    <w:rsid w:val="00B6038B"/>
    <w:rsid w:val="00B63240"/>
    <w:rsid w:val="00B649B4"/>
    <w:rsid w:val="00B70FEB"/>
    <w:rsid w:val="00B72B8C"/>
    <w:rsid w:val="00B77A65"/>
    <w:rsid w:val="00B8038D"/>
    <w:rsid w:val="00B83095"/>
    <w:rsid w:val="00B92650"/>
    <w:rsid w:val="00B967CE"/>
    <w:rsid w:val="00BA067E"/>
    <w:rsid w:val="00BA35F3"/>
    <w:rsid w:val="00BA5601"/>
    <w:rsid w:val="00BB0A46"/>
    <w:rsid w:val="00BB7401"/>
    <w:rsid w:val="00BB7CD8"/>
    <w:rsid w:val="00BC0FC7"/>
    <w:rsid w:val="00BC5B1F"/>
    <w:rsid w:val="00BC76CF"/>
    <w:rsid w:val="00BD31AA"/>
    <w:rsid w:val="00BD58A2"/>
    <w:rsid w:val="00BE3DDF"/>
    <w:rsid w:val="00BF1399"/>
    <w:rsid w:val="00BF171C"/>
    <w:rsid w:val="00BF6A89"/>
    <w:rsid w:val="00BF7246"/>
    <w:rsid w:val="00BF78DB"/>
    <w:rsid w:val="00BF7A81"/>
    <w:rsid w:val="00BF7F4D"/>
    <w:rsid w:val="00C03CF7"/>
    <w:rsid w:val="00C05406"/>
    <w:rsid w:val="00C21465"/>
    <w:rsid w:val="00C2484D"/>
    <w:rsid w:val="00C31DF9"/>
    <w:rsid w:val="00C41F63"/>
    <w:rsid w:val="00C43CEB"/>
    <w:rsid w:val="00C47F2A"/>
    <w:rsid w:val="00C508D6"/>
    <w:rsid w:val="00C5158A"/>
    <w:rsid w:val="00C56DE2"/>
    <w:rsid w:val="00C6486F"/>
    <w:rsid w:val="00C65E3A"/>
    <w:rsid w:val="00C73C14"/>
    <w:rsid w:val="00C7495E"/>
    <w:rsid w:val="00C80637"/>
    <w:rsid w:val="00C83157"/>
    <w:rsid w:val="00C8673D"/>
    <w:rsid w:val="00C90C0F"/>
    <w:rsid w:val="00C93A85"/>
    <w:rsid w:val="00CA519C"/>
    <w:rsid w:val="00CB11DE"/>
    <w:rsid w:val="00CC04B1"/>
    <w:rsid w:val="00CC0A28"/>
    <w:rsid w:val="00CC1E6F"/>
    <w:rsid w:val="00CC4E58"/>
    <w:rsid w:val="00CC6C12"/>
    <w:rsid w:val="00CD0519"/>
    <w:rsid w:val="00CD062A"/>
    <w:rsid w:val="00CD25EA"/>
    <w:rsid w:val="00CD34E7"/>
    <w:rsid w:val="00CD5A2F"/>
    <w:rsid w:val="00CD6A69"/>
    <w:rsid w:val="00CF3F46"/>
    <w:rsid w:val="00CF70AC"/>
    <w:rsid w:val="00D026CF"/>
    <w:rsid w:val="00D10D34"/>
    <w:rsid w:val="00D11AD8"/>
    <w:rsid w:val="00D13FD3"/>
    <w:rsid w:val="00D148FD"/>
    <w:rsid w:val="00D174EC"/>
    <w:rsid w:val="00D204A7"/>
    <w:rsid w:val="00D20FF5"/>
    <w:rsid w:val="00D23426"/>
    <w:rsid w:val="00D243BE"/>
    <w:rsid w:val="00D27BEC"/>
    <w:rsid w:val="00D371CD"/>
    <w:rsid w:val="00D409AD"/>
    <w:rsid w:val="00D43BB5"/>
    <w:rsid w:val="00D542AB"/>
    <w:rsid w:val="00D56A97"/>
    <w:rsid w:val="00D57FCC"/>
    <w:rsid w:val="00D617C7"/>
    <w:rsid w:val="00D638E2"/>
    <w:rsid w:val="00D65276"/>
    <w:rsid w:val="00D6581B"/>
    <w:rsid w:val="00D811E7"/>
    <w:rsid w:val="00D86950"/>
    <w:rsid w:val="00D87C78"/>
    <w:rsid w:val="00D965CE"/>
    <w:rsid w:val="00DA1513"/>
    <w:rsid w:val="00DA1D05"/>
    <w:rsid w:val="00DA3BF1"/>
    <w:rsid w:val="00DA6563"/>
    <w:rsid w:val="00DA6B65"/>
    <w:rsid w:val="00DB2BB2"/>
    <w:rsid w:val="00DB4294"/>
    <w:rsid w:val="00DC1B5B"/>
    <w:rsid w:val="00DD18C1"/>
    <w:rsid w:val="00DD4195"/>
    <w:rsid w:val="00DD671D"/>
    <w:rsid w:val="00DE14CB"/>
    <w:rsid w:val="00DE67CC"/>
    <w:rsid w:val="00E03C74"/>
    <w:rsid w:val="00E235B9"/>
    <w:rsid w:val="00E46665"/>
    <w:rsid w:val="00E530A6"/>
    <w:rsid w:val="00E53BCC"/>
    <w:rsid w:val="00E54C06"/>
    <w:rsid w:val="00E55502"/>
    <w:rsid w:val="00E56BEF"/>
    <w:rsid w:val="00E64FC1"/>
    <w:rsid w:val="00E67DA3"/>
    <w:rsid w:val="00E76C40"/>
    <w:rsid w:val="00E80294"/>
    <w:rsid w:val="00E8129E"/>
    <w:rsid w:val="00E835AF"/>
    <w:rsid w:val="00E845F6"/>
    <w:rsid w:val="00E90F6C"/>
    <w:rsid w:val="00E92BC6"/>
    <w:rsid w:val="00E933BD"/>
    <w:rsid w:val="00E9380E"/>
    <w:rsid w:val="00E94A74"/>
    <w:rsid w:val="00E95C54"/>
    <w:rsid w:val="00EA79C9"/>
    <w:rsid w:val="00EB0368"/>
    <w:rsid w:val="00EB30E8"/>
    <w:rsid w:val="00EB31F0"/>
    <w:rsid w:val="00EB462A"/>
    <w:rsid w:val="00EC2789"/>
    <w:rsid w:val="00EC5C16"/>
    <w:rsid w:val="00EC6932"/>
    <w:rsid w:val="00ED3825"/>
    <w:rsid w:val="00ED4066"/>
    <w:rsid w:val="00ED65D8"/>
    <w:rsid w:val="00ED7140"/>
    <w:rsid w:val="00ED7DA6"/>
    <w:rsid w:val="00EE2F20"/>
    <w:rsid w:val="00EF365A"/>
    <w:rsid w:val="00EF3780"/>
    <w:rsid w:val="00EF6FF5"/>
    <w:rsid w:val="00F04E8F"/>
    <w:rsid w:val="00F14383"/>
    <w:rsid w:val="00F14EB1"/>
    <w:rsid w:val="00F15C03"/>
    <w:rsid w:val="00F42270"/>
    <w:rsid w:val="00F430F6"/>
    <w:rsid w:val="00F449A8"/>
    <w:rsid w:val="00F51A9D"/>
    <w:rsid w:val="00F55319"/>
    <w:rsid w:val="00F556A6"/>
    <w:rsid w:val="00F573D4"/>
    <w:rsid w:val="00F60DD5"/>
    <w:rsid w:val="00F624DE"/>
    <w:rsid w:val="00F64609"/>
    <w:rsid w:val="00F71155"/>
    <w:rsid w:val="00F76841"/>
    <w:rsid w:val="00F803AE"/>
    <w:rsid w:val="00F84F2F"/>
    <w:rsid w:val="00F96F7F"/>
    <w:rsid w:val="00FA127B"/>
    <w:rsid w:val="00FA14BC"/>
    <w:rsid w:val="00FA4E48"/>
    <w:rsid w:val="00FA5733"/>
    <w:rsid w:val="00FA6515"/>
    <w:rsid w:val="00FA6E63"/>
    <w:rsid w:val="00FB14AC"/>
    <w:rsid w:val="00FB47CC"/>
    <w:rsid w:val="00FC2B35"/>
    <w:rsid w:val="00FC39CA"/>
    <w:rsid w:val="00FD5AB0"/>
    <w:rsid w:val="00FE64C2"/>
    <w:rsid w:val="00FF0E82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34197"/>
  <w15:chartTrackingRefBased/>
  <w15:docId w15:val="{83DEA424-5929-454D-BC74-43657FC2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5319"/>
    <w:pPr>
      <w:spacing w:after="0"/>
      <w:jc w:val="left"/>
    </w:pPr>
    <w:rPr>
      <w:rFonts w:eastAsia="Times New Roman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F55319"/>
    <w:pPr>
      <w:keepNext/>
      <w:jc w:val="both"/>
      <w:outlineLvl w:val="1"/>
    </w:pPr>
    <w:rPr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rsid w:val="00F55319"/>
    <w:rPr>
      <w:rFonts w:eastAsia="Times New Roman"/>
      <w:sz w:val="28"/>
    </w:rPr>
  </w:style>
  <w:style w:type="character" w:styleId="Hipersaite">
    <w:name w:val="Hyperlink"/>
    <w:uiPriority w:val="99"/>
    <w:unhideWhenUsed/>
    <w:rsid w:val="00F55319"/>
    <w:rPr>
      <w:strike w:val="0"/>
      <w:dstrike w:val="0"/>
      <w:color w:val="314C74"/>
      <w:u w:val="none"/>
      <w:effect w:val="none"/>
    </w:rPr>
  </w:style>
  <w:style w:type="paragraph" w:styleId="Kjene">
    <w:name w:val="footer"/>
    <w:basedOn w:val="Parasts"/>
    <w:link w:val="KjeneRakstz"/>
    <w:unhideWhenUsed/>
    <w:rsid w:val="00F55319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rsid w:val="00F55319"/>
    <w:rPr>
      <w:rFonts w:eastAsia="Times New Roman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F55319"/>
    <w:pPr>
      <w:ind w:left="720"/>
    </w:p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F55319"/>
    <w:rPr>
      <w:rFonts w:eastAsia="Times New Roman"/>
    </w:rPr>
  </w:style>
  <w:style w:type="paragraph" w:styleId="Bezatstarpm">
    <w:name w:val="No Spacing"/>
    <w:uiPriority w:val="1"/>
    <w:qFormat/>
    <w:rsid w:val="00FA127B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E933BD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table" w:styleId="Reatabula">
    <w:name w:val="Table Grid"/>
    <w:basedOn w:val="Parastatabula"/>
    <w:uiPriority w:val="39"/>
    <w:rsid w:val="00491BD4"/>
    <w:pPr>
      <w:spacing w:after="0"/>
      <w:jc w:val="left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6201</Words>
  <Characters>3536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Linda Naļivaiko</cp:lastModifiedBy>
  <cp:revision>17</cp:revision>
  <cp:lastPrinted>2022-05-07T15:51:00Z</cp:lastPrinted>
  <dcterms:created xsi:type="dcterms:W3CDTF">2024-09-04T11:45:00Z</dcterms:created>
  <dcterms:modified xsi:type="dcterms:W3CDTF">2024-09-04T12:11:00Z</dcterms:modified>
</cp:coreProperties>
</file>