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1BD0B935" w:rsidR="004D516C" w:rsidRDefault="00DF3CA4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C9F12" w14:textId="77777777" w:rsidR="002B2042" w:rsidRPr="002B2042" w:rsidRDefault="00DF3CA4" w:rsidP="002B2042">
      <w:pPr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B2042">
        <w:rPr>
          <w:rFonts w:ascii="Times New Roman" w:eastAsia="Calibri" w:hAnsi="Times New Roman" w:cs="Times New Roman"/>
          <w:sz w:val="23"/>
          <w:szCs w:val="23"/>
        </w:rPr>
        <w:t>APSTIPRINĀTI</w:t>
      </w:r>
    </w:p>
    <w:p w14:paraId="4ADF36E0" w14:textId="77777777" w:rsidR="002B2042" w:rsidRPr="002B2042" w:rsidRDefault="00DF3CA4" w:rsidP="002B2042">
      <w:pPr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B2042">
        <w:rPr>
          <w:rFonts w:ascii="Times New Roman" w:eastAsia="Calibri" w:hAnsi="Times New Roman" w:cs="Times New Roman"/>
          <w:sz w:val="23"/>
          <w:szCs w:val="23"/>
        </w:rPr>
        <w:t xml:space="preserve">ar Ādažu novada pašvaldības domes </w:t>
      </w:r>
    </w:p>
    <w:p w14:paraId="70491833" w14:textId="77777777" w:rsidR="002B2042" w:rsidRPr="002B2042" w:rsidRDefault="00DF3CA4" w:rsidP="002B2042">
      <w:pPr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B2042">
        <w:rPr>
          <w:rFonts w:ascii="Times New Roman" w:eastAsia="Calibri" w:hAnsi="Times New Roman" w:cs="Times New Roman"/>
          <w:sz w:val="23"/>
          <w:szCs w:val="23"/>
        </w:rPr>
        <w:t xml:space="preserve">2024. gada sēdes lēmumu </w:t>
      </w:r>
    </w:p>
    <w:p w14:paraId="3F32492C" w14:textId="4DC675F8" w:rsidR="002B2042" w:rsidRPr="002B2042" w:rsidRDefault="00DF3CA4" w:rsidP="002B2042">
      <w:pPr>
        <w:jc w:val="right"/>
        <w:rPr>
          <w:rFonts w:ascii="Times New Roman" w:eastAsia="Calibri" w:hAnsi="Times New Roman" w:cs="Times New Roman"/>
          <w:sz w:val="23"/>
          <w:szCs w:val="23"/>
        </w:rPr>
      </w:pPr>
      <w:bookmarkStart w:id="0" w:name="_Hlk90469929"/>
      <w:r w:rsidRPr="002B2042">
        <w:rPr>
          <w:rFonts w:ascii="Times New Roman" w:eastAsia="Calibri" w:hAnsi="Times New Roman" w:cs="Times New Roman"/>
          <w:sz w:val="23"/>
          <w:szCs w:val="23"/>
        </w:rPr>
        <w:t>(</w:t>
      </w:r>
      <w:r w:rsidR="00FB0FFE" w:rsidRPr="004C33B2">
        <w:rPr>
          <w:rFonts w:ascii="Times New Roman" w:hAnsi="Times New Roman"/>
        </w:rPr>
        <w:t xml:space="preserve">protokols Nr. </w:t>
      </w:r>
      <w:r w:rsidR="00FB0FFE">
        <w:rPr>
          <w:rFonts w:ascii="Times New Roman" w:hAnsi="Times New Roman"/>
        </w:rPr>
        <w:t>18</w:t>
      </w:r>
      <w:r w:rsidR="00FB0FFE" w:rsidRPr="004C33B2">
        <w:rPr>
          <w:rFonts w:ascii="Times New Roman" w:hAnsi="Times New Roman"/>
        </w:rPr>
        <w:t xml:space="preserve"> § </w:t>
      </w:r>
      <w:r w:rsidR="00FB0FFE">
        <w:rPr>
          <w:rFonts w:ascii="Times New Roman" w:hAnsi="Times New Roman"/>
        </w:rPr>
        <w:t>39</w:t>
      </w:r>
      <w:r w:rsidRPr="002B2042">
        <w:rPr>
          <w:rFonts w:ascii="Times New Roman" w:eastAsia="Calibri" w:hAnsi="Times New Roman" w:cs="Times New Roman"/>
          <w:sz w:val="23"/>
          <w:szCs w:val="23"/>
        </w:rPr>
        <w:t>)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DF3CA4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DF3CA4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DF3CA4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59D2422" w:rsidR="00564CA6" w:rsidRPr="00FB0FFE" w:rsidRDefault="00DF3CA4" w:rsidP="00564CA6">
      <w:pPr>
        <w:rPr>
          <w:rFonts w:ascii="Times New Roman" w:hAnsi="Times New Roman" w:cs="Times New Roman"/>
          <w:b/>
        </w:rPr>
      </w:pPr>
      <w:r w:rsidRPr="00FB0FFE">
        <w:rPr>
          <w:rFonts w:ascii="Times New Roman" w:hAnsi="Times New Roman" w:cs="Times New Roman"/>
        </w:rPr>
        <w:t>20</w:t>
      </w:r>
      <w:r w:rsidRPr="00FB0FFE">
        <w:rPr>
          <w:rFonts w:ascii="Times New Roman" w:hAnsi="Times New Roman" w:cs="Times New Roman"/>
        </w:rPr>
        <w:t>24</w:t>
      </w:r>
      <w:r w:rsidRPr="00FB0FFE">
        <w:rPr>
          <w:rFonts w:ascii="Times New Roman" w:hAnsi="Times New Roman" w:cs="Times New Roman"/>
        </w:rPr>
        <w:t xml:space="preserve">. gada </w:t>
      </w:r>
      <w:r w:rsidR="004B1EDE" w:rsidRPr="00FB0FFE">
        <w:rPr>
          <w:rFonts w:ascii="Times New Roman" w:hAnsi="Times New Roman" w:cs="Times New Roman"/>
        </w:rPr>
        <w:t>25</w:t>
      </w:r>
      <w:r w:rsidRPr="00FB0FFE">
        <w:rPr>
          <w:rFonts w:ascii="Times New Roman" w:hAnsi="Times New Roman" w:cs="Times New Roman"/>
        </w:rPr>
        <w:t xml:space="preserve">. </w:t>
      </w:r>
      <w:r w:rsidR="004B1EDE">
        <w:rPr>
          <w:rFonts w:ascii="Times New Roman" w:hAnsi="Times New Roman" w:cs="Times New Roman"/>
        </w:rPr>
        <w:t>jūlijā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4B1EDE">
        <w:rPr>
          <w:rFonts w:ascii="Times New Roman" w:hAnsi="Times New Roman" w:cs="Times New Roman"/>
        </w:rPr>
        <w:t xml:space="preserve">               </w:t>
      </w:r>
      <w:r w:rsidR="00FB0FFE">
        <w:rPr>
          <w:rFonts w:ascii="Times New Roman" w:hAnsi="Times New Roman" w:cs="Times New Roman"/>
        </w:rPr>
        <w:tab/>
      </w:r>
      <w:r w:rsidR="00FB0FF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FB0FFE">
        <w:rPr>
          <w:rFonts w:ascii="Times New Roman" w:hAnsi="Times New Roman" w:cs="Times New Roman"/>
          <w:b/>
        </w:rPr>
        <w:t>.</w:t>
      </w:r>
      <w:r w:rsidR="00FB0FFE" w:rsidRPr="00FB0FFE">
        <w:rPr>
          <w:rFonts w:ascii="Times New Roman" w:hAnsi="Times New Roman" w:cs="Times New Roman"/>
          <w:b/>
          <w:noProof/>
        </w:rPr>
        <w:t xml:space="preserve"> </w:t>
      </w:r>
      <w:r w:rsidRPr="00FB0FFE">
        <w:rPr>
          <w:rFonts w:ascii="Times New Roman" w:hAnsi="Times New Roman" w:cs="Times New Roman"/>
          <w:b/>
          <w:noProof/>
        </w:rPr>
        <w:t>36</w:t>
      </w:r>
      <w:r w:rsidR="00FB0FFE" w:rsidRPr="00FB0FFE">
        <w:rPr>
          <w:rFonts w:ascii="Times New Roman" w:hAnsi="Times New Roman" w:cs="Times New Roman"/>
          <w:b/>
        </w:rPr>
        <w:t>/2024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BDCEA18" w14:textId="3642B4BC" w:rsidR="002B2042" w:rsidRPr="002B2042" w:rsidRDefault="00DF3CA4" w:rsidP="002B2042">
      <w:pPr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lv-LV"/>
        </w:rPr>
      </w:pPr>
      <w:r w:rsidRPr="002B204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Grozījumi Ādažu novada pašvaldības </w:t>
      </w:r>
      <w:r w:rsidR="00FB0FFE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domes </w:t>
      </w:r>
      <w:r w:rsidRPr="002B204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2022. gada 28. septembra saistošajos</w:t>
      </w:r>
      <w:r w:rsidR="00FB0FFE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 xml:space="preserve"> </w:t>
      </w:r>
      <w:r w:rsidRPr="002B2042">
        <w:rPr>
          <w:rFonts w:ascii="Times New Roman" w:eastAsia="Times New Roman" w:hAnsi="Times New Roman" w:cs="Times New Roman"/>
          <w:b/>
          <w:bCs/>
          <w:sz w:val="26"/>
          <w:szCs w:val="26"/>
          <w:lang w:eastAsia="lv-LV"/>
        </w:rPr>
        <w:t>noteikumos Nr. 72/2022 “Sabiedrisko ūdenssaimniecības pakalpojumu kārtība novadā”</w:t>
      </w:r>
    </w:p>
    <w:p w14:paraId="250D6F9D" w14:textId="77777777" w:rsidR="002B2042" w:rsidRPr="002B2042" w:rsidRDefault="002B2042" w:rsidP="002B2042">
      <w:pPr>
        <w:jc w:val="right"/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shd w:val="clear" w:color="auto" w:fill="FFFFFF"/>
        </w:rPr>
      </w:pPr>
    </w:p>
    <w:p w14:paraId="584DC83C" w14:textId="59E02940" w:rsidR="004B1EDE" w:rsidRDefault="00DF3CA4" w:rsidP="004B1EDE">
      <w:pPr>
        <w:ind w:left="4820"/>
        <w:jc w:val="right"/>
        <w:rPr>
          <w:rFonts w:ascii="Times New Roman" w:eastAsia="Calibri" w:hAnsi="Times New Roman" w:cs="Times New Roman"/>
          <w:i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BD143A">
        <w:rPr>
          <w:rFonts w:ascii="Times New Roman" w:eastAsia="Times New Roman" w:hAnsi="Times New Roman" w:cs="Times New Roman"/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Izdoti saskaņā ar </w:t>
      </w:r>
      <w:r w:rsidRPr="00BD143A">
        <w:rPr>
          <w:rFonts w:ascii="Times New Roman" w:eastAsia="Calibri" w:hAnsi="Times New Roman" w:cs="Times New Roman"/>
          <w:i/>
          <w:iCs/>
          <w:sz w:val="22"/>
          <w:szCs w:val="22"/>
          <w:bdr w:val="none" w:sz="0" w:space="0" w:color="auto" w:frame="1"/>
          <w:shd w:val="clear" w:color="auto" w:fill="FFFFFF"/>
        </w:rPr>
        <w:t xml:space="preserve">Ūdenssaimniecības pakalpojuma likuma 6. panta ceturto un </w:t>
      </w:r>
    </w:p>
    <w:p w14:paraId="2FFC575E" w14:textId="079B54D2" w:rsidR="002B2042" w:rsidRPr="00BD143A" w:rsidRDefault="00DF3CA4" w:rsidP="00BD143A">
      <w:pPr>
        <w:ind w:left="4820"/>
        <w:jc w:val="right"/>
        <w:rPr>
          <w:rFonts w:ascii="Times New Roman" w:eastAsia="Calibri" w:hAnsi="Times New Roman" w:cs="Times New Roman"/>
          <w:i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BD143A">
        <w:rPr>
          <w:rFonts w:ascii="Times New Roman" w:eastAsia="Calibri" w:hAnsi="Times New Roman" w:cs="Times New Roman"/>
          <w:i/>
          <w:iCs/>
          <w:sz w:val="22"/>
          <w:szCs w:val="22"/>
          <w:bdr w:val="none" w:sz="0" w:space="0" w:color="auto" w:frame="1"/>
          <w:shd w:val="clear" w:color="auto" w:fill="FFFFFF"/>
        </w:rPr>
        <w:t>piekto daļu</w:t>
      </w:r>
    </w:p>
    <w:p w14:paraId="7EB08D02" w14:textId="77777777" w:rsidR="002B2042" w:rsidRPr="00BD143A" w:rsidRDefault="002B2042" w:rsidP="002B2042">
      <w:pPr>
        <w:autoSpaceDE w:val="0"/>
        <w:autoSpaceDN w:val="0"/>
        <w:adjustRightInd w:val="0"/>
        <w:ind w:left="4536"/>
        <w:jc w:val="right"/>
        <w:rPr>
          <w:rFonts w:ascii="Times New Roman" w:eastAsia="Calibri" w:hAnsi="Times New Roman" w:cs="Times New Roman"/>
          <w:i/>
          <w:iCs/>
          <w:bdr w:val="none" w:sz="0" w:space="0" w:color="auto" w:frame="1"/>
          <w:shd w:val="clear" w:color="auto" w:fill="FFFFFF"/>
        </w:rPr>
      </w:pPr>
    </w:p>
    <w:p w14:paraId="561E7A17" w14:textId="043FB718" w:rsidR="002B2042" w:rsidRPr="00BD143A" w:rsidRDefault="00DF3CA4" w:rsidP="00BD143A">
      <w:pPr>
        <w:tabs>
          <w:tab w:val="left" w:pos="993"/>
        </w:tabs>
        <w:spacing w:after="120"/>
        <w:contextualSpacing/>
        <w:jc w:val="both"/>
        <w:rPr>
          <w:rFonts w:ascii="Times New Roman" w:eastAsia="Calibri" w:hAnsi="Times New Roman" w:cs="Times New Roman"/>
        </w:rPr>
      </w:pPr>
      <w:r w:rsidRPr="00BD143A">
        <w:rPr>
          <w:rFonts w:ascii="Times New Roman" w:eastAsia="Calibri" w:hAnsi="Times New Roman" w:cs="Times New Roman"/>
          <w:noProof/>
        </w:rPr>
        <w:t xml:space="preserve">Izdarīt </w:t>
      </w:r>
      <w:r w:rsidRPr="00BD143A">
        <w:rPr>
          <w:rFonts w:ascii="Times New Roman" w:eastAsia="Calibri" w:hAnsi="Times New Roman" w:cs="Times New Roman"/>
        </w:rPr>
        <w:t xml:space="preserve">Ādažu novada pašvaldības 2022. gada 28. septembra saistošajos noteikumos Nr. 72/2022 “Sabiedrisko ūdenssaimniecības pakalpojumu kārtība </w:t>
      </w:r>
      <w:r w:rsidR="004B1EDE" w:rsidRPr="00BD143A">
        <w:rPr>
          <w:rFonts w:ascii="Times New Roman" w:eastAsia="Calibri" w:hAnsi="Times New Roman" w:cs="Times New Roman"/>
        </w:rPr>
        <w:t xml:space="preserve">Ādažu </w:t>
      </w:r>
      <w:r w:rsidRPr="00BD143A">
        <w:rPr>
          <w:rFonts w:ascii="Times New Roman" w:eastAsia="Calibri" w:hAnsi="Times New Roman" w:cs="Times New Roman"/>
        </w:rPr>
        <w:t>novadā" (Latvijas Vēstnesis, 2022., Nr. 212) šādus grozījumus:</w:t>
      </w:r>
    </w:p>
    <w:p w14:paraId="6A3EA1A4" w14:textId="77777777" w:rsidR="002B2042" w:rsidRPr="00BD143A" w:rsidRDefault="002B2042" w:rsidP="004B1EDE">
      <w:pPr>
        <w:tabs>
          <w:tab w:val="left" w:pos="993"/>
        </w:tabs>
        <w:spacing w:after="12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7FCBEFE2" w14:textId="6D11A439" w:rsidR="002B2042" w:rsidRPr="00BD143A" w:rsidRDefault="00DF3CA4" w:rsidP="00BD143A">
      <w:pPr>
        <w:numPr>
          <w:ilvl w:val="0"/>
          <w:numId w:val="5"/>
        </w:numPr>
        <w:tabs>
          <w:tab w:val="left" w:pos="426"/>
          <w:tab w:val="left" w:pos="1134"/>
        </w:tabs>
        <w:spacing w:before="120" w:after="160"/>
        <w:ind w:left="426" w:hanging="426"/>
        <w:jc w:val="both"/>
        <w:rPr>
          <w:rFonts w:ascii="Times New Roman" w:eastAsia="Calibri" w:hAnsi="Times New Roman" w:cs="Times New Roman"/>
        </w:rPr>
      </w:pPr>
      <w:r w:rsidRPr="00BD143A">
        <w:rPr>
          <w:rFonts w:ascii="Times New Roman" w:eastAsia="Calibri" w:hAnsi="Times New Roman" w:cs="Times New Roman"/>
        </w:rPr>
        <w:t>Svītrot 9. punktu</w:t>
      </w:r>
      <w:r w:rsidR="004B1EDE">
        <w:rPr>
          <w:rFonts w:ascii="Times New Roman" w:eastAsia="Calibri" w:hAnsi="Times New Roman" w:cs="Times New Roman"/>
        </w:rPr>
        <w:t>.</w:t>
      </w:r>
    </w:p>
    <w:p w14:paraId="4DBEB31A" w14:textId="250C456C" w:rsidR="002B2042" w:rsidRPr="00BD143A" w:rsidRDefault="00DF3CA4" w:rsidP="00FB0FFE">
      <w:pPr>
        <w:numPr>
          <w:ilvl w:val="0"/>
          <w:numId w:val="5"/>
        </w:numPr>
        <w:tabs>
          <w:tab w:val="left" w:pos="426"/>
          <w:tab w:val="left" w:pos="1134"/>
        </w:tabs>
        <w:ind w:left="426" w:hanging="426"/>
        <w:jc w:val="both"/>
        <w:rPr>
          <w:rFonts w:ascii="Times New Roman" w:eastAsia="Calibri" w:hAnsi="Times New Roman" w:cs="Times New Roman"/>
        </w:rPr>
      </w:pPr>
      <w:r w:rsidRPr="00BD143A">
        <w:rPr>
          <w:rFonts w:ascii="Times New Roman" w:eastAsia="Calibri" w:hAnsi="Times New Roman" w:cs="Times New Roman"/>
        </w:rPr>
        <w:t>Aizstāt 15.</w:t>
      </w:r>
      <w:r w:rsidR="004B1EDE" w:rsidRPr="004B1EDE">
        <w:rPr>
          <w:rFonts w:ascii="Times New Roman" w:eastAsia="Calibri" w:hAnsi="Times New Roman" w:cs="Times New Roman"/>
        </w:rPr>
        <w:t xml:space="preserve"> </w:t>
      </w:r>
      <w:r w:rsidRPr="00BD143A">
        <w:rPr>
          <w:rFonts w:ascii="Times New Roman" w:eastAsia="Calibri" w:hAnsi="Times New Roman" w:cs="Times New Roman"/>
        </w:rPr>
        <w:t xml:space="preserve">punktā </w:t>
      </w:r>
      <w:r w:rsidRPr="00BD143A">
        <w:rPr>
          <w:rFonts w:ascii="Times New Roman" w:eastAsia="Calibri" w:hAnsi="Times New Roman" w:cs="Times New Roman"/>
        </w:rPr>
        <w:t>tīmekļvietnes adresi “</w:t>
      </w:r>
      <w:r w:rsidR="00FB0FFE">
        <w:rPr>
          <w:rFonts w:ascii="Times New Roman" w:eastAsia="Calibri" w:hAnsi="Times New Roman" w:cs="Times New Roman"/>
        </w:rPr>
        <w:t>www.adazi.lv</w:t>
      </w:r>
      <w:r w:rsidR="004B1EDE" w:rsidRPr="00BD143A">
        <w:rPr>
          <w:rFonts w:ascii="Times New Roman" w:eastAsia="Calibri" w:hAnsi="Times New Roman" w:cs="Times New Roman"/>
        </w:rPr>
        <w:t xml:space="preserve">” ar tīmekļvietnes adresi </w:t>
      </w:r>
      <w:r w:rsidR="004B1EDE">
        <w:rPr>
          <w:rFonts w:ascii="Times New Roman" w:eastAsia="Calibri" w:hAnsi="Times New Roman" w:cs="Times New Roman"/>
        </w:rPr>
        <w:t>“</w:t>
      </w:r>
      <w:r w:rsidR="00FB0FFE">
        <w:rPr>
          <w:rFonts w:ascii="Times New Roman" w:eastAsia="Calibri" w:hAnsi="Times New Roman" w:cs="Times New Roman"/>
        </w:rPr>
        <w:t>www.adaz</w:t>
      </w:r>
      <w:r w:rsidR="00FB0FFE">
        <w:rPr>
          <w:rFonts w:ascii="Times New Roman" w:eastAsia="Calibri" w:hAnsi="Times New Roman" w:cs="Times New Roman"/>
        </w:rPr>
        <w:t>unovads</w:t>
      </w:r>
      <w:r w:rsidR="00FB0FFE">
        <w:rPr>
          <w:rFonts w:ascii="Times New Roman" w:eastAsia="Calibri" w:hAnsi="Times New Roman" w:cs="Times New Roman"/>
        </w:rPr>
        <w:t>.lv</w:t>
      </w:r>
      <w:r w:rsidR="004B1EDE" w:rsidRPr="00BD143A">
        <w:rPr>
          <w:rFonts w:ascii="Times New Roman" w:eastAsia="Calibri" w:hAnsi="Times New Roman" w:cs="Times New Roman"/>
        </w:rPr>
        <w:t>”</w:t>
      </w:r>
      <w:r w:rsidR="004B1EDE">
        <w:rPr>
          <w:rFonts w:ascii="Times New Roman" w:eastAsia="Calibri" w:hAnsi="Times New Roman" w:cs="Times New Roman"/>
        </w:rPr>
        <w:t>.</w:t>
      </w:r>
      <w:r w:rsidR="004B1EDE" w:rsidRPr="00BD143A">
        <w:rPr>
          <w:rFonts w:ascii="Times New Roman" w:eastAsia="Calibri" w:hAnsi="Times New Roman" w:cs="Times New Roman"/>
        </w:rPr>
        <w:t xml:space="preserve"> </w:t>
      </w:r>
      <w:r w:rsidRPr="00BD143A">
        <w:rPr>
          <w:rFonts w:ascii="Times New Roman" w:eastAsia="Calibri" w:hAnsi="Times New Roman" w:cs="Times New Roman"/>
        </w:rPr>
        <w:t xml:space="preserve">  </w:t>
      </w:r>
    </w:p>
    <w:p w14:paraId="27E9CBFB" w14:textId="77777777" w:rsidR="002B2042" w:rsidRPr="00BD143A" w:rsidRDefault="002B2042" w:rsidP="00FB0FFE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449E33C7" w14:textId="04353AC7" w:rsidR="00310BC7" w:rsidRPr="004B1EDE" w:rsidRDefault="00310BC7" w:rsidP="00FB0FFE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4B1EDE" w:rsidRDefault="00310BC7" w:rsidP="00FB0FFE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4B1EDE" w:rsidRDefault="00DF3CA4" w:rsidP="00FB0FFE">
      <w:pPr>
        <w:jc w:val="both"/>
        <w:rPr>
          <w:rFonts w:ascii="Times New Roman" w:hAnsi="Times New Roman" w:cs="Times New Roman"/>
          <w:noProof/>
        </w:rPr>
      </w:pPr>
      <w:r w:rsidRPr="004B1EDE">
        <w:rPr>
          <w:rFonts w:ascii="Times New Roman" w:hAnsi="Times New Roman" w:cs="Times New Roman"/>
          <w:noProof/>
        </w:rPr>
        <w:t>Pašvaldības domes priekšsēdētāj</w:t>
      </w:r>
      <w:r w:rsidR="00FA29A3" w:rsidRPr="004B1EDE">
        <w:rPr>
          <w:rFonts w:ascii="Times New Roman" w:hAnsi="Times New Roman" w:cs="Times New Roman"/>
          <w:noProof/>
        </w:rPr>
        <w:t>a</w:t>
      </w:r>
      <w:r w:rsidRPr="004B1EDE">
        <w:rPr>
          <w:rFonts w:ascii="Times New Roman" w:hAnsi="Times New Roman" w:cs="Times New Roman"/>
          <w:noProof/>
        </w:rPr>
        <w:tab/>
      </w:r>
      <w:r w:rsidRPr="004B1EDE">
        <w:rPr>
          <w:rFonts w:ascii="Times New Roman" w:hAnsi="Times New Roman" w:cs="Times New Roman"/>
          <w:noProof/>
        </w:rPr>
        <w:tab/>
      </w:r>
      <w:r w:rsidRPr="004B1EDE">
        <w:rPr>
          <w:rFonts w:ascii="Times New Roman" w:hAnsi="Times New Roman" w:cs="Times New Roman"/>
          <w:noProof/>
        </w:rPr>
        <w:tab/>
      </w:r>
      <w:r w:rsidRPr="004B1EDE">
        <w:rPr>
          <w:rFonts w:ascii="Times New Roman" w:hAnsi="Times New Roman" w:cs="Times New Roman"/>
          <w:noProof/>
        </w:rPr>
        <w:tab/>
      </w:r>
      <w:r w:rsidRPr="004B1EDE">
        <w:rPr>
          <w:rFonts w:ascii="Times New Roman" w:hAnsi="Times New Roman" w:cs="Times New Roman"/>
          <w:noProof/>
        </w:rPr>
        <w:tab/>
      </w:r>
      <w:r w:rsidRPr="004B1EDE">
        <w:rPr>
          <w:rFonts w:ascii="Times New Roman" w:hAnsi="Times New Roman" w:cs="Times New Roman"/>
          <w:noProof/>
        </w:rPr>
        <w:tab/>
      </w:r>
      <w:r w:rsidR="00FA29A3" w:rsidRPr="004B1EDE">
        <w:rPr>
          <w:rFonts w:ascii="Times New Roman" w:hAnsi="Times New Roman" w:cs="Times New Roman"/>
          <w:noProof/>
        </w:rPr>
        <w:t>K. Miķelsone</w:t>
      </w:r>
      <w:r w:rsidRPr="004B1EDE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4B1EDE" w:rsidRDefault="00DD67D5" w:rsidP="00FB0FFE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Pr="004B1EDE" w:rsidRDefault="00DF3CA4" w:rsidP="00FB0FFE">
      <w:pPr>
        <w:jc w:val="center"/>
        <w:rPr>
          <w:rFonts w:ascii="Times New Roman" w:eastAsia="Calibri" w:hAnsi="Times New Roman"/>
        </w:rPr>
      </w:pPr>
      <w:r w:rsidRPr="004B1EDE">
        <w:rPr>
          <w:rFonts w:ascii="Times New Roman" w:eastAsia="Calibri" w:hAnsi="Times New Roman"/>
        </w:rPr>
        <w:t xml:space="preserve">ŠIS DOKUMENTS IR ELEKTRONISKI PARAKSTĪTS AR DROŠU </w:t>
      </w:r>
      <w:r w:rsidRPr="004B1EDE">
        <w:rPr>
          <w:rFonts w:ascii="Times New Roman" w:eastAsia="Calibri" w:hAnsi="Times New Roman"/>
        </w:rPr>
        <w:t>ELEKTRONISKO PARAKSTU UN SATUR LAIKA ZĪMOGU</w:t>
      </w:r>
    </w:p>
    <w:p w14:paraId="7A39FF5A" w14:textId="77777777" w:rsidR="003F7DB3" w:rsidRDefault="003F7DB3" w:rsidP="003F7DB3">
      <w:pPr>
        <w:rPr>
          <w:rFonts w:ascii="Times New Roman" w:eastAsia="Calibri" w:hAnsi="Times New Roman"/>
        </w:rPr>
      </w:pPr>
    </w:p>
    <w:p w14:paraId="61EB1B92" w14:textId="138DAB86" w:rsidR="003F7DB3" w:rsidRDefault="00DF3CA4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14:paraId="3614FAB7" w14:textId="77777777" w:rsidR="002B2042" w:rsidRPr="002B2042" w:rsidRDefault="00DF3CA4" w:rsidP="002B2042">
      <w:pPr>
        <w:shd w:val="clear" w:color="auto" w:fill="FFFFFF"/>
        <w:tabs>
          <w:tab w:val="right" w:pos="864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2B2042">
        <w:rPr>
          <w:rFonts w:ascii="Times New Roman" w:eastAsia="Times New Roman" w:hAnsi="Times New Roman" w:cs="Times New Roman"/>
          <w:b/>
          <w:bCs/>
        </w:rPr>
        <w:lastRenderedPageBreak/>
        <w:t>PASKAIDROJUMA RAKSTS</w:t>
      </w:r>
    </w:p>
    <w:p w14:paraId="5DE2FF71" w14:textId="5F6550FE" w:rsidR="002B2042" w:rsidRPr="002B2042" w:rsidRDefault="00DF3CA4" w:rsidP="002B2042">
      <w:pPr>
        <w:jc w:val="center"/>
        <w:rPr>
          <w:rFonts w:ascii="Times New Roman" w:eastAsia="Times New Roman" w:hAnsi="Times New Roman" w:cs="Times New Roman"/>
          <w:i/>
          <w:iCs/>
          <w:lang w:eastAsia="lv-LV"/>
        </w:rPr>
      </w:pPr>
      <w:r w:rsidRPr="002B2042">
        <w:rPr>
          <w:rFonts w:ascii="Times New Roman" w:eastAsia="Times New Roman" w:hAnsi="Times New Roman" w:cs="Times New Roman"/>
          <w:b/>
          <w:bCs/>
          <w:lang w:eastAsia="lv-LV"/>
        </w:rPr>
        <w:t xml:space="preserve">Ādažu novada pašvaldības 2024. gada </w:t>
      </w:r>
      <w:r w:rsidR="00FB0FFE">
        <w:rPr>
          <w:rFonts w:ascii="Times New Roman" w:eastAsia="Times New Roman" w:hAnsi="Times New Roman" w:cs="Times New Roman"/>
          <w:b/>
          <w:bCs/>
          <w:lang w:eastAsia="lv-LV"/>
        </w:rPr>
        <w:t>25. jūlija</w:t>
      </w:r>
      <w:r w:rsidRPr="002B2042">
        <w:rPr>
          <w:rFonts w:ascii="Times New Roman" w:eastAsia="Times New Roman" w:hAnsi="Times New Roman" w:cs="Times New Roman"/>
          <w:b/>
          <w:bCs/>
          <w:lang w:eastAsia="lv-LV"/>
        </w:rPr>
        <w:t xml:space="preserve"> saistošajiem noteikumiem Nr. </w:t>
      </w:r>
      <w:r w:rsidR="00FB0FFE">
        <w:rPr>
          <w:rFonts w:ascii="Times New Roman" w:eastAsia="Times New Roman" w:hAnsi="Times New Roman" w:cs="Times New Roman"/>
          <w:b/>
          <w:bCs/>
          <w:lang w:eastAsia="lv-LV"/>
        </w:rPr>
        <w:t>36</w:t>
      </w:r>
      <w:r w:rsidRPr="002B2042">
        <w:rPr>
          <w:rFonts w:ascii="Times New Roman" w:eastAsia="Times New Roman" w:hAnsi="Times New Roman" w:cs="Times New Roman"/>
          <w:b/>
          <w:bCs/>
          <w:lang w:eastAsia="lv-LV"/>
        </w:rPr>
        <w:t xml:space="preserve">/2024 “Grozījumi Ādažu novada pašvaldības 2022. gada 28. septembra saistošajos noteikumos Nr. 72/2022 </w:t>
      </w:r>
      <w:r w:rsidRPr="002B2042">
        <w:rPr>
          <w:rFonts w:ascii="Times New Roman" w:eastAsia="Times New Roman" w:hAnsi="Times New Roman" w:cs="Times New Roman"/>
          <w:b/>
          <w:bCs/>
          <w:lang w:eastAsia="lv-LV"/>
        </w:rPr>
        <w:t>“Sabiedrisko ūdenssaimniecības pakalpojumu kārtība Ādažu novadā””</w:t>
      </w:r>
    </w:p>
    <w:p w14:paraId="686E7E65" w14:textId="77777777" w:rsidR="002B2042" w:rsidRPr="002B2042" w:rsidRDefault="002B2042" w:rsidP="002B2042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lang w:eastAsia="lv-LV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AC65AD" w14:paraId="333AC1E2" w14:textId="77777777" w:rsidTr="00AE63F3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DB8E" w14:textId="77777777" w:rsidR="002B2042" w:rsidRPr="002B2042" w:rsidRDefault="00DF3CA4" w:rsidP="002B204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042">
              <w:rPr>
                <w:rFonts w:ascii="Times New Roman" w:eastAsia="Times New Roman" w:hAnsi="Times New Roman" w:cs="Times New Roman"/>
                <w:b/>
                <w:bCs/>
              </w:rPr>
              <w:t>Paskaidrojuma raksta sadaļas un norādāmā informācija</w:t>
            </w:r>
          </w:p>
        </w:tc>
      </w:tr>
      <w:tr w:rsidR="00AC65AD" w14:paraId="14C3F768" w14:textId="77777777" w:rsidTr="00AE63F3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922" w14:textId="77777777" w:rsidR="002B2042" w:rsidRPr="002B2042" w:rsidRDefault="00DF3CA4" w:rsidP="002B2042">
            <w:pPr>
              <w:numPr>
                <w:ilvl w:val="0"/>
                <w:numId w:val="6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40" w:after="40" w:line="259" w:lineRule="auto"/>
              <w:ind w:left="455" w:hanging="455"/>
              <w:jc w:val="both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2B2042">
              <w:rPr>
                <w:rFonts w:ascii="Times New Roman" w:eastAsia="Calibri" w:hAnsi="Times New Roman" w:cs="Times New Roman"/>
                <w:b/>
              </w:rPr>
              <w:t>Mērķis un nepieciešamības pamatojums</w:t>
            </w:r>
          </w:p>
          <w:p w14:paraId="0392EBFC" w14:textId="77777777" w:rsidR="002B2042" w:rsidRPr="002B2042" w:rsidRDefault="00DF3CA4" w:rsidP="002B2042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 w:after="160" w:line="259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2B2042">
              <w:rPr>
                <w:rFonts w:ascii="Times New Roman" w:eastAsia="Calibri" w:hAnsi="Times New Roman" w:cs="Times New Roman"/>
              </w:rPr>
              <w:t>Grozījumi Ādažu novada pašvaldības 2022. gada 28. septembra saistošajos noteikumos Nr. 72/2022 “Sa</w:t>
            </w:r>
            <w:r w:rsidRPr="002B2042">
              <w:rPr>
                <w:rFonts w:ascii="Times New Roman" w:eastAsia="Calibri" w:hAnsi="Times New Roman" w:cs="Times New Roman"/>
              </w:rPr>
              <w:t xml:space="preserve">biedrisko ūdenssaimniecības pakalpojumu kārtība Ādažu novadā” </w:t>
            </w: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(turpmāk – SN Nr. 72/2022) veikti sakarā ar to, ka ir saņemta vēstule no Vides aizsardzības un reģionālās attīstības ministrijas (turpmāk VARAM) par nepieciešamību precizēt nosacījumus par piekr</w:t>
            </w: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išanu personas datu apstrādei pašvaldību saistošajos noteikumos ūdenssaimniecības jomā.  VARAM 2023. gada 21. decembrī saņēma Datu valsts inspekcijas (turpmāk – Inspekcija) vēstuli Nr. 7-4.2/251-N (turpmāk – Vēstule), kurā norādīts, ka, pamatojoties uz saņ</w:t>
            </w: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 xml:space="preserve">emto iedzīvotāja iesniegumu, izvērtēta dokumentā “Vadlīnijas saistošo noteikumu izstrādei sabiedrisko ūdenssaimniecības pakalpojumu sniegšanas un lietošanas jomā” (turpmāk – Vadlīnijas) iekļautā prasība par piekrišanu personas datu apstrādei un pastāvīgai </w:t>
            </w: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glabāšanai. Inspekcija ir secinājusi, ka attiecībā uz tehnisko noteikumu saņemšanu ūdenssaimniecības pakalpojumu jomā, personas datu apstrāde ir obligāti nepieciešams nosacījums pakalpojuma saņemšanai. Inspekcija lūdz Ministriju novērst nepilnības, svītroj</w:t>
            </w: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ot Vadlīnijās norādi uz piekrišanu personas datu apstrādei, un par to informēt pašvaldības, lai pašvaldību saistošajos noteikumos ietvertie nosacījumi tehnisko noteikumu saņemšanai atbilstu normatīvo aktu un Datu regulas prasībām.</w:t>
            </w:r>
          </w:p>
          <w:p w14:paraId="3673D520" w14:textId="77777777" w:rsidR="002B2042" w:rsidRPr="002B2042" w:rsidRDefault="00DF3CA4" w:rsidP="002B204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before="120" w:after="160" w:line="259" w:lineRule="auto"/>
              <w:ind w:left="453" w:hanging="425"/>
              <w:jc w:val="both"/>
              <w:outlineLvl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 xml:space="preserve">  Papildus tiek veikti SN Nr. 72/2022 precizējumi saistībā ar pašvaldības tīmekļa vietnes   adresi. </w:t>
            </w:r>
          </w:p>
        </w:tc>
      </w:tr>
      <w:tr w:rsidR="00AC65AD" w14:paraId="34385B2B" w14:textId="77777777" w:rsidTr="00AE63F3">
        <w:trPr>
          <w:trHeight w:val="6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0EE6" w14:textId="77777777" w:rsidR="002B2042" w:rsidRPr="002B2042" w:rsidRDefault="00DF3CA4" w:rsidP="002B2042">
            <w:pPr>
              <w:numPr>
                <w:ilvl w:val="0"/>
                <w:numId w:val="6"/>
              </w:numPr>
              <w:spacing w:before="60" w:after="60" w:line="259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2042">
              <w:rPr>
                <w:rFonts w:ascii="Times New Roman" w:eastAsia="Times New Roman" w:hAnsi="Times New Roman" w:cs="Times New Roman"/>
                <w:b/>
              </w:rPr>
              <w:t xml:space="preserve">Fiskālā ietekme uz pašvaldības budžetu </w:t>
            </w:r>
          </w:p>
          <w:p w14:paraId="6D035748" w14:textId="77777777" w:rsidR="002B2042" w:rsidRPr="002B2042" w:rsidRDefault="00DF3CA4" w:rsidP="002B2042">
            <w:pPr>
              <w:spacing w:before="60" w:after="60"/>
              <w:ind w:left="426" w:hanging="426"/>
              <w:jc w:val="both"/>
              <w:rPr>
                <w:rFonts w:ascii="Times New Roman" w:eastAsia="Times New Roman" w:hAnsi="Times New Roman" w:cs="Times New Roman"/>
              </w:rPr>
            </w:pPr>
            <w:r w:rsidRPr="002B2042">
              <w:rPr>
                <w:rFonts w:ascii="Times New Roman" w:eastAsia="Times New Roman" w:hAnsi="Times New Roman" w:cs="Times New Roman"/>
              </w:rPr>
              <w:t xml:space="preserve">        Lai nodrošinātu šo noteikumu izpildi, nav nepieciešami papildu resursi sakarā ar jaunu institūciju vai darba vietu veidošanu, kā arī esošo institūciju kompetences paplašināšanu.</w:t>
            </w:r>
          </w:p>
        </w:tc>
      </w:tr>
      <w:tr w:rsidR="00AC65AD" w14:paraId="7C7A3C46" w14:textId="77777777" w:rsidTr="00AE63F3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5DC1" w14:textId="77777777" w:rsidR="002B2042" w:rsidRPr="002B2042" w:rsidRDefault="00DF3CA4" w:rsidP="002B204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60" w:line="259" w:lineRule="auto"/>
              <w:ind w:left="455" w:hanging="455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2B2042">
              <w:rPr>
                <w:rFonts w:ascii="Times New Roman" w:eastAsia="Times New Roman" w:hAnsi="Times New Roman" w:cs="Times New Roman"/>
                <w:b/>
              </w:rPr>
              <w:t xml:space="preserve">Sociālā ietekme, ietekme uz vidi, iedzīvotāju veselību, </w:t>
            </w:r>
            <w:r w:rsidRPr="002B2042">
              <w:rPr>
                <w:rFonts w:ascii="Times New Roman" w:eastAsia="Times New Roman" w:hAnsi="Times New Roman" w:cs="Times New Roman"/>
                <w:b/>
              </w:rPr>
              <w:t>uzņēmējdarbības vidi pašvaldības teritorijā, kā arī uz konkurenci</w:t>
            </w:r>
          </w:p>
          <w:p w14:paraId="4F2FACD9" w14:textId="77777777" w:rsidR="002B2042" w:rsidRPr="002B2042" w:rsidRDefault="00DF3CA4" w:rsidP="002B2042">
            <w:pPr>
              <w:numPr>
                <w:ilvl w:val="0"/>
                <w:numId w:val="7"/>
              </w:numPr>
              <w:spacing w:before="60" w:after="60" w:line="259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Sociālā ietekme un ietekme uz uzņēmējdarbības vidi pašvaldības teritorijā – saistošo noteikumu mērķa grupas, uz kurām attiecināms saistošo noteikumu tiesiskais regulējums, ir fiziskas person</w:t>
            </w: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 xml:space="preserve">as, kuras pieprasa izsniegt tehniskos noteikumus ūdenssaimniecības pakalpojumu jomā. </w:t>
            </w:r>
          </w:p>
          <w:p w14:paraId="7306E4DC" w14:textId="77777777" w:rsidR="002B2042" w:rsidRPr="002B2042" w:rsidRDefault="00DF3CA4" w:rsidP="002B2042">
            <w:pPr>
              <w:numPr>
                <w:ilvl w:val="0"/>
                <w:numId w:val="7"/>
              </w:numPr>
              <w:spacing w:before="60" w:after="60" w:line="259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Ietekme uz vidi – nav attiecināms.</w:t>
            </w:r>
          </w:p>
          <w:p w14:paraId="6A86B891" w14:textId="77777777" w:rsidR="002B2042" w:rsidRPr="002B2042" w:rsidRDefault="00DF3CA4" w:rsidP="002B2042">
            <w:pPr>
              <w:numPr>
                <w:ilvl w:val="0"/>
                <w:numId w:val="7"/>
              </w:numPr>
              <w:spacing w:before="60" w:after="60" w:line="259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Ietekme uz iedzīvotāju veselību – nav attiecināms.</w:t>
            </w:r>
            <w:r w:rsidRPr="002B2042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</w:t>
            </w:r>
          </w:p>
          <w:p w14:paraId="4D637B33" w14:textId="77777777" w:rsidR="002B2042" w:rsidRPr="002B2042" w:rsidRDefault="00DF3CA4" w:rsidP="002B2042">
            <w:pPr>
              <w:numPr>
                <w:ilvl w:val="1"/>
                <w:numId w:val="8"/>
              </w:numPr>
              <w:autoSpaceDE w:val="0"/>
              <w:autoSpaceDN w:val="0"/>
              <w:adjustRightInd w:val="0"/>
              <w:spacing w:before="60" w:after="60" w:line="259" w:lineRule="auto"/>
              <w:ind w:left="453" w:hanging="453"/>
              <w:jc w:val="both"/>
              <w:rPr>
                <w:rFonts w:ascii="Times New Roman" w:eastAsia="Times New Roman" w:hAnsi="Times New Roman" w:cs="Times New Roman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Ietekme uz konkurenci – noteikumiem nav ietekmes uz konkurenci.</w:t>
            </w:r>
          </w:p>
        </w:tc>
      </w:tr>
      <w:tr w:rsidR="00AC65AD" w14:paraId="2864DEA2" w14:textId="77777777" w:rsidTr="00AE63F3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4715" w14:textId="77777777" w:rsidR="002B2042" w:rsidRPr="002B2042" w:rsidRDefault="00DF3CA4" w:rsidP="002B2042">
            <w:pPr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before="60" w:after="60" w:line="259" w:lineRule="auto"/>
              <w:ind w:left="455" w:hanging="45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B2042">
              <w:rPr>
                <w:rFonts w:ascii="Times New Roman" w:eastAsia="Times New Roman" w:hAnsi="Times New Roman" w:cs="Times New Roman"/>
                <w:b/>
                <w:bCs/>
              </w:rPr>
              <w:t xml:space="preserve">Ietekme uz </w:t>
            </w:r>
            <w:r w:rsidRPr="002B2042">
              <w:rPr>
                <w:rFonts w:ascii="Times New Roman" w:eastAsia="Times New Roman" w:hAnsi="Times New Roman" w:cs="Times New Roman"/>
                <w:b/>
                <w:bCs/>
              </w:rPr>
              <w:t>administratīvajām procedūrām un to izmaksām</w:t>
            </w:r>
          </w:p>
          <w:p w14:paraId="2D1EE1FF" w14:textId="77777777" w:rsidR="002B2042" w:rsidRPr="002B2042" w:rsidRDefault="00DF3CA4" w:rsidP="002B2042">
            <w:pPr>
              <w:numPr>
                <w:ilvl w:val="0"/>
                <w:numId w:val="9"/>
              </w:numPr>
              <w:spacing w:before="60" w:after="60" w:line="259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 xml:space="preserve">SN Nr. 72/2022 piemērošanas jautājumos personas var vērsties SIA “Ādažu ūdens” un pašvaldības aģentūrā “Carnikavas komunālserviss” . </w:t>
            </w:r>
          </w:p>
          <w:p w14:paraId="14D0C6BC" w14:textId="77777777" w:rsidR="002B2042" w:rsidRPr="002B2042" w:rsidRDefault="00DF3CA4" w:rsidP="002B2042">
            <w:pPr>
              <w:numPr>
                <w:ilvl w:val="0"/>
                <w:numId w:val="9"/>
              </w:numPr>
              <w:spacing w:before="60" w:after="60" w:line="259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Administratīvo procedūru izmaksas – nav paredzētas.</w:t>
            </w:r>
          </w:p>
        </w:tc>
      </w:tr>
      <w:tr w:rsidR="00AC65AD" w14:paraId="2888415F" w14:textId="77777777" w:rsidTr="00AE63F3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B981" w14:textId="77777777" w:rsidR="002B2042" w:rsidRPr="002B2042" w:rsidRDefault="00DF3CA4" w:rsidP="002B204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60" w:line="259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2042">
              <w:rPr>
                <w:rFonts w:ascii="Times New Roman" w:eastAsia="Times New Roman" w:hAnsi="Times New Roman" w:cs="Times New Roman"/>
                <w:b/>
              </w:rPr>
              <w:t xml:space="preserve">Ietekme uz </w:t>
            </w:r>
            <w:r w:rsidRPr="002B2042">
              <w:rPr>
                <w:rFonts w:ascii="Times New Roman" w:eastAsia="Times New Roman" w:hAnsi="Times New Roman" w:cs="Times New Roman"/>
                <w:b/>
              </w:rPr>
              <w:t>pašvaldības funkcijām un cilvēkresursiem</w:t>
            </w:r>
          </w:p>
          <w:p w14:paraId="49825CBC" w14:textId="77777777" w:rsidR="002B2042" w:rsidRPr="002B2042" w:rsidRDefault="00DF3CA4" w:rsidP="002B204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B2042">
              <w:rPr>
                <w:rFonts w:ascii="Times New Roman" w:eastAsia="Calibri" w:hAnsi="Times New Roman" w:cs="Times New Roman"/>
                <w:shd w:val="clear" w:color="auto" w:fill="FFFFFF"/>
              </w:rPr>
              <w:t>5.1. Noteikumu grozījumiem nav ietekmes uz pašvaldības funkcijām un cilvēkresursiem.</w:t>
            </w:r>
          </w:p>
          <w:p w14:paraId="292C6E17" w14:textId="77777777" w:rsidR="002B2042" w:rsidRPr="002B2042" w:rsidRDefault="00DF3CA4" w:rsidP="002B2042">
            <w:pPr>
              <w:autoSpaceDE w:val="0"/>
              <w:autoSpaceDN w:val="0"/>
              <w:adjustRightInd w:val="0"/>
              <w:spacing w:before="60" w:after="60"/>
              <w:ind w:left="426" w:hanging="426"/>
              <w:jc w:val="both"/>
              <w:rPr>
                <w:rFonts w:ascii="Times New Roman" w:eastAsia="Calibri" w:hAnsi="Times New Roman" w:cs="Times New Roman"/>
              </w:rPr>
            </w:pPr>
            <w:r w:rsidRPr="002B2042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5.2. Funkcijas izpildei nav paredzēti jauni pienākumi vai uzdevumi, netiek veidotas jaunas darba vietas vai </w:t>
            </w:r>
            <w:r w:rsidRPr="002B2042">
              <w:rPr>
                <w:rFonts w:ascii="Times New Roman" w:eastAsia="Calibri" w:hAnsi="Times New Roman" w:cs="Times New Roman"/>
                <w:shd w:val="clear" w:color="auto" w:fill="FFFFFF"/>
              </w:rPr>
              <w:t>likvidētas/reorganizētas esošās.</w:t>
            </w:r>
          </w:p>
        </w:tc>
      </w:tr>
      <w:tr w:rsidR="00AC65AD" w14:paraId="577C2458" w14:textId="77777777" w:rsidTr="00AE63F3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AB43" w14:textId="77777777" w:rsidR="002B2042" w:rsidRPr="002B2042" w:rsidRDefault="00DF3CA4" w:rsidP="002B2042">
            <w:pPr>
              <w:numPr>
                <w:ilvl w:val="0"/>
                <w:numId w:val="10"/>
              </w:numPr>
              <w:spacing w:before="60" w:after="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2042">
              <w:rPr>
                <w:rFonts w:ascii="Times New Roman" w:eastAsia="Times New Roman" w:hAnsi="Times New Roman" w:cs="Times New Roman"/>
                <w:b/>
              </w:rPr>
              <w:lastRenderedPageBreak/>
              <w:t>Informācija par izpildes nodrošināšanu</w:t>
            </w:r>
          </w:p>
          <w:p w14:paraId="61F6E355" w14:textId="77777777" w:rsidR="002B2042" w:rsidRPr="002B2042" w:rsidRDefault="00DF3CA4" w:rsidP="002B2042">
            <w:pPr>
              <w:spacing w:before="60" w:after="60"/>
              <w:ind w:left="453" w:right="102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Šo noteikumu izpildes nodrošināšanai nepieciešami resursi – tikai cilvēkresursi. </w:t>
            </w:r>
          </w:p>
        </w:tc>
      </w:tr>
      <w:tr w:rsidR="00AC65AD" w14:paraId="48FFDD6E" w14:textId="77777777" w:rsidTr="00AE63F3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675" w14:textId="77777777" w:rsidR="002B2042" w:rsidRPr="002B2042" w:rsidRDefault="00DF3CA4" w:rsidP="002B2042">
            <w:pPr>
              <w:numPr>
                <w:ilvl w:val="0"/>
                <w:numId w:val="10"/>
              </w:numPr>
              <w:spacing w:before="60" w:after="60" w:line="259" w:lineRule="auto"/>
              <w:ind w:left="455" w:hanging="42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2042">
              <w:rPr>
                <w:rFonts w:ascii="Times New Roman" w:eastAsia="Times New Roman" w:hAnsi="Times New Roman" w:cs="Times New Roman"/>
                <w:b/>
              </w:rPr>
              <w:t>Prasību un izmaksu samērīgums pret ieguvumiem, ko sniedz mērķa sasniegšana</w:t>
            </w:r>
          </w:p>
          <w:p w14:paraId="07B51554" w14:textId="77777777" w:rsidR="002B2042" w:rsidRPr="002B2042" w:rsidRDefault="00DF3CA4" w:rsidP="002B2042">
            <w:pPr>
              <w:spacing w:before="60" w:after="60"/>
              <w:ind w:left="453" w:right="10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 xml:space="preserve">Šie noteikumi ir </w:t>
            </w: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piemēroti iecerētā mērķa sasniegšanas nodrošināšanai un paredz tikai to, kas ir vajadzīgs minētā mērķa sasniegšanai un pašvaldības izraudzītie līdzekļi ir piemēroti leģitīma mērķa sasniegšanai, un pašvaldības rīcība ir atbilstoša.</w:t>
            </w:r>
          </w:p>
        </w:tc>
      </w:tr>
      <w:tr w:rsidR="00AC65AD" w14:paraId="340F3ED6" w14:textId="77777777" w:rsidTr="00AE63F3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9B5B" w14:textId="77777777" w:rsidR="002B2042" w:rsidRPr="002B2042" w:rsidRDefault="00DF3CA4" w:rsidP="002B2042">
            <w:pPr>
              <w:numPr>
                <w:ilvl w:val="0"/>
                <w:numId w:val="10"/>
              </w:numPr>
              <w:spacing w:before="60" w:after="60" w:line="259" w:lineRule="auto"/>
              <w:ind w:left="455" w:hanging="42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B2042">
              <w:rPr>
                <w:rFonts w:ascii="Times New Roman" w:eastAsia="Times New Roman" w:hAnsi="Times New Roman" w:cs="Times New Roman"/>
                <w:b/>
              </w:rPr>
              <w:t xml:space="preserve">Izstrādes gaitā veiktās </w:t>
            </w:r>
            <w:r w:rsidRPr="002B2042">
              <w:rPr>
                <w:rFonts w:ascii="Times New Roman" w:eastAsia="Times New Roman" w:hAnsi="Times New Roman" w:cs="Times New Roman"/>
                <w:b/>
              </w:rPr>
              <w:t>konsultācijas ar privātpersonām un institūcijām</w:t>
            </w:r>
          </w:p>
          <w:p w14:paraId="68FAB617" w14:textId="77777777" w:rsidR="002B2042" w:rsidRPr="002B2042" w:rsidRDefault="00DF3CA4" w:rsidP="002B2042">
            <w:pPr>
              <w:numPr>
                <w:ilvl w:val="0"/>
                <w:numId w:val="11"/>
              </w:numPr>
              <w:spacing w:before="60" w:after="60" w:line="259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Šo noteikumu izstrādes procesā nenotika atsevišķas konsultācijas ar sabiedrības pārstāvjiem (tostarp biedrībām, nodibinājumiem, apvienībām, u.tml.).</w:t>
            </w:r>
          </w:p>
          <w:p w14:paraId="75288DDC" w14:textId="77777777" w:rsidR="002B2042" w:rsidRPr="002B2042" w:rsidRDefault="00DF3CA4" w:rsidP="002B2042">
            <w:pPr>
              <w:numPr>
                <w:ilvl w:val="0"/>
                <w:numId w:val="11"/>
              </w:numPr>
              <w:spacing w:before="60" w:after="60" w:line="259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Konsultācijām tika izmantots šāds sabiedrības līdzdalības v</w:t>
            </w: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 xml:space="preserve">eids: pēc šo noteikumu izskatīšanas domes Finanšu komitejā, tie tika publicēti pašvaldības oficiālajā tīmekļvietnē www.adazunovads.lv, kā arī informācija par projektu tika publicēta sociālajā tīklā - pašvaldības </w:t>
            </w:r>
            <w:proofErr w:type="spellStart"/>
            <w:r w:rsidRPr="002B2042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Facebook</w:t>
            </w:r>
            <w:proofErr w:type="spellEnd"/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 xml:space="preserve"> kontā, lai sasniegtu </w:t>
            </w:r>
            <w:proofErr w:type="spellStart"/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mērķgrupu</w:t>
            </w:r>
            <w:proofErr w:type="spellEnd"/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 xml:space="preserve">, kā </w:t>
            </w: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arī noskaidrotu pēc iespējas plašākas sabiedrības viedokli..</w:t>
            </w:r>
          </w:p>
          <w:p w14:paraId="2FD71447" w14:textId="77777777" w:rsidR="002B2042" w:rsidRPr="002B2042" w:rsidRDefault="00DF3CA4" w:rsidP="002B2042">
            <w:pPr>
              <w:numPr>
                <w:ilvl w:val="0"/>
                <w:numId w:val="11"/>
              </w:numPr>
              <w:spacing w:before="60" w:after="60" w:line="259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Publikācijā noteiktajā termiņā no 2024. gada 20.jūnija līdz 4. jūlijam priekšlikumi netika saņemti.</w:t>
            </w:r>
          </w:p>
          <w:p w14:paraId="6931BC3C" w14:textId="77777777" w:rsidR="002B2042" w:rsidRPr="002B2042" w:rsidRDefault="00DF3CA4" w:rsidP="002B2042">
            <w:pPr>
              <w:numPr>
                <w:ilvl w:val="0"/>
                <w:numId w:val="11"/>
              </w:numPr>
              <w:spacing w:before="60" w:after="60" w:line="259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2B2042">
              <w:rPr>
                <w:rFonts w:ascii="Times New Roman" w:eastAsia="Times New Roman" w:hAnsi="Times New Roman" w:cs="Times New Roman"/>
                <w:lang w:eastAsia="lv-LV"/>
              </w:rPr>
              <w:t>Cita veida saziņa un konsultācijas nav notikušas.</w:t>
            </w:r>
          </w:p>
        </w:tc>
      </w:tr>
    </w:tbl>
    <w:p w14:paraId="47EA66F1" w14:textId="77777777" w:rsidR="002B2042" w:rsidRPr="00FB0FFE" w:rsidRDefault="002B2042" w:rsidP="00FB0FFE">
      <w:pPr>
        <w:rPr>
          <w:rFonts w:ascii="Times New Roman" w:eastAsia="Times New Roman" w:hAnsi="Times New Roman" w:cs="Times New Roman"/>
          <w:b/>
          <w:bCs/>
        </w:rPr>
      </w:pPr>
    </w:p>
    <w:p w14:paraId="067C052B" w14:textId="4CE103AA" w:rsidR="002B2042" w:rsidRPr="00FB0FFE" w:rsidRDefault="002B2042" w:rsidP="00FB0FFE">
      <w:pPr>
        <w:rPr>
          <w:rFonts w:ascii="Times New Roman" w:eastAsia="Times New Roman" w:hAnsi="Times New Roman" w:cs="Times New Roman"/>
          <w:b/>
          <w:bCs/>
        </w:rPr>
      </w:pPr>
    </w:p>
    <w:p w14:paraId="6F567BC1" w14:textId="77777777" w:rsidR="00FB0FFE" w:rsidRPr="00FB0FFE" w:rsidRDefault="00FB0FFE" w:rsidP="00FB0FFE">
      <w:pPr>
        <w:rPr>
          <w:rFonts w:ascii="Times New Roman" w:eastAsia="Times New Roman" w:hAnsi="Times New Roman" w:cs="Times New Roman"/>
          <w:b/>
          <w:bCs/>
        </w:rPr>
      </w:pPr>
    </w:p>
    <w:p w14:paraId="5EDEFF63" w14:textId="77777777" w:rsidR="002B2042" w:rsidRPr="00FB0FFE" w:rsidRDefault="00DF3CA4" w:rsidP="00FB0FFE">
      <w:pPr>
        <w:rPr>
          <w:rFonts w:ascii="Calibri" w:eastAsia="Calibri" w:hAnsi="Calibri" w:cs="Times New Roman"/>
        </w:rPr>
      </w:pPr>
      <w:r w:rsidRPr="00FB0FFE">
        <w:rPr>
          <w:rFonts w:ascii="Times New Roman" w:eastAsia="Times New Roman" w:hAnsi="Times New Roman" w:cs="Times New Roman"/>
        </w:rPr>
        <w:t xml:space="preserve">Pašvaldības domes priekšsēdētāja </w:t>
      </w:r>
      <w:r w:rsidRPr="00FB0FFE">
        <w:rPr>
          <w:rFonts w:ascii="Times New Roman" w:eastAsia="Times New Roman" w:hAnsi="Times New Roman" w:cs="Times New Roman"/>
        </w:rPr>
        <w:tab/>
      </w:r>
      <w:r w:rsidRPr="00FB0FFE">
        <w:rPr>
          <w:rFonts w:ascii="Times New Roman" w:eastAsia="Times New Roman" w:hAnsi="Times New Roman" w:cs="Times New Roman"/>
        </w:rPr>
        <w:tab/>
      </w:r>
      <w:r w:rsidRPr="00FB0FFE">
        <w:rPr>
          <w:rFonts w:ascii="Times New Roman" w:eastAsia="Times New Roman" w:hAnsi="Times New Roman" w:cs="Times New Roman"/>
        </w:rPr>
        <w:tab/>
      </w:r>
      <w:r w:rsidRPr="00FB0FFE">
        <w:rPr>
          <w:rFonts w:ascii="Times New Roman" w:eastAsia="Times New Roman" w:hAnsi="Times New Roman" w:cs="Times New Roman"/>
        </w:rPr>
        <w:tab/>
      </w:r>
      <w:r w:rsidRPr="00FB0FFE">
        <w:rPr>
          <w:rFonts w:ascii="Times New Roman" w:eastAsia="Times New Roman" w:hAnsi="Times New Roman" w:cs="Times New Roman"/>
        </w:rPr>
        <w:tab/>
      </w:r>
      <w:r w:rsidRPr="00FB0FFE">
        <w:rPr>
          <w:rFonts w:ascii="Times New Roman" w:eastAsia="Times New Roman" w:hAnsi="Times New Roman" w:cs="Times New Roman"/>
        </w:rPr>
        <w:tab/>
        <w:t>K. Miķelsone</w:t>
      </w:r>
    </w:p>
    <w:p w14:paraId="2BF85EB8" w14:textId="77777777" w:rsidR="002B2042" w:rsidRPr="00FB0FFE" w:rsidRDefault="002B2042" w:rsidP="00FB0FFE">
      <w:pPr>
        <w:jc w:val="center"/>
        <w:rPr>
          <w:rFonts w:ascii="Times New Roman" w:eastAsia="Calibri" w:hAnsi="Times New Roman" w:cs="Times New Roman"/>
        </w:rPr>
      </w:pPr>
    </w:p>
    <w:p w14:paraId="3CF9F458" w14:textId="018676E6" w:rsidR="003F7DB3" w:rsidRPr="00FB0FFE" w:rsidRDefault="00DF3CA4" w:rsidP="00FB0FFE">
      <w:pPr>
        <w:jc w:val="center"/>
        <w:rPr>
          <w:rFonts w:ascii="Times New Roman" w:hAnsi="Times New Roman" w:cs="Times New Roman"/>
        </w:rPr>
      </w:pPr>
      <w:r w:rsidRPr="00FB0FFE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3F7DB3" w:rsidRPr="00FB0FFE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6B87" w14:textId="77777777" w:rsidR="00000000" w:rsidRDefault="00DF3CA4">
      <w:r>
        <w:separator/>
      </w:r>
    </w:p>
  </w:endnote>
  <w:endnote w:type="continuationSeparator" w:id="0">
    <w:p w14:paraId="608C5BEF" w14:textId="77777777" w:rsidR="00000000" w:rsidRDefault="00DF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6311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F3CA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3763" w14:textId="77777777" w:rsidR="00000000" w:rsidRDefault="00DF3CA4">
      <w:r>
        <w:separator/>
      </w:r>
    </w:p>
  </w:footnote>
  <w:footnote w:type="continuationSeparator" w:id="0">
    <w:p w14:paraId="4A43AC7B" w14:textId="77777777" w:rsidR="00000000" w:rsidRDefault="00DF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0755"/>
    <w:multiLevelType w:val="multilevel"/>
    <w:tmpl w:val="232CD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08642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A42838" w:tentative="1">
      <w:start w:val="1"/>
      <w:numFmt w:val="lowerLetter"/>
      <w:lvlText w:val="%2."/>
      <w:lvlJc w:val="left"/>
      <w:pPr>
        <w:ind w:left="1440" w:hanging="360"/>
      </w:pPr>
    </w:lvl>
    <w:lvl w:ilvl="2" w:tplc="32E0378A" w:tentative="1">
      <w:start w:val="1"/>
      <w:numFmt w:val="lowerRoman"/>
      <w:lvlText w:val="%3."/>
      <w:lvlJc w:val="right"/>
      <w:pPr>
        <w:ind w:left="2160" w:hanging="180"/>
      </w:pPr>
    </w:lvl>
    <w:lvl w:ilvl="3" w:tplc="1A325ADA" w:tentative="1">
      <w:start w:val="1"/>
      <w:numFmt w:val="decimal"/>
      <w:lvlText w:val="%4."/>
      <w:lvlJc w:val="left"/>
      <w:pPr>
        <w:ind w:left="2880" w:hanging="360"/>
      </w:pPr>
    </w:lvl>
    <w:lvl w:ilvl="4" w:tplc="C0CE1184" w:tentative="1">
      <w:start w:val="1"/>
      <w:numFmt w:val="lowerLetter"/>
      <w:lvlText w:val="%5."/>
      <w:lvlJc w:val="left"/>
      <w:pPr>
        <w:ind w:left="3600" w:hanging="360"/>
      </w:pPr>
    </w:lvl>
    <w:lvl w:ilvl="5" w:tplc="442C997E" w:tentative="1">
      <w:start w:val="1"/>
      <w:numFmt w:val="lowerRoman"/>
      <w:lvlText w:val="%6."/>
      <w:lvlJc w:val="right"/>
      <w:pPr>
        <w:ind w:left="4320" w:hanging="180"/>
      </w:pPr>
    </w:lvl>
    <w:lvl w:ilvl="6" w:tplc="E74618AC" w:tentative="1">
      <w:start w:val="1"/>
      <w:numFmt w:val="decimal"/>
      <w:lvlText w:val="%7."/>
      <w:lvlJc w:val="left"/>
      <w:pPr>
        <w:ind w:left="5040" w:hanging="360"/>
      </w:pPr>
    </w:lvl>
    <w:lvl w:ilvl="7" w:tplc="DECA9A8E" w:tentative="1">
      <w:start w:val="1"/>
      <w:numFmt w:val="lowerLetter"/>
      <w:lvlText w:val="%8."/>
      <w:lvlJc w:val="left"/>
      <w:pPr>
        <w:ind w:left="5760" w:hanging="360"/>
      </w:pPr>
    </w:lvl>
    <w:lvl w:ilvl="8" w:tplc="C1325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479BC"/>
    <w:multiLevelType w:val="hybridMultilevel"/>
    <w:tmpl w:val="BAF02F1C"/>
    <w:lvl w:ilvl="0" w:tplc="BEB24BA4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326A7A66">
      <w:start w:val="1"/>
      <w:numFmt w:val="lowerLetter"/>
      <w:lvlText w:val="%2."/>
      <w:lvlJc w:val="left"/>
      <w:pPr>
        <w:ind w:left="1440" w:hanging="360"/>
      </w:pPr>
    </w:lvl>
    <w:lvl w:ilvl="2" w:tplc="1B40CB6A" w:tentative="1">
      <w:start w:val="1"/>
      <w:numFmt w:val="lowerRoman"/>
      <w:lvlText w:val="%3."/>
      <w:lvlJc w:val="right"/>
      <w:pPr>
        <w:ind w:left="2160" w:hanging="180"/>
      </w:pPr>
    </w:lvl>
    <w:lvl w:ilvl="3" w:tplc="1804AF4E" w:tentative="1">
      <w:start w:val="1"/>
      <w:numFmt w:val="decimal"/>
      <w:lvlText w:val="%4."/>
      <w:lvlJc w:val="left"/>
      <w:pPr>
        <w:ind w:left="2880" w:hanging="360"/>
      </w:pPr>
    </w:lvl>
    <w:lvl w:ilvl="4" w:tplc="C53E8806" w:tentative="1">
      <w:start w:val="1"/>
      <w:numFmt w:val="lowerLetter"/>
      <w:lvlText w:val="%5."/>
      <w:lvlJc w:val="left"/>
      <w:pPr>
        <w:ind w:left="3600" w:hanging="360"/>
      </w:pPr>
    </w:lvl>
    <w:lvl w:ilvl="5" w:tplc="BD3066BC" w:tentative="1">
      <w:start w:val="1"/>
      <w:numFmt w:val="lowerRoman"/>
      <w:lvlText w:val="%6."/>
      <w:lvlJc w:val="right"/>
      <w:pPr>
        <w:ind w:left="4320" w:hanging="180"/>
      </w:pPr>
    </w:lvl>
    <w:lvl w:ilvl="6" w:tplc="DBB66E5E" w:tentative="1">
      <w:start w:val="1"/>
      <w:numFmt w:val="decimal"/>
      <w:lvlText w:val="%7."/>
      <w:lvlJc w:val="left"/>
      <w:pPr>
        <w:ind w:left="5040" w:hanging="360"/>
      </w:pPr>
    </w:lvl>
    <w:lvl w:ilvl="7" w:tplc="7AB25A1C" w:tentative="1">
      <w:start w:val="1"/>
      <w:numFmt w:val="lowerLetter"/>
      <w:lvlText w:val="%8."/>
      <w:lvlJc w:val="left"/>
      <w:pPr>
        <w:ind w:left="5760" w:hanging="360"/>
      </w:pPr>
    </w:lvl>
    <w:lvl w:ilvl="8" w:tplc="507AD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90CD8"/>
    <w:multiLevelType w:val="multilevel"/>
    <w:tmpl w:val="DC02FA2E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572F1C"/>
    <w:multiLevelType w:val="hybridMultilevel"/>
    <w:tmpl w:val="882A290C"/>
    <w:lvl w:ilvl="0" w:tplc="0E38E1D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6D48D514" w:tentative="1">
      <w:start w:val="1"/>
      <w:numFmt w:val="lowerLetter"/>
      <w:lvlText w:val="%2."/>
      <w:lvlJc w:val="left"/>
      <w:pPr>
        <w:ind w:left="2160" w:hanging="360"/>
      </w:pPr>
    </w:lvl>
    <w:lvl w:ilvl="2" w:tplc="18EC83D2" w:tentative="1">
      <w:start w:val="1"/>
      <w:numFmt w:val="lowerRoman"/>
      <w:lvlText w:val="%3."/>
      <w:lvlJc w:val="right"/>
      <w:pPr>
        <w:ind w:left="2880" w:hanging="180"/>
      </w:pPr>
    </w:lvl>
    <w:lvl w:ilvl="3" w:tplc="882EEC84" w:tentative="1">
      <w:start w:val="1"/>
      <w:numFmt w:val="decimal"/>
      <w:lvlText w:val="%4."/>
      <w:lvlJc w:val="left"/>
      <w:pPr>
        <w:ind w:left="3600" w:hanging="360"/>
      </w:pPr>
    </w:lvl>
    <w:lvl w:ilvl="4" w:tplc="0C9ACF6A" w:tentative="1">
      <w:start w:val="1"/>
      <w:numFmt w:val="lowerLetter"/>
      <w:lvlText w:val="%5."/>
      <w:lvlJc w:val="left"/>
      <w:pPr>
        <w:ind w:left="4320" w:hanging="360"/>
      </w:pPr>
    </w:lvl>
    <w:lvl w:ilvl="5" w:tplc="93D25614" w:tentative="1">
      <w:start w:val="1"/>
      <w:numFmt w:val="lowerRoman"/>
      <w:lvlText w:val="%6."/>
      <w:lvlJc w:val="right"/>
      <w:pPr>
        <w:ind w:left="5040" w:hanging="180"/>
      </w:pPr>
    </w:lvl>
    <w:lvl w:ilvl="6" w:tplc="92A8D9E4" w:tentative="1">
      <w:start w:val="1"/>
      <w:numFmt w:val="decimal"/>
      <w:lvlText w:val="%7."/>
      <w:lvlJc w:val="left"/>
      <w:pPr>
        <w:ind w:left="5760" w:hanging="360"/>
      </w:pPr>
    </w:lvl>
    <w:lvl w:ilvl="7" w:tplc="7D4663A6" w:tentative="1">
      <w:start w:val="1"/>
      <w:numFmt w:val="lowerLetter"/>
      <w:lvlText w:val="%8."/>
      <w:lvlJc w:val="left"/>
      <w:pPr>
        <w:ind w:left="6480" w:hanging="360"/>
      </w:pPr>
    </w:lvl>
    <w:lvl w:ilvl="8" w:tplc="74ECE1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4D757D"/>
    <w:multiLevelType w:val="multilevel"/>
    <w:tmpl w:val="EDFA53FE"/>
    <w:lvl w:ilvl="0">
      <w:start w:val="3"/>
      <w:numFmt w:val="decimal"/>
      <w:lvlText w:val="%1."/>
      <w:lvlJc w:val="left"/>
      <w:pPr>
        <w:ind w:left="5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5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0" w:hanging="1800"/>
      </w:pPr>
      <w:rPr>
        <w:rFonts w:hint="default"/>
        <w:b w:val="0"/>
      </w:r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9" w15:restartNumberingAfterBreak="0">
    <w:nsid w:val="69A06A6A"/>
    <w:multiLevelType w:val="hybridMultilevel"/>
    <w:tmpl w:val="868C2BAE"/>
    <w:lvl w:ilvl="0" w:tplc="6B5AB568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D644A17E" w:tentative="1">
      <w:start w:val="1"/>
      <w:numFmt w:val="lowerLetter"/>
      <w:lvlText w:val="%2."/>
      <w:lvlJc w:val="left"/>
      <w:pPr>
        <w:ind w:left="1440" w:hanging="360"/>
      </w:pPr>
    </w:lvl>
    <w:lvl w:ilvl="2" w:tplc="DA98AEA0" w:tentative="1">
      <w:start w:val="1"/>
      <w:numFmt w:val="lowerRoman"/>
      <w:lvlText w:val="%3."/>
      <w:lvlJc w:val="right"/>
      <w:pPr>
        <w:ind w:left="2160" w:hanging="180"/>
      </w:pPr>
    </w:lvl>
    <w:lvl w:ilvl="3" w:tplc="B06493B0" w:tentative="1">
      <w:start w:val="1"/>
      <w:numFmt w:val="decimal"/>
      <w:lvlText w:val="%4."/>
      <w:lvlJc w:val="left"/>
      <w:pPr>
        <w:ind w:left="2880" w:hanging="360"/>
      </w:pPr>
    </w:lvl>
    <w:lvl w:ilvl="4" w:tplc="3216E8BA" w:tentative="1">
      <w:start w:val="1"/>
      <w:numFmt w:val="lowerLetter"/>
      <w:lvlText w:val="%5."/>
      <w:lvlJc w:val="left"/>
      <w:pPr>
        <w:ind w:left="3600" w:hanging="360"/>
      </w:pPr>
    </w:lvl>
    <w:lvl w:ilvl="5" w:tplc="A9AA7ACA" w:tentative="1">
      <w:start w:val="1"/>
      <w:numFmt w:val="lowerRoman"/>
      <w:lvlText w:val="%6."/>
      <w:lvlJc w:val="right"/>
      <w:pPr>
        <w:ind w:left="4320" w:hanging="180"/>
      </w:pPr>
    </w:lvl>
    <w:lvl w:ilvl="6" w:tplc="F8BA8074" w:tentative="1">
      <w:start w:val="1"/>
      <w:numFmt w:val="decimal"/>
      <w:lvlText w:val="%7."/>
      <w:lvlJc w:val="left"/>
      <w:pPr>
        <w:ind w:left="5040" w:hanging="360"/>
      </w:pPr>
    </w:lvl>
    <w:lvl w:ilvl="7" w:tplc="8AAA032C" w:tentative="1">
      <w:start w:val="1"/>
      <w:numFmt w:val="lowerLetter"/>
      <w:lvlText w:val="%8."/>
      <w:lvlJc w:val="left"/>
      <w:pPr>
        <w:ind w:left="5760" w:hanging="360"/>
      </w:pPr>
    </w:lvl>
    <w:lvl w:ilvl="8" w:tplc="FE18A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B5139"/>
    <w:multiLevelType w:val="hybridMultilevel"/>
    <w:tmpl w:val="ECBA4B7A"/>
    <w:lvl w:ilvl="0" w:tplc="D90410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45C4FE2" w:tentative="1">
      <w:start w:val="1"/>
      <w:numFmt w:val="lowerLetter"/>
      <w:lvlText w:val="%2."/>
      <w:lvlJc w:val="left"/>
      <w:pPr>
        <w:ind w:left="1440" w:hanging="360"/>
      </w:pPr>
    </w:lvl>
    <w:lvl w:ilvl="2" w:tplc="18DAB62E" w:tentative="1">
      <w:start w:val="1"/>
      <w:numFmt w:val="lowerRoman"/>
      <w:lvlText w:val="%3."/>
      <w:lvlJc w:val="right"/>
      <w:pPr>
        <w:ind w:left="2160" w:hanging="180"/>
      </w:pPr>
    </w:lvl>
    <w:lvl w:ilvl="3" w:tplc="78F261D4" w:tentative="1">
      <w:start w:val="1"/>
      <w:numFmt w:val="decimal"/>
      <w:lvlText w:val="%4."/>
      <w:lvlJc w:val="left"/>
      <w:pPr>
        <w:ind w:left="2880" w:hanging="360"/>
      </w:pPr>
    </w:lvl>
    <w:lvl w:ilvl="4" w:tplc="8E2CD9C0" w:tentative="1">
      <w:start w:val="1"/>
      <w:numFmt w:val="lowerLetter"/>
      <w:lvlText w:val="%5."/>
      <w:lvlJc w:val="left"/>
      <w:pPr>
        <w:ind w:left="3600" w:hanging="360"/>
      </w:pPr>
    </w:lvl>
    <w:lvl w:ilvl="5" w:tplc="142C25E0" w:tentative="1">
      <w:start w:val="1"/>
      <w:numFmt w:val="lowerRoman"/>
      <w:lvlText w:val="%6."/>
      <w:lvlJc w:val="right"/>
      <w:pPr>
        <w:ind w:left="4320" w:hanging="180"/>
      </w:pPr>
    </w:lvl>
    <w:lvl w:ilvl="6" w:tplc="73424836" w:tentative="1">
      <w:start w:val="1"/>
      <w:numFmt w:val="decimal"/>
      <w:lvlText w:val="%7."/>
      <w:lvlJc w:val="left"/>
      <w:pPr>
        <w:ind w:left="5040" w:hanging="360"/>
      </w:pPr>
    </w:lvl>
    <w:lvl w:ilvl="7" w:tplc="9E4C795C" w:tentative="1">
      <w:start w:val="1"/>
      <w:numFmt w:val="lowerLetter"/>
      <w:lvlText w:val="%8."/>
      <w:lvlJc w:val="left"/>
      <w:pPr>
        <w:ind w:left="5760" w:hanging="360"/>
      </w:pPr>
    </w:lvl>
    <w:lvl w:ilvl="8" w:tplc="6258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8"/>
  </w:num>
  <w:num w:numId="2" w16cid:durableId="1964530278">
    <w:abstractNumId w:val="2"/>
  </w:num>
  <w:num w:numId="3" w16cid:durableId="1884442053">
    <w:abstractNumId w:val="1"/>
  </w:num>
  <w:num w:numId="4" w16cid:durableId="1274290402">
    <w:abstractNumId w:val="10"/>
  </w:num>
  <w:num w:numId="5" w16cid:durableId="1764911889">
    <w:abstractNumId w:val="0"/>
  </w:num>
  <w:num w:numId="6" w16cid:durableId="195893459">
    <w:abstractNumId w:val="4"/>
  </w:num>
  <w:num w:numId="7" w16cid:durableId="2033653798">
    <w:abstractNumId w:val="3"/>
  </w:num>
  <w:num w:numId="8" w16cid:durableId="766344534">
    <w:abstractNumId w:val="7"/>
  </w:num>
  <w:num w:numId="9" w16cid:durableId="346368591">
    <w:abstractNumId w:val="6"/>
  </w:num>
  <w:num w:numId="10" w16cid:durableId="1322655750">
    <w:abstractNumId w:val="5"/>
  </w:num>
  <w:num w:numId="11" w16cid:durableId="609431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1016D"/>
    <w:rsid w:val="0025391B"/>
    <w:rsid w:val="00297558"/>
    <w:rsid w:val="002B2042"/>
    <w:rsid w:val="00310BC7"/>
    <w:rsid w:val="00351D48"/>
    <w:rsid w:val="003F7DB3"/>
    <w:rsid w:val="00492BDF"/>
    <w:rsid w:val="004B1EDE"/>
    <w:rsid w:val="004C33B2"/>
    <w:rsid w:val="004D516C"/>
    <w:rsid w:val="0053073B"/>
    <w:rsid w:val="00543508"/>
    <w:rsid w:val="00564A42"/>
    <w:rsid w:val="00564CA6"/>
    <w:rsid w:val="005C7FA1"/>
    <w:rsid w:val="00617AAC"/>
    <w:rsid w:val="00646DC8"/>
    <w:rsid w:val="00693F05"/>
    <w:rsid w:val="006D3451"/>
    <w:rsid w:val="0074092B"/>
    <w:rsid w:val="007B4DDB"/>
    <w:rsid w:val="008257F8"/>
    <w:rsid w:val="009139A1"/>
    <w:rsid w:val="00996740"/>
    <w:rsid w:val="009E353D"/>
    <w:rsid w:val="00A52B04"/>
    <w:rsid w:val="00AC65AD"/>
    <w:rsid w:val="00B36CD4"/>
    <w:rsid w:val="00BB16A4"/>
    <w:rsid w:val="00BD143A"/>
    <w:rsid w:val="00C9477C"/>
    <w:rsid w:val="00D86969"/>
    <w:rsid w:val="00DB5528"/>
    <w:rsid w:val="00DD67D5"/>
    <w:rsid w:val="00DF3CA4"/>
    <w:rsid w:val="00E40DD1"/>
    <w:rsid w:val="00E52DA2"/>
    <w:rsid w:val="00E75D8D"/>
    <w:rsid w:val="00F463A7"/>
    <w:rsid w:val="00FA29A3"/>
    <w:rsid w:val="00FB0FFE"/>
    <w:rsid w:val="00FC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styleId="Revision">
    <w:name w:val="Revision"/>
    <w:hidden/>
    <w:uiPriority w:val="99"/>
    <w:semiHidden/>
    <w:rsid w:val="004B1EDE"/>
  </w:style>
  <w:style w:type="character" w:styleId="Hyperlink">
    <w:name w:val="Hyperlink"/>
    <w:basedOn w:val="DefaultParagraphFont"/>
    <w:uiPriority w:val="99"/>
    <w:unhideWhenUsed/>
    <w:rsid w:val="004B1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3438</Words>
  <Characters>1960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2024-07-25T14:13:00Z</dcterms:created>
  <dcterms:modified xsi:type="dcterms:W3CDTF">2024-07-25T14:13:00Z</dcterms:modified>
</cp:coreProperties>
</file>