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87318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7318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7318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7318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433C88B5" w:rsidR="00564CA6" w:rsidRPr="00564CA6" w:rsidRDefault="00873186" w:rsidP="00564CA6">
      <w:pPr>
        <w:rPr>
          <w:rFonts w:ascii="Times New Roman" w:hAnsi="Times New Roman" w:cs="Times New Roman"/>
          <w:b/>
        </w:rPr>
      </w:pPr>
      <w:r w:rsidRPr="006B1EDD">
        <w:rPr>
          <w:rFonts w:ascii="Times New Roman" w:hAnsi="Times New Roman" w:cs="Times New Roman"/>
        </w:rPr>
        <w:t xml:space="preserve">2024. gada 25. jūlijā </w:t>
      </w:r>
      <w:r w:rsidRPr="006B1EDD">
        <w:rPr>
          <w:rFonts w:ascii="Times New Roman" w:hAnsi="Times New Roman" w:cs="Times New Roman"/>
        </w:rPr>
        <w:tab/>
      </w:r>
      <w:r w:rsidRPr="006B1ED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A6E57">
        <w:rPr>
          <w:rFonts w:ascii="Times New Roman" w:hAnsi="Times New Roman" w:cs="Times New Roman"/>
        </w:rPr>
        <w:tab/>
      </w:r>
      <w:r w:rsidR="001A6E57">
        <w:rPr>
          <w:rFonts w:ascii="Times New Roman" w:hAnsi="Times New Roman" w:cs="Times New Roman"/>
        </w:rPr>
        <w:tab/>
      </w:r>
      <w:r w:rsidR="001A6E57">
        <w:rPr>
          <w:rFonts w:ascii="Times New Roman" w:hAnsi="Times New Roman" w:cs="Times New Roman"/>
        </w:rPr>
        <w:tab/>
      </w:r>
      <w:r w:rsidR="001A6E5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1A6E57">
        <w:rPr>
          <w:rFonts w:ascii="Times New Roman" w:hAnsi="Times New Roman" w:cs="Times New Roman"/>
          <w:noProof/>
        </w:rPr>
        <w:t xml:space="preserve"> </w:t>
      </w:r>
      <w:r w:rsidRPr="001A6E57">
        <w:rPr>
          <w:rFonts w:ascii="Times New Roman" w:hAnsi="Times New Roman" w:cs="Times New Roman"/>
          <w:b/>
          <w:bCs/>
          <w:noProof/>
        </w:rPr>
        <w:t>299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22CD56FE" w:rsidR="00564CA6" w:rsidRPr="00564CA6" w:rsidRDefault="0087318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Ādažu novada pašvaldības domes </w:t>
      </w:r>
      <w:r w:rsidRPr="00D32609">
        <w:rPr>
          <w:rFonts w:ascii="Times New Roman" w:hAnsi="Times New Roman" w:cs="Times New Roman"/>
          <w:b/>
        </w:rPr>
        <w:t xml:space="preserve">2023. </w:t>
      </w:r>
      <w:r>
        <w:rPr>
          <w:rFonts w:ascii="Times New Roman" w:hAnsi="Times New Roman" w:cs="Times New Roman"/>
          <w:b/>
        </w:rPr>
        <w:t xml:space="preserve">gada 26. oktobra </w:t>
      </w:r>
      <w:r w:rsidRPr="00D32609">
        <w:rPr>
          <w:rFonts w:ascii="Times New Roman" w:hAnsi="Times New Roman" w:cs="Times New Roman"/>
          <w:b/>
        </w:rPr>
        <w:t xml:space="preserve">lēmuma Nr. </w:t>
      </w:r>
      <w:r>
        <w:rPr>
          <w:rFonts w:ascii="Times New Roman" w:hAnsi="Times New Roman" w:cs="Times New Roman"/>
          <w:b/>
        </w:rPr>
        <w:t>419</w:t>
      </w:r>
      <w:r w:rsidRPr="00D326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dalību </w:t>
      </w:r>
      <w:r w:rsidRPr="00C4206E">
        <w:rPr>
          <w:rFonts w:ascii="Times New Roman" w:hAnsi="Times New Roman" w:cs="Times New Roman"/>
          <w:b/>
        </w:rPr>
        <w:t>projektā</w:t>
      </w:r>
      <w:r>
        <w:rPr>
          <w:rFonts w:ascii="Times New Roman" w:hAnsi="Times New Roman" w:cs="Times New Roman"/>
          <w:b/>
        </w:rPr>
        <w:t xml:space="preserve"> </w:t>
      </w:r>
      <w:r w:rsidRPr="002E5E8E">
        <w:rPr>
          <w:rFonts w:ascii="Times New Roman" w:hAnsi="Times New Roman" w:cs="Times New Roman"/>
          <w:b/>
        </w:rPr>
        <w:t>“Talantu izmantošana sarūkošās pilsētās”</w:t>
      </w:r>
      <w:r>
        <w:rPr>
          <w:rFonts w:ascii="Times New Roman" w:hAnsi="Times New Roman" w:cs="Times New Roman"/>
          <w:b/>
        </w:rPr>
        <w:t>”</w:t>
      </w:r>
      <w:r w:rsidRPr="00D32609">
        <w:rPr>
          <w:rFonts w:ascii="Times New Roman" w:hAnsi="Times New Roman" w:cs="Times New Roman"/>
          <w:b/>
        </w:rPr>
        <w:t xml:space="preserve">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45F40EE" w14:textId="77777777" w:rsidR="006B1EDD" w:rsidRDefault="00873186" w:rsidP="006B1EDD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2023. gada 26. oktobrī pieņēma lēmumu Nr. 419 “</w:t>
      </w:r>
      <w:r w:rsidRPr="00C1216B">
        <w:rPr>
          <w:rFonts w:ascii="Times New Roman" w:hAnsi="Times New Roman" w:cs="Times New Roman"/>
        </w:rPr>
        <w:t>Par pašvaldības dalību p</w:t>
      </w:r>
      <w:r w:rsidRPr="00C1216B">
        <w:rPr>
          <w:rFonts w:ascii="Times New Roman" w:hAnsi="Times New Roman" w:cs="Times New Roman"/>
        </w:rPr>
        <w:t>rojektā “Talantu izmantošana sarūkošās pilsētās”</w:t>
      </w:r>
      <w:r>
        <w:rPr>
          <w:rFonts w:ascii="Times New Roman" w:hAnsi="Times New Roman" w:cs="Times New Roman"/>
        </w:rPr>
        <w:t>” (turpmāk – Projekts).</w:t>
      </w:r>
    </w:p>
    <w:p w14:paraId="754AC14D" w14:textId="77777777" w:rsidR="006B1EDD" w:rsidRDefault="00873186" w:rsidP="006B1ED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mērķis bija </w:t>
      </w:r>
      <w:r w:rsidRPr="00C1216B">
        <w:rPr>
          <w:rFonts w:ascii="Times New Roman" w:hAnsi="Times New Roman" w:cs="Times New Roman"/>
        </w:rPr>
        <w:t>atbalstīt pilsētas, jo īpaši reģionos, kur ir sarūkošs iedzīvotāju skaits, lai pārbaudītu jaunus risinājumus talantu noturēšanai un piesaistīšanai</w:t>
      </w:r>
      <w:r w:rsidRPr="00D326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1216B">
        <w:rPr>
          <w:rFonts w:ascii="Times New Roman" w:hAnsi="Times New Roman" w:cs="Times New Roman"/>
        </w:rPr>
        <w:t>Projekta iecere</w:t>
      </w:r>
      <w:r w:rsidRPr="00C1216B">
        <w:rPr>
          <w:rFonts w:ascii="Times New Roman" w:hAnsi="Times New Roman" w:cs="Times New Roman"/>
        </w:rPr>
        <w:t>s vadmotīvs – konkrētajā teritorijā piesaistīt, izaudzināt un noturēt talantus.</w:t>
      </w:r>
    </w:p>
    <w:p w14:paraId="4FE694D1" w14:textId="77777777" w:rsidR="006B1EDD" w:rsidRDefault="00873186" w:rsidP="006B1EDD">
      <w:pPr>
        <w:spacing w:after="120"/>
        <w:jc w:val="both"/>
        <w:rPr>
          <w:rFonts w:ascii="Times New Roman" w:hAnsi="Times New Roman" w:cs="Times New Roman"/>
        </w:rPr>
      </w:pPr>
      <w:r w:rsidRPr="00D32609">
        <w:rPr>
          <w:rFonts w:ascii="Times New Roman" w:hAnsi="Times New Roman" w:cs="Times New Roman"/>
        </w:rPr>
        <w:t xml:space="preserve">Projekta realizācijas ietvaros </w:t>
      </w:r>
      <w:r>
        <w:rPr>
          <w:rFonts w:ascii="Times New Roman" w:hAnsi="Times New Roman" w:cs="Times New Roman"/>
        </w:rPr>
        <w:t>tika</w:t>
      </w:r>
      <w:r w:rsidRPr="00D32609">
        <w:rPr>
          <w:rFonts w:ascii="Times New Roman" w:hAnsi="Times New Roman" w:cs="Times New Roman"/>
        </w:rPr>
        <w:t xml:space="preserve"> plānots</w:t>
      </w:r>
      <w:r>
        <w:rPr>
          <w:rFonts w:ascii="Times New Roman" w:hAnsi="Times New Roman" w:cs="Times New Roman"/>
        </w:rPr>
        <w:t xml:space="preserve"> </w:t>
      </w:r>
      <w:r w:rsidRPr="00C1216B">
        <w:rPr>
          <w:rFonts w:ascii="Times New Roman" w:hAnsi="Times New Roman" w:cs="Times New Roman"/>
        </w:rPr>
        <w:t xml:space="preserve">pārveidot </w:t>
      </w:r>
      <w:r>
        <w:rPr>
          <w:rFonts w:ascii="Times New Roman" w:hAnsi="Times New Roman" w:cs="Times New Roman"/>
        </w:rPr>
        <w:t>Horvātijas</w:t>
      </w:r>
      <w:r w:rsidRPr="00C1216B">
        <w:rPr>
          <w:rFonts w:ascii="Times New Roman" w:hAnsi="Times New Roman" w:cs="Times New Roman"/>
        </w:rPr>
        <w:t xml:space="preserve"> pilsētās neizmantotās ēkas par dinamiskām kopienas telpām </w:t>
      </w:r>
      <w:proofErr w:type="spellStart"/>
      <w:r w:rsidRPr="00C1216B">
        <w:rPr>
          <w:rFonts w:ascii="Times New Roman" w:hAnsi="Times New Roman" w:cs="Times New Roman"/>
        </w:rPr>
        <w:t>kopstrādei</w:t>
      </w:r>
      <w:proofErr w:type="spellEnd"/>
      <w:r w:rsidRPr="00C1216B">
        <w:rPr>
          <w:rFonts w:ascii="Times New Roman" w:hAnsi="Times New Roman" w:cs="Times New Roman"/>
        </w:rPr>
        <w:t xml:space="preserve"> un atpūtai, radot vietu, kur mērķa grupas </w:t>
      </w:r>
      <w:r w:rsidRPr="00C1216B">
        <w:rPr>
          <w:rFonts w:ascii="Times New Roman" w:hAnsi="Times New Roman" w:cs="Times New Roman"/>
        </w:rPr>
        <w:t>varēs dzīvot, strādāt un kvalitatīvi pavadīt brīvo laiku</w:t>
      </w:r>
      <w:r w:rsidRPr="00D326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1216B">
        <w:rPr>
          <w:rFonts w:ascii="Times New Roman" w:hAnsi="Times New Roman" w:cs="Times New Roman"/>
        </w:rPr>
        <w:t>Ādažu novada pašvaldībai tika piesais</w:t>
      </w:r>
      <w:r>
        <w:rPr>
          <w:rFonts w:ascii="Times New Roman" w:hAnsi="Times New Roman" w:cs="Times New Roman"/>
        </w:rPr>
        <w:t>t</w:t>
      </w:r>
      <w:r w:rsidRPr="00C1216B">
        <w:rPr>
          <w:rFonts w:ascii="Times New Roman" w:hAnsi="Times New Roman" w:cs="Times New Roman"/>
        </w:rPr>
        <w:t xml:space="preserve">īta kā sadarbības partneris, kas novada teritorijas izpētes un </w:t>
      </w:r>
      <w:proofErr w:type="spellStart"/>
      <w:r w:rsidRPr="00C1216B">
        <w:rPr>
          <w:rFonts w:ascii="Times New Roman" w:hAnsi="Times New Roman" w:cs="Times New Roman"/>
        </w:rPr>
        <w:t>pilotinvestīcijas</w:t>
      </w:r>
      <w:proofErr w:type="spellEnd"/>
      <w:r w:rsidRPr="00C1216B">
        <w:rPr>
          <w:rFonts w:ascii="Times New Roman" w:hAnsi="Times New Roman" w:cs="Times New Roman"/>
        </w:rPr>
        <w:t xml:space="preserve"> veidā adoptēs vadošā partnera izstrādātu novatorisko risinājuma modeli.</w:t>
      </w:r>
    </w:p>
    <w:p w14:paraId="5BE7FADA" w14:textId="77777777" w:rsidR="006B1EDD" w:rsidRDefault="00873186" w:rsidP="006B1EDD">
      <w:pPr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Varaždi</w:t>
      </w:r>
      <w:r>
        <w:rPr>
          <w:rFonts w:ascii="Times New Roman" w:hAnsi="Times New Roman" w:cs="Times New Roman"/>
        </w:rPr>
        <w:t>nas</w:t>
      </w:r>
      <w:proofErr w:type="spellEnd"/>
      <w:r>
        <w:rPr>
          <w:rFonts w:ascii="Times New Roman" w:hAnsi="Times New Roman" w:cs="Times New Roman"/>
        </w:rPr>
        <w:t xml:space="preserve"> pašvaldība (vadošais partneris no Horvātijas) 2023. gada 1. novembrī iesniedza Projekta pieteikumu.</w:t>
      </w:r>
    </w:p>
    <w:p w14:paraId="6D8F70BB" w14:textId="77777777" w:rsidR="006B1EDD" w:rsidRPr="00D32609" w:rsidRDefault="00873186" w:rsidP="006B1ED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 gada jūnijā tika saņemta informācija, ka Projekts netiek apstiprināts.</w:t>
      </w:r>
    </w:p>
    <w:p w14:paraId="639C4E39" w14:textId="1B63D92E" w:rsidR="00564CA6" w:rsidRPr="00564CA6" w:rsidRDefault="00873186" w:rsidP="006B1EDD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Pamatojoties uz iepriekš minēto</w:t>
      </w:r>
      <w:r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</w:rPr>
        <w:t xml:space="preserve"> </w:t>
      </w:r>
      <w:r w:rsidRPr="0099157F">
        <w:rPr>
          <w:rFonts w:ascii="Times New Roman" w:hAnsi="Times New Roman" w:cs="Times New Roman"/>
        </w:rPr>
        <w:t xml:space="preserve">Projektu uzraudzības komisijas </w:t>
      </w:r>
      <w:r>
        <w:rPr>
          <w:rFonts w:ascii="Times New Roman" w:hAnsi="Times New Roman" w:cs="Times New Roman"/>
        </w:rPr>
        <w:t xml:space="preserve">15.07.2024. </w:t>
      </w:r>
      <w:r w:rsidRPr="0099157F">
        <w:rPr>
          <w:rFonts w:ascii="Times New Roman" w:hAnsi="Times New Roman" w:cs="Times New Roman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C1216B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87318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7C73E6B8" w:rsidR="00564CA6" w:rsidRPr="00564CA6" w:rsidRDefault="0087318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>A</w:t>
      </w:r>
      <w:r w:rsidRPr="0099157F">
        <w:rPr>
          <w:rFonts w:ascii="Times New Roman" w:hAnsi="Times New Roman" w:cs="Times New Roman"/>
          <w:color w:val="000000"/>
        </w:rPr>
        <w:t xml:space="preserve">tcelt </w:t>
      </w:r>
      <w:r>
        <w:rPr>
          <w:rFonts w:ascii="Times New Roman" w:hAnsi="Times New Roman" w:cs="Times New Roman"/>
          <w:color w:val="000000"/>
        </w:rPr>
        <w:t xml:space="preserve">Ādažu novada pašvaldības domes </w:t>
      </w:r>
      <w:r w:rsidRPr="0099157F">
        <w:rPr>
          <w:rFonts w:ascii="Times New Roman" w:hAnsi="Times New Roman" w:cs="Times New Roman"/>
          <w:color w:val="000000"/>
        </w:rPr>
        <w:t xml:space="preserve">2023. gada </w:t>
      </w:r>
      <w:r>
        <w:rPr>
          <w:rFonts w:ascii="Times New Roman" w:hAnsi="Times New Roman" w:cs="Times New Roman"/>
          <w:color w:val="000000"/>
        </w:rPr>
        <w:t>26</w:t>
      </w:r>
      <w:r w:rsidRPr="0099157F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okto</w:t>
      </w:r>
      <w:r w:rsidRPr="0099157F">
        <w:rPr>
          <w:rFonts w:ascii="Times New Roman" w:hAnsi="Times New Roman" w:cs="Times New Roman"/>
          <w:color w:val="000000"/>
        </w:rPr>
        <w:t xml:space="preserve">bra lēmumu Nr. </w:t>
      </w:r>
      <w:r>
        <w:rPr>
          <w:rFonts w:ascii="Times New Roman" w:hAnsi="Times New Roman" w:cs="Times New Roman"/>
        </w:rPr>
        <w:t>419 “</w:t>
      </w:r>
      <w:r w:rsidRPr="00C1216B">
        <w:rPr>
          <w:rFonts w:ascii="Times New Roman" w:hAnsi="Times New Roman" w:cs="Times New Roman"/>
        </w:rPr>
        <w:t>Par pašvaldības dalību projektā “Talantu izmantošana sarūkošās pilsētās”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color w:val="000000"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94E08AB" w14:textId="77777777" w:rsidR="006B1EDD" w:rsidRDefault="006B1EDD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7318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04555F59" w:rsidR="00564CA6" w:rsidRPr="00B47C10" w:rsidRDefault="00873186" w:rsidP="001A6E57">
      <w:pPr>
        <w:jc w:val="center"/>
        <w:rPr>
          <w:rFonts w:ascii="Times New Roman" w:hAnsi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8E98" w14:textId="77777777" w:rsidR="00000000" w:rsidRDefault="00873186">
      <w:r>
        <w:separator/>
      </w:r>
    </w:p>
  </w:endnote>
  <w:endnote w:type="continuationSeparator" w:id="0">
    <w:p w14:paraId="3293E9D8" w14:textId="77777777" w:rsidR="00000000" w:rsidRDefault="0087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781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731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BF54" w14:textId="77777777" w:rsidR="00000000" w:rsidRDefault="00873186">
      <w:r>
        <w:separator/>
      </w:r>
    </w:p>
  </w:footnote>
  <w:footnote w:type="continuationSeparator" w:id="0">
    <w:p w14:paraId="3CA3FB46" w14:textId="77777777" w:rsidR="00000000" w:rsidRDefault="0087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B825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AC9AFA" w:tentative="1">
      <w:start w:val="1"/>
      <w:numFmt w:val="lowerLetter"/>
      <w:lvlText w:val="%2."/>
      <w:lvlJc w:val="left"/>
      <w:pPr>
        <w:ind w:left="1440" w:hanging="360"/>
      </w:pPr>
    </w:lvl>
    <w:lvl w:ilvl="2" w:tplc="0DD2905C" w:tentative="1">
      <w:start w:val="1"/>
      <w:numFmt w:val="lowerRoman"/>
      <w:lvlText w:val="%3."/>
      <w:lvlJc w:val="right"/>
      <w:pPr>
        <w:ind w:left="2160" w:hanging="180"/>
      </w:pPr>
    </w:lvl>
    <w:lvl w:ilvl="3" w:tplc="AAA290F2" w:tentative="1">
      <w:start w:val="1"/>
      <w:numFmt w:val="decimal"/>
      <w:lvlText w:val="%4."/>
      <w:lvlJc w:val="left"/>
      <w:pPr>
        <w:ind w:left="2880" w:hanging="360"/>
      </w:pPr>
    </w:lvl>
    <w:lvl w:ilvl="4" w:tplc="13BC96C6" w:tentative="1">
      <w:start w:val="1"/>
      <w:numFmt w:val="lowerLetter"/>
      <w:lvlText w:val="%5."/>
      <w:lvlJc w:val="left"/>
      <w:pPr>
        <w:ind w:left="3600" w:hanging="360"/>
      </w:pPr>
    </w:lvl>
    <w:lvl w:ilvl="5" w:tplc="A39297DA" w:tentative="1">
      <w:start w:val="1"/>
      <w:numFmt w:val="lowerRoman"/>
      <w:lvlText w:val="%6."/>
      <w:lvlJc w:val="right"/>
      <w:pPr>
        <w:ind w:left="4320" w:hanging="180"/>
      </w:pPr>
    </w:lvl>
    <w:lvl w:ilvl="6" w:tplc="071CF644" w:tentative="1">
      <w:start w:val="1"/>
      <w:numFmt w:val="decimal"/>
      <w:lvlText w:val="%7."/>
      <w:lvlJc w:val="left"/>
      <w:pPr>
        <w:ind w:left="5040" w:hanging="360"/>
      </w:pPr>
    </w:lvl>
    <w:lvl w:ilvl="7" w:tplc="314EEC44" w:tentative="1">
      <w:start w:val="1"/>
      <w:numFmt w:val="lowerLetter"/>
      <w:lvlText w:val="%8."/>
      <w:lvlJc w:val="left"/>
      <w:pPr>
        <w:ind w:left="5760" w:hanging="360"/>
      </w:pPr>
    </w:lvl>
    <w:lvl w:ilvl="8" w:tplc="92F0A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A6E57"/>
    <w:rsid w:val="0025391B"/>
    <w:rsid w:val="00297558"/>
    <w:rsid w:val="002D53F6"/>
    <w:rsid w:val="002D5934"/>
    <w:rsid w:val="002E5E8E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B1EDD"/>
    <w:rsid w:val="006D3451"/>
    <w:rsid w:val="006D513B"/>
    <w:rsid w:val="0074092B"/>
    <w:rsid w:val="0079484F"/>
    <w:rsid w:val="007B4DDB"/>
    <w:rsid w:val="008257F8"/>
    <w:rsid w:val="00873186"/>
    <w:rsid w:val="008E3846"/>
    <w:rsid w:val="009139A1"/>
    <w:rsid w:val="00931891"/>
    <w:rsid w:val="0099157F"/>
    <w:rsid w:val="00996740"/>
    <w:rsid w:val="009A3989"/>
    <w:rsid w:val="009B7F8F"/>
    <w:rsid w:val="009D3A0A"/>
    <w:rsid w:val="00A254B5"/>
    <w:rsid w:val="00A52B04"/>
    <w:rsid w:val="00B36CD4"/>
    <w:rsid w:val="00B4014F"/>
    <w:rsid w:val="00B47C10"/>
    <w:rsid w:val="00BB16A4"/>
    <w:rsid w:val="00BE75D1"/>
    <w:rsid w:val="00C1216B"/>
    <w:rsid w:val="00C4206E"/>
    <w:rsid w:val="00C82360"/>
    <w:rsid w:val="00C9477C"/>
    <w:rsid w:val="00CC1B2F"/>
    <w:rsid w:val="00CF16C2"/>
    <w:rsid w:val="00D32609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nhideWhenUsed/>
    <w:rsid w:val="006B1ED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B1ED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2024-07-25T14:21:00Z</dcterms:created>
  <dcterms:modified xsi:type="dcterms:W3CDTF">2024-07-25T14:21:00Z</dcterms:modified>
</cp:coreProperties>
</file>