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03549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3549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3549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3549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4AC4E611" w:rsidR="00564CA6" w:rsidRPr="00564CA6" w:rsidRDefault="00035491" w:rsidP="00564CA6">
      <w:pPr>
        <w:rPr>
          <w:rFonts w:ascii="Times New Roman" w:hAnsi="Times New Roman" w:cs="Times New Roman"/>
          <w:b/>
        </w:rPr>
      </w:pPr>
      <w:bookmarkStart w:id="0" w:name="_Hlk170389032"/>
      <w:r w:rsidRPr="009F550F">
        <w:rPr>
          <w:rFonts w:ascii="Times New Roman" w:hAnsi="Times New Roman" w:cs="Times New Roman"/>
        </w:rPr>
        <w:t>2024. gada 25. jūlijā</w:t>
      </w:r>
      <w:bookmarkEnd w:id="0"/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34594">
        <w:rPr>
          <w:rFonts w:ascii="Times New Roman" w:hAnsi="Times New Roman" w:cs="Times New Roman"/>
        </w:rPr>
        <w:tab/>
      </w:r>
      <w:r w:rsidR="00634594">
        <w:rPr>
          <w:rFonts w:ascii="Times New Roman" w:hAnsi="Times New Roman" w:cs="Times New Roman"/>
        </w:rPr>
        <w:tab/>
      </w:r>
      <w:r w:rsidR="00634594">
        <w:rPr>
          <w:rFonts w:ascii="Times New Roman" w:hAnsi="Times New Roman" w:cs="Times New Roman"/>
        </w:rPr>
        <w:tab/>
      </w:r>
      <w:r w:rsidR="0063459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634594">
        <w:rPr>
          <w:rFonts w:ascii="Times New Roman" w:hAnsi="Times New Roman" w:cs="Times New Roman"/>
          <w:noProof/>
        </w:rPr>
        <w:t xml:space="preserve"> </w:t>
      </w:r>
      <w:r w:rsidRPr="00634594">
        <w:rPr>
          <w:rFonts w:ascii="Times New Roman" w:hAnsi="Times New Roman" w:cs="Times New Roman"/>
          <w:b/>
          <w:bCs/>
          <w:noProof/>
        </w:rPr>
        <w:t>271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AEBAAB7" w:rsidR="00564CA6" w:rsidRPr="009F550F" w:rsidRDefault="00035491" w:rsidP="00564CA6">
      <w:pPr>
        <w:jc w:val="center"/>
        <w:rPr>
          <w:rFonts w:ascii="Times New Roman" w:hAnsi="Times New Roman" w:cs="Times New Roman"/>
          <w:b/>
          <w:color w:val="FF0000"/>
        </w:rPr>
      </w:pPr>
      <w:bookmarkStart w:id="1" w:name="_Hlk170389049"/>
      <w:r w:rsidRPr="009F550F">
        <w:rPr>
          <w:rFonts w:ascii="Times New Roman" w:hAnsi="Times New Roman" w:cs="Times New Roman"/>
          <w:b/>
        </w:rPr>
        <w:t xml:space="preserve">Par </w:t>
      </w:r>
      <w:bookmarkEnd w:id="1"/>
      <w:r w:rsidRPr="009F550F">
        <w:rPr>
          <w:rFonts w:ascii="Times New Roman" w:hAnsi="Times New Roman" w:cs="Times New Roman"/>
          <w:b/>
        </w:rPr>
        <w:t xml:space="preserve">Ādažu </w:t>
      </w:r>
      <w:r w:rsidRPr="009F550F">
        <w:rPr>
          <w:rFonts w:ascii="Times New Roman" w:hAnsi="Times New Roman" w:cs="Times New Roman"/>
          <w:b/>
        </w:rPr>
        <w:t xml:space="preserve">novada pašvaldības domes 29.02.2024. lēmuma Nr. 54 “Par nekustamā īpašuma </w:t>
      </w:r>
      <w:proofErr w:type="spellStart"/>
      <w:r w:rsidRPr="009F550F">
        <w:rPr>
          <w:rFonts w:ascii="Times New Roman" w:hAnsi="Times New Roman" w:cs="Times New Roman"/>
          <w:b/>
        </w:rPr>
        <w:t>Kadagā</w:t>
      </w:r>
      <w:proofErr w:type="spellEnd"/>
      <w:r w:rsidRPr="009F550F">
        <w:rPr>
          <w:rFonts w:ascii="Times New Roman" w:hAnsi="Times New Roman" w:cs="Times New Roman"/>
          <w:b/>
        </w:rPr>
        <w:t>, “</w:t>
      </w:r>
      <w:proofErr w:type="spellStart"/>
      <w:r w:rsidRPr="009F550F">
        <w:rPr>
          <w:rFonts w:ascii="Times New Roman" w:hAnsi="Times New Roman" w:cs="Times New Roman"/>
          <w:b/>
        </w:rPr>
        <w:t>Ārputnu</w:t>
      </w:r>
      <w:proofErr w:type="spellEnd"/>
      <w:r w:rsidRPr="009F550F">
        <w:rPr>
          <w:rFonts w:ascii="Times New Roman" w:hAnsi="Times New Roman" w:cs="Times New Roman"/>
          <w:b/>
        </w:rPr>
        <w:t xml:space="preserve"> ielā 6” atsavināšanu” atcelšanu</w:t>
      </w:r>
    </w:p>
    <w:p w14:paraId="001C96E2" w14:textId="77777777" w:rsidR="00564CA6" w:rsidRPr="009F550F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4A2DEE4" w14:textId="677086B0" w:rsidR="009F550F" w:rsidRPr="009F550F" w:rsidRDefault="00035491" w:rsidP="009F550F">
      <w:p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Ar Ādažu novada pašvaldības domes 29.02.2024. lēmumu Nr. 54 “Par nekustamā īpašuma </w:t>
      </w:r>
      <w:proofErr w:type="spellStart"/>
      <w:r w:rsidRPr="009F550F">
        <w:rPr>
          <w:rFonts w:ascii="Times New Roman" w:hAnsi="Times New Roman" w:cs="Times New Roman"/>
        </w:rPr>
        <w:t>Kadagā</w:t>
      </w:r>
      <w:proofErr w:type="spellEnd"/>
      <w:r w:rsidRPr="009F550F">
        <w:rPr>
          <w:rFonts w:ascii="Times New Roman" w:hAnsi="Times New Roman" w:cs="Times New Roman"/>
        </w:rPr>
        <w:t>, “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ielā 6” atsavināšanu” (turpmāk –</w:t>
      </w:r>
      <w:r w:rsidRPr="009F550F">
        <w:rPr>
          <w:rFonts w:ascii="Times New Roman" w:hAnsi="Times New Roman" w:cs="Times New Roman"/>
        </w:rPr>
        <w:t xml:space="preserve"> Lēmums) atsavināšanai nodots </w:t>
      </w:r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>pašvaldībai piederošais nekustamais īpašums</w:t>
      </w:r>
      <w:r w:rsidRPr="009F550F">
        <w:rPr>
          <w:rFonts w:ascii="Times New Roman" w:eastAsia="NSimSun" w:hAnsi="Times New Roman" w:cs="Times New Roman"/>
          <w:kern w:val="2"/>
          <w:lang w:eastAsia="zh-CN" w:bidi="hi-IN"/>
        </w:rPr>
        <w:t xml:space="preserve"> ar </w:t>
      </w:r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 xml:space="preserve">kadastra numuru 8044 005 0788, kas sastāv no neapbūvētas zemes vienības 0,3761 ha platībā ar kadastra apzīmējumu 8044 005 0769 un adresi - </w:t>
      </w:r>
      <w:proofErr w:type="spellStart"/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>Ārputnu</w:t>
      </w:r>
      <w:proofErr w:type="spellEnd"/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 xml:space="preserve"> iela 6, </w:t>
      </w:r>
      <w:proofErr w:type="spellStart"/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>Kadaga</w:t>
      </w:r>
      <w:proofErr w:type="spellEnd"/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>, Ādažu pag., Ādaž</w:t>
      </w:r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 xml:space="preserve">u nov. </w:t>
      </w:r>
      <w:r w:rsidRPr="009F550F">
        <w:rPr>
          <w:rFonts w:ascii="Times New Roman" w:hAnsi="Times New Roman" w:cs="Times New Roman"/>
        </w:rPr>
        <w:t>(turpmāk – Īpašums)</w:t>
      </w:r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>. Lēmumā paredzētais Īpašuma atsavināšana</w:t>
      </w:r>
      <w:r w:rsidR="00E306AB">
        <w:rPr>
          <w:rFonts w:ascii="Times New Roman" w:eastAsia="Calibri" w:hAnsi="Times New Roman" w:cs="Times New Roman"/>
          <w:bCs/>
          <w:kern w:val="2"/>
          <w:lang w:eastAsia="zh-CN" w:bidi="hi-IN"/>
        </w:rPr>
        <w:t>s</w:t>
      </w:r>
      <w:r w:rsidRPr="009F550F">
        <w:rPr>
          <w:rFonts w:ascii="Times New Roman" w:eastAsia="Calibri" w:hAnsi="Times New Roman" w:cs="Times New Roman"/>
          <w:bCs/>
          <w:kern w:val="2"/>
          <w:lang w:eastAsia="zh-CN" w:bidi="hi-IN"/>
        </w:rPr>
        <w:t xml:space="preserve"> veids - </w:t>
      </w:r>
      <w:r w:rsidRPr="009F550F">
        <w:rPr>
          <w:rFonts w:ascii="Times New Roman" w:eastAsia="NSimSun" w:hAnsi="Times New Roman" w:cs="Times New Roman"/>
          <w:bCs/>
          <w:kern w:val="2"/>
          <w:lang w:eastAsia="zh-CN" w:bidi="hi-IN"/>
        </w:rPr>
        <w:t>pārdošana atklātā izsolē</w:t>
      </w:r>
      <w:r w:rsidRPr="009F550F">
        <w:rPr>
          <w:rFonts w:ascii="Times New Roman" w:hAnsi="Times New Roman" w:cs="Times New Roman"/>
        </w:rPr>
        <w:t>.</w:t>
      </w:r>
    </w:p>
    <w:p w14:paraId="774D70E5" w14:textId="77777777" w:rsidR="009F550F" w:rsidRPr="009F550F" w:rsidRDefault="00035491" w:rsidP="009F550F">
      <w:pPr>
        <w:pStyle w:val="BodyText"/>
        <w:spacing w:after="120"/>
        <w:rPr>
          <w:rFonts w:ascii="Times New Roman" w:eastAsia="Calibri" w:hAnsi="Times New Roman"/>
          <w:sz w:val="24"/>
          <w:szCs w:val="24"/>
          <w:lang w:val="lv-LV"/>
        </w:rPr>
      </w:pPr>
      <w:r w:rsidRPr="009F550F">
        <w:rPr>
          <w:rFonts w:ascii="Times New Roman" w:eastAsia="Calibri" w:hAnsi="Times New Roman"/>
          <w:sz w:val="24"/>
          <w:szCs w:val="24"/>
          <w:lang w:val="lv-LV"/>
        </w:rPr>
        <w:t>Izvērtējot pašvaldības rīcībā esošo informāciju un ar lietu saistītos apstākļus, tika konstatēts:</w:t>
      </w:r>
    </w:p>
    <w:p w14:paraId="70F0F780" w14:textId="6E85991C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Īpašums izveidots atbilstoši </w:t>
      </w:r>
      <w:proofErr w:type="spellStart"/>
      <w:r w:rsidRPr="009F550F">
        <w:rPr>
          <w:rFonts w:ascii="Times New Roman" w:hAnsi="Times New Roman" w:cs="Times New Roman"/>
        </w:rPr>
        <w:t>Kadagas</w:t>
      </w:r>
      <w:proofErr w:type="spellEnd"/>
      <w:r w:rsidRPr="009F550F">
        <w:rPr>
          <w:rFonts w:ascii="Times New Roman" w:hAnsi="Times New Roman" w:cs="Times New Roman"/>
        </w:rPr>
        <w:t xml:space="preserve"> ciema </w:t>
      </w:r>
      <w:r w:rsidRPr="009F550F">
        <w:rPr>
          <w:rFonts w:ascii="Times New Roman" w:hAnsi="Times New Roman" w:cs="Times New Roman"/>
        </w:rPr>
        <w:t>centrālās daļas detālplānojuma (</w:t>
      </w:r>
      <w:r w:rsidR="007F28EB">
        <w:rPr>
          <w:rFonts w:ascii="Times New Roman" w:hAnsi="Times New Roman" w:cs="Times New Roman"/>
        </w:rPr>
        <w:t xml:space="preserve">apstiprināts ar Ādažu novada domes 23.08.2016. lēmumu Nr.152 “Par </w:t>
      </w:r>
      <w:proofErr w:type="spellStart"/>
      <w:r w:rsidR="007F28EB">
        <w:rPr>
          <w:rFonts w:ascii="Times New Roman" w:hAnsi="Times New Roman" w:cs="Times New Roman"/>
        </w:rPr>
        <w:t>Kadagas</w:t>
      </w:r>
      <w:proofErr w:type="spellEnd"/>
      <w:r w:rsidR="007F28EB">
        <w:rPr>
          <w:rFonts w:ascii="Times New Roman" w:hAnsi="Times New Roman" w:cs="Times New Roman"/>
        </w:rPr>
        <w:t xml:space="preserve"> ciema centrālās daļas detālplānojuma projekta apstiprināšanu”, </w:t>
      </w:r>
      <w:r w:rsidRPr="009F550F">
        <w:rPr>
          <w:rFonts w:ascii="Times New Roman" w:hAnsi="Times New Roman" w:cs="Times New Roman"/>
        </w:rPr>
        <w:t>turpmāk – detālplānojums) 1. kārtai.</w:t>
      </w:r>
    </w:p>
    <w:p w14:paraId="6753E282" w14:textId="3CEAD4BF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>Saskaņā ar a</w:t>
      </w:r>
      <w:r w:rsidR="007F28EB">
        <w:rPr>
          <w:rFonts w:ascii="Times New Roman" w:hAnsi="Times New Roman" w:cs="Times New Roman"/>
        </w:rPr>
        <w:t>kceptē</w:t>
      </w:r>
      <w:r w:rsidRPr="009F550F">
        <w:rPr>
          <w:rFonts w:ascii="Times New Roman" w:hAnsi="Times New Roman" w:cs="Times New Roman"/>
        </w:rPr>
        <w:t>to</w:t>
      </w:r>
      <w:r w:rsidR="007F28EB">
        <w:rPr>
          <w:rFonts w:ascii="Times New Roman" w:hAnsi="Times New Roman" w:cs="Times New Roman"/>
        </w:rPr>
        <w:t xml:space="preserve"> īstenošanas</w:t>
      </w:r>
      <w:r w:rsidRPr="009F550F">
        <w:rPr>
          <w:rFonts w:ascii="Times New Roman" w:hAnsi="Times New Roman" w:cs="Times New Roman"/>
        </w:rPr>
        <w:t xml:space="preserve"> kārtību, pašvaldī</w:t>
      </w:r>
      <w:r w:rsidRPr="009F550F">
        <w:rPr>
          <w:rFonts w:ascii="Times New Roman" w:hAnsi="Times New Roman" w:cs="Times New Roman"/>
        </w:rPr>
        <w:t>ba realiz</w:t>
      </w:r>
      <w:r w:rsidR="007F28EB">
        <w:rPr>
          <w:rFonts w:ascii="Times New Roman" w:hAnsi="Times New Roman" w:cs="Times New Roman"/>
        </w:rPr>
        <w:t>ē detālplānojumu</w:t>
      </w:r>
      <w:r w:rsidRPr="009F550F">
        <w:rPr>
          <w:rFonts w:ascii="Times New Roman" w:hAnsi="Times New Roman" w:cs="Times New Roman"/>
        </w:rPr>
        <w:t xml:space="preserve"> kārtās. Pirmajā kārtā </w:t>
      </w:r>
      <w:r w:rsidR="007F28EB">
        <w:rPr>
          <w:rFonts w:ascii="Times New Roman" w:hAnsi="Times New Roman" w:cs="Times New Roman"/>
        </w:rPr>
        <w:t xml:space="preserve">tajā skaitā </w:t>
      </w:r>
      <w:r w:rsidRPr="009F550F">
        <w:rPr>
          <w:rFonts w:ascii="Times New Roman" w:hAnsi="Times New Roman" w:cs="Times New Roman"/>
        </w:rPr>
        <w:t>ir paredzēta pašvaldībai piederošā nekustamā īpašuma “Ziemeļvēji” sadalīšana, atdalot 10 zemes vienības, t.sk., Īpašuma sastāvā iekļauto zemes vienību. Ar domes 25.02.2020. lēmumu Nr. 46 “Par neku</w:t>
      </w:r>
      <w:r w:rsidRPr="009F550F">
        <w:rPr>
          <w:rFonts w:ascii="Times New Roman" w:hAnsi="Times New Roman" w:cs="Times New Roman"/>
        </w:rPr>
        <w:t>stamā īpašuma “Ziemeļvēji” sadalīšanu” Īpašuma zemes vienībai tika piešķirta adrese.</w:t>
      </w:r>
    </w:p>
    <w:p w14:paraId="18257C8E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Veikta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teritorijas atmežošana.</w:t>
      </w:r>
    </w:p>
    <w:p w14:paraId="71281991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Detālplānojuma paskaidrojuma rakstā (3.8. punkts “Inženierkomunikāciju attīstība”) cita starpā noteikts, ka </w:t>
      </w:r>
      <w:r w:rsidRPr="009F550F">
        <w:rPr>
          <w:rFonts w:ascii="Times New Roman" w:hAnsi="Times New Roman" w:cs="Times New Roman"/>
        </w:rPr>
        <w:t>detālplānojumā ietverto teritoriju plānots nodrošināt ar elektroapgādi un ārējo apgaismojumu. Projektētajā zonā paredzēta gan esošo inženierkomunikāciju saglabāšana, gan arī jaunu inženierkomunikāciju izbūve.</w:t>
      </w:r>
    </w:p>
    <w:p w14:paraId="2A69C28B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>Ārējās elektroapgādes izbūves objektiem Kāpas i</w:t>
      </w:r>
      <w:r w:rsidRPr="009F550F">
        <w:rPr>
          <w:rFonts w:ascii="Times New Roman" w:hAnsi="Times New Roman" w:cs="Times New Roman"/>
        </w:rPr>
        <w:t xml:space="preserve">ela 26, 28, 30 un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 2, 4, 6, 8, </w:t>
      </w:r>
      <w:proofErr w:type="spellStart"/>
      <w:r w:rsidRPr="009F550F">
        <w:rPr>
          <w:rFonts w:ascii="Times New Roman" w:hAnsi="Times New Roman" w:cs="Times New Roman"/>
        </w:rPr>
        <w:t>Kadaga</w:t>
      </w:r>
      <w:proofErr w:type="spellEnd"/>
      <w:r w:rsidRPr="009F550F">
        <w:rPr>
          <w:rFonts w:ascii="Times New Roman" w:hAnsi="Times New Roman" w:cs="Times New Roman"/>
        </w:rPr>
        <w:t>, Ādažu pag., Ādažu nov., AS “Sadales tīkli” izstrādājusi projektu.</w:t>
      </w:r>
    </w:p>
    <w:p w14:paraId="36591382" w14:textId="01FEBC14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Pirms elektroapgādes izbūves veicami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teritorijas no Kāpas ielas līdz Īpašumam izbūves darbi. Saskaņā ar pašvaldības aģentūras</w:t>
      </w:r>
      <w:r w:rsidRPr="009F550F">
        <w:rPr>
          <w:rFonts w:ascii="Times New Roman" w:hAnsi="Times New Roman" w:cs="Times New Roman"/>
        </w:rPr>
        <w:t xml:space="preserve"> “Carnikavas komunālserviss” veiktajām aplēsēm kopējās inženierbūvju (ielas, ūdensvada, kanalizācijas tīklu un elektroapgādes) izbūves izmaksas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posmā (~ 300 m garumā) no Kāpas ielas līdz zemes vienībai ar adresi -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 16, </w:t>
      </w:r>
      <w:proofErr w:type="spellStart"/>
      <w:r w:rsidRPr="009F550F">
        <w:rPr>
          <w:rFonts w:ascii="Times New Roman" w:hAnsi="Times New Roman" w:cs="Times New Roman"/>
        </w:rPr>
        <w:t>Kadaga</w:t>
      </w:r>
      <w:proofErr w:type="spellEnd"/>
      <w:r w:rsidRPr="009F550F">
        <w:rPr>
          <w:rFonts w:ascii="Times New Roman" w:hAnsi="Times New Roman" w:cs="Times New Roman"/>
        </w:rPr>
        <w:t>, Āda</w:t>
      </w:r>
      <w:r w:rsidRPr="009F550F">
        <w:rPr>
          <w:rFonts w:ascii="Times New Roman" w:hAnsi="Times New Roman" w:cs="Times New Roman"/>
        </w:rPr>
        <w:t>žu pag., Ādažu nov., (t.sk., elektroapgāde), varētu būt ap 383</w:t>
      </w:r>
      <w:r w:rsidR="00FE2689">
        <w:rPr>
          <w:rFonts w:ascii="Times New Roman" w:hAnsi="Times New Roman" w:cs="Times New Roman"/>
        </w:rPr>
        <w:t> </w:t>
      </w:r>
      <w:r w:rsidRPr="009F550F">
        <w:rPr>
          <w:rFonts w:ascii="Times New Roman" w:hAnsi="Times New Roman" w:cs="Times New Roman"/>
        </w:rPr>
        <w:t>200</w:t>
      </w:r>
      <w:r w:rsidR="00FE2689" w:rsidRPr="00FE2689">
        <w:rPr>
          <w:rFonts w:ascii="Times New Roman" w:hAnsi="Times New Roman" w:cs="Times New Roman"/>
        </w:rPr>
        <w:t xml:space="preserve"> </w:t>
      </w:r>
      <w:r w:rsidR="00FE2689" w:rsidRPr="009F550F">
        <w:rPr>
          <w:rFonts w:ascii="Times New Roman" w:hAnsi="Times New Roman" w:cs="Times New Roman"/>
        </w:rPr>
        <w:t>EUR</w:t>
      </w:r>
      <w:r w:rsidRPr="009F550F">
        <w:rPr>
          <w:rFonts w:ascii="Times New Roman" w:hAnsi="Times New Roman" w:cs="Times New Roman"/>
        </w:rPr>
        <w:t>.</w:t>
      </w:r>
    </w:p>
    <w:p w14:paraId="124E20DF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Ņemot vērā citu projektu īstenošanai uzņemtās saistības, pašvaldības 2025. gada budžetā nav pamata plānot izdevumus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un saistīto inženierkomunikāciju, t.sk., elektroapgāde</w:t>
      </w:r>
      <w:r w:rsidRPr="009F550F">
        <w:rPr>
          <w:rFonts w:ascii="Times New Roman" w:hAnsi="Times New Roman" w:cs="Times New Roman"/>
        </w:rPr>
        <w:t>s, izbūvei līdz Īpašumam.</w:t>
      </w:r>
    </w:p>
    <w:p w14:paraId="5A4FB8CB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Saskaņā ar Finanšu komitejas 22.05.2024. sēdē nolemto pašvaldības Centrālās pārvaldes Nekustamā īpašuma nodaļai uzdots sagatavot domes lēmuma </w:t>
      </w:r>
      <w:r w:rsidRPr="009F550F">
        <w:rPr>
          <w:rFonts w:ascii="Times New Roman" w:hAnsi="Times New Roman" w:cs="Times New Roman"/>
          <w:bCs/>
        </w:rPr>
        <w:t>projektu</w:t>
      </w:r>
      <w:r w:rsidRPr="009F550F">
        <w:rPr>
          <w:rFonts w:ascii="Times New Roman" w:hAnsi="Times New Roman" w:cs="Times New Roman"/>
        </w:rPr>
        <w:t xml:space="preserve"> “Par </w:t>
      </w:r>
      <w:proofErr w:type="spellStart"/>
      <w:r w:rsidRPr="009F550F">
        <w:rPr>
          <w:rFonts w:ascii="Times New Roman" w:hAnsi="Times New Roman" w:cs="Times New Roman"/>
          <w:bCs/>
        </w:rPr>
        <w:lastRenderedPageBreak/>
        <w:t>Ārputnu</w:t>
      </w:r>
      <w:proofErr w:type="spellEnd"/>
      <w:r w:rsidRPr="009F550F">
        <w:rPr>
          <w:rFonts w:ascii="Times New Roman" w:hAnsi="Times New Roman" w:cs="Times New Roman"/>
          <w:bCs/>
        </w:rPr>
        <w:t xml:space="preserve"> ielas izbūvi līdz zemes vienībai </w:t>
      </w:r>
      <w:proofErr w:type="spellStart"/>
      <w:r w:rsidRPr="009F550F">
        <w:rPr>
          <w:rFonts w:ascii="Times New Roman" w:hAnsi="Times New Roman" w:cs="Times New Roman"/>
          <w:bCs/>
        </w:rPr>
        <w:t>Ārputnu</w:t>
      </w:r>
      <w:proofErr w:type="spellEnd"/>
      <w:r w:rsidRPr="009F550F">
        <w:rPr>
          <w:rFonts w:ascii="Times New Roman" w:hAnsi="Times New Roman" w:cs="Times New Roman"/>
          <w:bCs/>
        </w:rPr>
        <w:t xml:space="preserve"> iela 6” un virzīt to izsk</w:t>
      </w:r>
      <w:r w:rsidRPr="009F550F">
        <w:rPr>
          <w:rFonts w:ascii="Times New Roman" w:hAnsi="Times New Roman" w:cs="Times New Roman"/>
          <w:bCs/>
        </w:rPr>
        <w:t>atīšanai Finanšu komitejas šā gada 19. jūnija sēdē.</w:t>
      </w:r>
    </w:p>
    <w:p w14:paraId="3F711CE9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Atbilstoši pašvaldības izpilddirektora norādījumiem, jautājums par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posma un saistīto inženierkomunikāciju, t.sk., elektroapgādes, izbūvi tika novirzīts izskatīšanai pašvaldības Tehniskajā ko</w:t>
      </w:r>
      <w:r w:rsidRPr="009F550F">
        <w:rPr>
          <w:rFonts w:ascii="Times New Roman" w:hAnsi="Times New Roman" w:cs="Times New Roman"/>
        </w:rPr>
        <w:t>misijā.</w:t>
      </w:r>
    </w:p>
    <w:p w14:paraId="716EF653" w14:textId="459FADE9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Tehniskā komisija 03.07.2024. sēdē izskatīja tās rīcībā esošo informāciju un atzina, ka, ņemot vērā ierobežotos pašvaldības līdzekļus, finansiālu apsvērumu dēļ šobrīd nav iespējams izbūvēt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ielu posmā no Kāpas ielas līdz Īpašumam</w:t>
      </w:r>
      <w:r w:rsidR="000F7364">
        <w:rPr>
          <w:rFonts w:ascii="Times New Roman" w:hAnsi="Times New Roman" w:cs="Times New Roman"/>
        </w:rPr>
        <w:t>, kā arī ierosināja domei Lēmumu atcelt</w:t>
      </w:r>
      <w:r w:rsidRPr="009F550F">
        <w:rPr>
          <w:rFonts w:ascii="Times New Roman" w:hAnsi="Times New Roman" w:cs="Times New Roman"/>
        </w:rPr>
        <w:t>.</w:t>
      </w:r>
    </w:p>
    <w:p w14:paraId="48ECCCA2" w14:textId="77777777" w:rsidR="009F550F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eastAsia="NSimSun" w:hAnsi="Times New Roman" w:cs="Times New Roman"/>
          <w:kern w:val="2"/>
          <w:lang w:eastAsia="zh-CN" w:bidi="hi-IN"/>
        </w:rPr>
        <w:t xml:space="preserve">Īpašuma atsavināšanai Lēmumā doti uzdevumi pašvaldības Centrālās pārvaldes Nekustamā īpašuma nodaļai un Pašvaldības mantas iznomāšanas un atsavināšanas komisijai, tie līdz </w:t>
      </w:r>
      <w:proofErr w:type="spellStart"/>
      <w:r w:rsidRPr="009F550F">
        <w:rPr>
          <w:rFonts w:ascii="Times New Roman" w:hAnsi="Times New Roman" w:cs="Times New Roman"/>
        </w:rPr>
        <w:t>Ārputnu</w:t>
      </w:r>
      <w:proofErr w:type="spellEnd"/>
      <w:r w:rsidRPr="009F550F">
        <w:rPr>
          <w:rFonts w:ascii="Times New Roman" w:hAnsi="Times New Roman" w:cs="Times New Roman"/>
        </w:rPr>
        <w:t xml:space="preserve"> ielas posma un saistīto inženierkomunikāciju iz</w:t>
      </w:r>
      <w:r w:rsidRPr="009F550F">
        <w:rPr>
          <w:rFonts w:ascii="Times New Roman" w:hAnsi="Times New Roman" w:cs="Times New Roman"/>
        </w:rPr>
        <w:t>būvei nav izpildāmi</w:t>
      </w:r>
      <w:r w:rsidRPr="009F550F">
        <w:rPr>
          <w:rFonts w:ascii="Times New Roman" w:eastAsia="NSimSun" w:hAnsi="Times New Roman" w:cs="Times New Roman"/>
          <w:kern w:val="2"/>
          <w:lang w:eastAsia="zh-CN" w:bidi="hi-IN"/>
        </w:rPr>
        <w:t>.</w:t>
      </w:r>
      <w:r w:rsidRPr="009F550F">
        <w:rPr>
          <w:rFonts w:ascii="Times New Roman" w:hAnsi="Times New Roman" w:cs="Times New Roman"/>
        </w:rPr>
        <w:t xml:space="preserve"> Līdz ar to Lēmums ir zaudējis savu aktualitāti un ir atceļams.</w:t>
      </w:r>
    </w:p>
    <w:p w14:paraId="589EEAA3" w14:textId="3F732DB5" w:rsidR="00564CA6" w:rsidRPr="009F550F" w:rsidRDefault="00035491" w:rsidP="009F550F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FF0000"/>
        </w:rPr>
      </w:pPr>
      <w:r w:rsidRPr="009F550F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Pašvaldību likuma 73. panta ceturtā daļa cita starpā noteic, ka </w:t>
      </w:r>
      <w:r w:rsidRPr="009F550F">
        <w:rPr>
          <w:rFonts w:ascii="Times New Roman" w:hAnsi="Times New Roman" w:cs="Times New Roman"/>
          <w:shd w:val="clear" w:color="auto" w:fill="FFFFFF"/>
        </w:rPr>
        <w:t xml:space="preserve">pašvaldībai ir tiesības atsavināt nekustamo īpašumu. No minētās normas izriet arī pašvaldības </w:t>
      </w:r>
      <w:r w:rsidRPr="009F550F">
        <w:rPr>
          <w:rFonts w:ascii="Times New Roman" w:hAnsi="Times New Roman" w:cs="Times New Roman"/>
          <w:shd w:val="clear" w:color="auto" w:fill="FFFFFF"/>
        </w:rPr>
        <w:t>tiesības atcelt tās iepriekš pieņemto lēmumu par nekustamā īpašuma atsavināšanu.</w:t>
      </w:r>
    </w:p>
    <w:p w14:paraId="639C4E39" w14:textId="3CE30ED6" w:rsidR="00564CA6" w:rsidRPr="009F550F" w:rsidRDefault="00035491" w:rsidP="00BB16A4">
      <w:pPr>
        <w:spacing w:after="120"/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Pamatojoties uz iepriekš minēto un </w:t>
      </w:r>
      <w:r w:rsidRPr="009F550F">
        <w:rPr>
          <w:rFonts w:ascii="Times New Roman" w:eastAsia="NSimSun" w:hAnsi="Times New Roman" w:cs="Times New Roman"/>
          <w:bCs/>
          <w:kern w:val="2"/>
          <w:lang w:eastAsia="zh-CN" w:bidi="hi-IN"/>
        </w:rPr>
        <w:t>Pašvaldību likuma 73. panta ceturto daļu</w:t>
      </w:r>
      <w:r w:rsidRPr="009F550F">
        <w:rPr>
          <w:rFonts w:ascii="Times New Roman" w:hAnsi="Times New Roman" w:cs="Times New Roman"/>
        </w:rPr>
        <w:t xml:space="preserve">, </w:t>
      </w:r>
      <w:r w:rsidR="000F7364" w:rsidRPr="009F550F">
        <w:rPr>
          <w:rFonts w:ascii="Times New Roman" w:hAnsi="Times New Roman" w:cs="Times New Roman"/>
        </w:rPr>
        <w:t>pašvaldības Tehnisk</w:t>
      </w:r>
      <w:r w:rsidR="000F7364">
        <w:rPr>
          <w:rFonts w:ascii="Times New Roman" w:hAnsi="Times New Roman" w:cs="Times New Roman"/>
        </w:rPr>
        <w:t>ās</w:t>
      </w:r>
      <w:r w:rsidR="000F7364" w:rsidRPr="009F550F">
        <w:rPr>
          <w:rFonts w:ascii="Times New Roman" w:hAnsi="Times New Roman" w:cs="Times New Roman"/>
        </w:rPr>
        <w:t xml:space="preserve"> komisij</w:t>
      </w:r>
      <w:r w:rsidR="000F7364">
        <w:rPr>
          <w:rFonts w:ascii="Times New Roman" w:hAnsi="Times New Roman" w:cs="Times New Roman"/>
        </w:rPr>
        <w:t>as ierosinājumu,</w:t>
      </w:r>
      <w:r w:rsidR="000F7364" w:rsidRPr="009F550F">
        <w:rPr>
          <w:rFonts w:ascii="Times New Roman" w:hAnsi="Times New Roman" w:cs="Times New Roman"/>
        </w:rPr>
        <w:t xml:space="preserve"> </w:t>
      </w:r>
      <w:r w:rsidRPr="009F550F">
        <w:rPr>
          <w:rFonts w:ascii="Times New Roman" w:hAnsi="Times New Roman" w:cs="Times New Roman"/>
        </w:rPr>
        <w:t>kā arī saskaņā ar Attīstības komitejas 10.07.2024. a</w:t>
      </w:r>
      <w:r w:rsidRPr="009F550F">
        <w:rPr>
          <w:rFonts w:ascii="Times New Roman" w:hAnsi="Times New Roman" w:cs="Times New Roman"/>
        </w:rPr>
        <w:t>tzinumu,</w:t>
      </w:r>
      <w:r w:rsidRPr="009F550F">
        <w:rPr>
          <w:rFonts w:ascii="Times New Roman" w:hAnsi="Times New Roman" w:cs="Times New Roman"/>
          <w:color w:val="FF0000"/>
        </w:rPr>
        <w:t xml:space="preserve"> </w:t>
      </w:r>
      <w:r w:rsidRPr="009F550F">
        <w:rPr>
          <w:rFonts w:ascii="Times New Roman" w:hAnsi="Times New Roman" w:cs="Times New Roman"/>
        </w:rPr>
        <w:t>Ādažu novada</w:t>
      </w:r>
      <w:r w:rsidR="00BB16A4" w:rsidRPr="009F550F">
        <w:rPr>
          <w:rFonts w:ascii="Times New Roman" w:hAnsi="Times New Roman" w:cs="Times New Roman"/>
        </w:rPr>
        <w:t xml:space="preserve"> pašvaldības</w:t>
      </w:r>
      <w:r w:rsidRPr="009F550F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035491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FFC9A6B" w14:textId="04780B95" w:rsidR="00564CA6" w:rsidRPr="00564CA6" w:rsidRDefault="00035491" w:rsidP="009F550F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/>
        </w:rPr>
        <w:t xml:space="preserve">Atcelt </w:t>
      </w:r>
      <w:r w:rsidRPr="0057515D">
        <w:rPr>
          <w:rFonts w:ascii="Times New Roman" w:hAnsi="Times New Roman"/>
        </w:rPr>
        <w:t>Ādažu novada pašvaldības domes 29.02.2024. lēmumu Nr.</w:t>
      </w:r>
      <w:r>
        <w:t> </w:t>
      </w:r>
      <w:r w:rsidRPr="0057515D">
        <w:rPr>
          <w:rFonts w:ascii="Times New Roman" w:hAnsi="Times New Roman"/>
        </w:rPr>
        <w:t xml:space="preserve">54 “Par nekustamā īpašuma </w:t>
      </w:r>
      <w:proofErr w:type="spellStart"/>
      <w:r w:rsidRPr="0057515D">
        <w:rPr>
          <w:rFonts w:ascii="Times New Roman" w:hAnsi="Times New Roman"/>
        </w:rPr>
        <w:t>Kadagā</w:t>
      </w:r>
      <w:proofErr w:type="spellEnd"/>
      <w:r w:rsidRPr="0057515D">
        <w:rPr>
          <w:rFonts w:ascii="Times New Roman" w:hAnsi="Times New Roman"/>
        </w:rPr>
        <w:t>, “</w:t>
      </w:r>
      <w:proofErr w:type="spellStart"/>
      <w:r w:rsidRPr="0057515D">
        <w:rPr>
          <w:rFonts w:ascii="Times New Roman" w:hAnsi="Times New Roman"/>
        </w:rPr>
        <w:t>Ārputnu</w:t>
      </w:r>
      <w:proofErr w:type="spellEnd"/>
      <w:r w:rsidRPr="0057515D">
        <w:rPr>
          <w:rFonts w:ascii="Times New Roman" w:hAnsi="Times New Roman"/>
        </w:rPr>
        <w:t xml:space="preserve"> ielā 6” atsavināšanu”</w:t>
      </w:r>
      <w:r>
        <w:rPr>
          <w:rFonts w:ascii="Times New Roman" w:hAnsi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3549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83B0C13" w:rsidR="00564CA6" w:rsidRPr="00B47C10" w:rsidRDefault="00035491" w:rsidP="0063459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1264" w14:textId="77777777" w:rsidR="00000000" w:rsidRDefault="00035491">
      <w:r>
        <w:separator/>
      </w:r>
    </w:p>
  </w:endnote>
  <w:endnote w:type="continuationSeparator" w:id="0">
    <w:p w14:paraId="3C0A2AD2" w14:textId="77777777" w:rsidR="00000000" w:rsidRDefault="0003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089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3549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02A" w14:textId="77777777" w:rsidR="00000000" w:rsidRDefault="00035491">
      <w:r>
        <w:separator/>
      </w:r>
    </w:p>
  </w:footnote>
  <w:footnote w:type="continuationSeparator" w:id="0">
    <w:p w14:paraId="45555DCF" w14:textId="77777777" w:rsidR="00000000" w:rsidRDefault="0003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15362EA0"/>
    <w:lvl w:ilvl="0" w:tplc="ECEA8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EC07C46" w:tentative="1">
      <w:start w:val="1"/>
      <w:numFmt w:val="lowerLetter"/>
      <w:lvlText w:val="%2."/>
      <w:lvlJc w:val="left"/>
      <w:pPr>
        <w:ind w:left="1440" w:hanging="360"/>
      </w:pPr>
    </w:lvl>
    <w:lvl w:ilvl="2" w:tplc="18F83676" w:tentative="1">
      <w:start w:val="1"/>
      <w:numFmt w:val="lowerRoman"/>
      <w:lvlText w:val="%3."/>
      <w:lvlJc w:val="right"/>
      <w:pPr>
        <w:ind w:left="2160" w:hanging="180"/>
      </w:pPr>
    </w:lvl>
    <w:lvl w:ilvl="3" w:tplc="A85ED21C" w:tentative="1">
      <w:start w:val="1"/>
      <w:numFmt w:val="decimal"/>
      <w:lvlText w:val="%4."/>
      <w:lvlJc w:val="left"/>
      <w:pPr>
        <w:ind w:left="2880" w:hanging="360"/>
      </w:pPr>
    </w:lvl>
    <w:lvl w:ilvl="4" w:tplc="FA88CF5E" w:tentative="1">
      <w:start w:val="1"/>
      <w:numFmt w:val="lowerLetter"/>
      <w:lvlText w:val="%5."/>
      <w:lvlJc w:val="left"/>
      <w:pPr>
        <w:ind w:left="3600" w:hanging="360"/>
      </w:pPr>
    </w:lvl>
    <w:lvl w:ilvl="5" w:tplc="BFBE85F8" w:tentative="1">
      <w:start w:val="1"/>
      <w:numFmt w:val="lowerRoman"/>
      <w:lvlText w:val="%6."/>
      <w:lvlJc w:val="right"/>
      <w:pPr>
        <w:ind w:left="4320" w:hanging="180"/>
      </w:pPr>
    </w:lvl>
    <w:lvl w:ilvl="6" w:tplc="F76C9B0A" w:tentative="1">
      <w:start w:val="1"/>
      <w:numFmt w:val="decimal"/>
      <w:lvlText w:val="%7."/>
      <w:lvlJc w:val="left"/>
      <w:pPr>
        <w:ind w:left="5040" w:hanging="360"/>
      </w:pPr>
    </w:lvl>
    <w:lvl w:ilvl="7" w:tplc="351E15FE" w:tentative="1">
      <w:start w:val="1"/>
      <w:numFmt w:val="lowerLetter"/>
      <w:lvlText w:val="%8."/>
      <w:lvlJc w:val="left"/>
      <w:pPr>
        <w:ind w:left="5760" w:hanging="360"/>
      </w:pPr>
    </w:lvl>
    <w:lvl w:ilvl="8" w:tplc="FEB4D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66D"/>
    <w:multiLevelType w:val="hybridMultilevel"/>
    <w:tmpl w:val="CB38B836"/>
    <w:lvl w:ilvl="0" w:tplc="866E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64D2E0" w:tentative="1">
      <w:start w:val="1"/>
      <w:numFmt w:val="lowerLetter"/>
      <w:lvlText w:val="%2."/>
      <w:lvlJc w:val="left"/>
      <w:pPr>
        <w:ind w:left="1080" w:hanging="360"/>
      </w:pPr>
    </w:lvl>
    <w:lvl w:ilvl="2" w:tplc="8E9EA7D4" w:tentative="1">
      <w:start w:val="1"/>
      <w:numFmt w:val="lowerRoman"/>
      <w:lvlText w:val="%3."/>
      <w:lvlJc w:val="right"/>
      <w:pPr>
        <w:ind w:left="1800" w:hanging="180"/>
      </w:pPr>
    </w:lvl>
    <w:lvl w:ilvl="3" w:tplc="EF32EC44" w:tentative="1">
      <w:start w:val="1"/>
      <w:numFmt w:val="decimal"/>
      <w:lvlText w:val="%4."/>
      <w:lvlJc w:val="left"/>
      <w:pPr>
        <w:ind w:left="2520" w:hanging="360"/>
      </w:pPr>
    </w:lvl>
    <w:lvl w:ilvl="4" w:tplc="964E9244" w:tentative="1">
      <w:start w:val="1"/>
      <w:numFmt w:val="lowerLetter"/>
      <w:lvlText w:val="%5."/>
      <w:lvlJc w:val="left"/>
      <w:pPr>
        <w:ind w:left="3240" w:hanging="360"/>
      </w:pPr>
    </w:lvl>
    <w:lvl w:ilvl="5" w:tplc="CE32DC9C" w:tentative="1">
      <w:start w:val="1"/>
      <w:numFmt w:val="lowerRoman"/>
      <w:lvlText w:val="%6."/>
      <w:lvlJc w:val="right"/>
      <w:pPr>
        <w:ind w:left="3960" w:hanging="180"/>
      </w:pPr>
    </w:lvl>
    <w:lvl w:ilvl="6" w:tplc="D630AB76" w:tentative="1">
      <w:start w:val="1"/>
      <w:numFmt w:val="decimal"/>
      <w:lvlText w:val="%7."/>
      <w:lvlJc w:val="left"/>
      <w:pPr>
        <w:ind w:left="4680" w:hanging="360"/>
      </w:pPr>
    </w:lvl>
    <w:lvl w:ilvl="7" w:tplc="3F54EA62" w:tentative="1">
      <w:start w:val="1"/>
      <w:numFmt w:val="lowerLetter"/>
      <w:lvlText w:val="%8."/>
      <w:lvlJc w:val="left"/>
      <w:pPr>
        <w:ind w:left="5400" w:hanging="360"/>
      </w:pPr>
    </w:lvl>
    <w:lvl w:ilvl="8" w:tplc="421C7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2CA5F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08010299">
    <w:abstractNumId w:val="2"/>
  </w:num>
  <w:num w:numId="4" w16cid:durableId="61113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5491"/>
    <w:rsid w:val="00070E3F"/>
    <w:rsid w:val="000E1DE3"/>
    <w:rsid w:val="000F7364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515D"/>
    <w:rsid w:val="005C7FA1"/>
    <w:rsid w:val="00607068"/>
    <w:rsid w:val="00617AAC"/>
    <w:rsid w:val="00634594"/>
    <w:rsid w:val="00693F05"/>
    <w:rsid w:val="006D3451"/>
    <w:rsid w:val="006D513B"/>
    <w:rsid w:val="0074092B"/>
    <w:rsid w:val="0079484F"/>
    <w:rsid w:val="007B4DDB"/>
    <w:rsid w:val="007F28EB"/>
    <w:rsid w:val="008257F8"/>
    <w:rsid w:val="008344FD"/>
    <w:rsid w:val="008E3846"/>
    <w:rsid w:val="009139A1"/>
    <w:rsid w:val="00931891"/>
    <w:rsid w:val="00996740"/>
    <w:rsid w:val="009A3989"/>
    <w:rsid w:val="009B7F8F"/>
    <w:rsid w:val="009F550F"/>
    <w:rsid w:val="00A254B5"/>
    <w:rsid w:val="00A52B04"/>
    <w:rsid w:val="00B36CD4"/>
    <w:rsid w:val="00B4014F"/>
    <w:rsid w:val="00B47C10"/>
    <w:rsid w:val="00BB16A4"/>
    <w:rsid w:val="00BE75D1"/>
    <w:rsid w:val="00C067E9"/>
    <w:rsid w:val="00C82360"/>
    <w:rsid w:val="00C9477C"/>
    <w:rsid w:val="00CC1B2F"/>
    <w:rsid w:val="00CF16C2"/>
    <w:rsid w:val="00D86969"/>
    <w:rsid w:val="00E306AB"/>
    <w:rsid w:val="00E52DA2"/>
    <w:rsid w:val="00E75D8D"/>
    <w:rsid w:val="00EF06E1"/>
    <w:rsid w:val="00FA29A3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F550F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F550F"/>
    <w:rPr>
      <w:rFonts w:ascii="Arial" w:eastAsia="Times New Roman" w:hAnsi="Arial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9F550F"/>
    <w:pPr>
      <w:ind w:left="720"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2024-07-25T10:38:00Z</dcterms:created>
  <dcterms:modified xsi:type="dcterms:W3CDTF">2024-07-25T10:38:00Z</dcterms:modified>
</cp:coreProperties>
</file>