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4D4C9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4D4C9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D4C9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D4C9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15F72074" w:rsidR="00564CA6" w:rsidRPr="00564CA6" w:rsidRDefault="004D4C9B" w:rsidP="00564CA6">
      <w:pPr>
        <w:rPr>
          <w:rFonts w:ascii="Times New Roman" w:hAnsi="Times New Roman" w:cs="Times New Roman"/>
          <w:b/>
        </w:rPr>
      </w:pPr>
      <w:r>
        <w:rPr>
          <w:rFonts w:ascii="Times New Roman" w:hAnsi="Times New Roman" w:cs="Times New Roman"/>
        </w:rPr>
        <w:t>202</w:t>
      </w:r>
      <w:r w:rsidR="00C7311E">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C7311E">
        <w:rPr>
          <w:rFonts w:ascii="Times New Roman" w:hAnsi="Times New Roman" w:cs="Times New Roman"/>
        </w:rPr>
        <w:t>25. jūlijā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6D4322">
        <w:rPr>
          <w:rFonts w:ascii="Times New Roman" w:hAnsi="Times New Roman" w:cs="Times New Roman"/>
        </w:rPr>
        <w:tab/>
      </w:r>
      <w:r w:rsidR="006D4322">
        <w:rPr>
          <w:rFonts w:ascii="Times New Roman" w:hAnsi="Times New Roman" w:cs="Times New Roman"/>
        </w:rPr>
        <w:tab/>
      </w:r>
      <w:r w:rsidR="006D4322">
        <w:rPr>
          <w:rFonts w:ascii="Times New Roman" w:hAnsi="Times New Roman" w:cs="Times New Roman"/>
        </w:rPr>
        <w:tab/>
      </w:r>
      <w:r w:rsidR="006D4322">
        <w:rPr>
          <w:rFonts w:ascii="Times New Roman" w:hAnsi="Times New Roman" w:cs="Times New Roman"/>
        </w:rPr>
        <w:tab/>
      </w:r>
      <w:r w:rsidRPr="00564CA6">
        <w:rPr>
          <w:rFonts w:ascii="Times New Roman" w:hAnsi="Times New Roman" w:cs="Times New Roman"/>
          <w:b/>
        </w:rPr>
        <w:t>Nr.</w:t>
      </w:r>
      <w:r w:rsidR="006D4322">
        <w:rPr>
          <w:rFonts w:ascii="Times New Roman" w:hAnsi="Times New Roman" w:cs="Times New Roman"/>
          <w:noProof/>
        </w:rPr>
        <w:t xml:space="preserve"> </w:t>
      </w:r>
      <w:r w:rsidRPr="006D4322">
        <w:rPr>
          <w:rFonts w:ascii="Times New Roman" w:hAnsi="Times New Roman" w:cs="Times New Roman"/>
          <w:b/>
          <w:bCs/>
          <w:noProof/>
        </w:rPr>
        <w:t>269</w:t>
      </w:r>
    </w:p>
    <w:p w14:paraId="5CED2A65" w14:textId="77777777" w:rsidR="00564CA6" w:rsidRPr="00564CA6" w:rsidRDefault="00564CA6" w:rsidP="00564CA6">
      <w:pPr>
        <w:rPr>
          <w:rFonts w:ascii="Times New Roman" w:hAnsi="Times New Roman" w:cs="Times New Roman"/>
        </w:rPr>
      </w:pPr>
    </w:p>
    <w:p w14:paraId="08C756C1" w14:textId="0230AE06" w:rsidR="00C7311E" w:rsidRPr="00C7311E" w:rsidRDefault="004D4C9B" w:rsidP="00C7311E">
      <w:pPr>
        <w:jc w:val="center"/>
        <w:rPr>
          <w:rFonts w:ascii="Times New Roman" w:eastAsia="Times New Roman" w:hAnsi="Times New Roman" w:cs="Times New Roman"/>
          <w:b/>
          <w:bCs/>
        </w:rPr>
      </w:pPr>
      <w:r w:rsidRPr="00C7311E">
        <w:rPr>
          <w:rFonts w:ascii="Times New Roman" w:eastAsia="Times New Roman" w:hAnsi="Times New Roman" w:cs="Times New Roman"/>
          <w:b/>
          <w:bCs/>
        </w:rPr>
        <w:t xml:space="preserve">Par grozījumiem Ādažu novada pašvaldības domes </w:t>
      </w:r>
      <w:bookmarkStart w:id="0" w:name="_Hlk170205972"/>
      <w:r w:rsidRPr="00C7311E">
        <w:rPr>
          <w:rFonts w:ascii="Times New Roman" w:eastAsia="Times New Roman" w:hAnsi="Times New Roman" w:cs="Times New Roman"/>
          <w:b/>
          <w:bCs/>
        </w:rPr>
        <w:t>27.07.2022. lēmumā</w:t>
      </w:r>
      <w:r w:rsidR="006D4322">
        <w:rPr>
          <w:rFonts w:ascii="Times New Roman" w:eastAsia="Times New Roman" w:hAnsi="Times New Roman" w:cs="Times New Roman"/>
          <w:b/>
          <w:bCs/>
        </w:rPr>
        <w:t xml:space="preserve"> </w:t>
      </w:r>
      <w:r w:rsidRPr="00C7311E">
        <w:rPr>
          <w:rFonts w:ascii="Times New Roman" w:eastAsia="Times New Roman" w:hAnsi="Times New Roman" w:cs="Times New Roman"/>
          <w:b/>
          <w:bCs/>
        </w:rPr>
        <w:t>Nr. 324 “Par dzīvokļa īpašumu nodošanu pārvaldībā pašvaldības aģentūrai “Carnikavas komunālserviss”</w:t>
      </w:r>
    </w:p>
    <w:bookmarkEnd w:id="0"/>
    <w:p w14:paraId="001C96E2" w14:textId="77777777" w:rsidR="00564CA6" w:rsidRPr="006D4322" w:rsidRDefault="00564CA6" w:rsidP="00564CA6">
      <w:pPr>
        <w:rPr>
          <w:rFonts w:ascii="Times New Roman" w:hAnsi="Times New Roman" w:cs="Times New Roman"/>
          <w:b/>
          <w:iCs/>
          <w:color w:val="FF0000"/>
        </w:rPr>
      </w:pPr>
    </w:p>
    <w:p w14:paraId="7A8C4E1D" w14:textId="77777777" w:rsidR="00C7311E" w:rsidRPr="00C7311E" w:rsidRDefault="004D4C9B" w:rsidP="006D4322">
      <w:pPr>
        <w:jc w:val="both"/>
        <w:rPr>
          <w:rFonts w:ascii="Times New Roman" w:eastAsia="Times New Roman" w:hAnsi="Times New Roman" w:cs="Times New Roman"/>
          <w:lang w:eastAsia="ar-SA"/>
        </w:rPr>
      </w:pPr>
      <w:r w:rsidRPr="00C7311E">
        <w:rPr>
          <w:rFonts w:ascii="Times New Roman" w:eastAsia="Times New Roman" w:hAnsi="Times New Roman" w:cs="Times New Roman"/>
          <w:lang w:eastAsia="x-none"/>
        </w:rPr>
        <w:t xml:space="preserve">Ar </w:t>
      </w:r>
      <w:bookmarkStart w:id="1" w:name="_Hlk170211231"/>
      <w:r w:rsidRPr="00C7311E">
        <w:rPr>
          <w:rFonts w:ascii="Times New Roman" w:eastAsia="Times New Roman" w:hAnsi="Times New Roman" w:cs="Times New Roman"/>
          <w:lang w:eastAsia="x-none"/>
        </w:rPr>
        <w:t>Ādažu novada pašvaldības domes 27.07.2022. lēmumu Nr. 324 “Par dzī</w:t>
      </w:r>
      <w:r w:rsidRPr="00C7311E">
        <w:rPr>
          <w:rFonts w:ascii="Times New Roman" w:eastAsia="Times New Roman" w:hAnsi="Times New Roman" w:cs="Times New Roman"/>
          <w:lang w:eastAsia="x-none"/>
        </w:rPr>
        <w:t xml:space="preserve">vokļa īpašumu nodošanu pārvaldībā pašvaldības aģentūrai “Carnikavas komunālserviss” </w:t>
      </w:r>
      <w:bookmarkEnd w:id="1"/>
      <w:r w:rsidRPr="00C7311E">
        <w:rPr>
          <w:rFonts w:ascii="Times New Roman" w:eastAsia="Times New Roman" w:hAnsi="Times New Roman" w:cs="Times New Roman"/>
          <w:lang w:eastAsia="x-none"/>
        </w:rPr>
        <w:t>(turpmāk – Lēmums), dome nolēma nodot pašvaldības aģentūrai “Carnikavas komunālserviss” (turpmāk – Aģentūra) pārvaldībā pašvaldībai piederošos piecus dzīvokļa īpašumus Carn</w:t>
      </w:r>
      <w:r w:rsidRPr="00C7311E">
        <w:rPr>
          <w:rFonts w:ascii="Times New Roman" w:eastAsia="Times New Roman" w:hAnsi="Times New Roman" w:cs="Times New Roman"/>
          <w:lang w:eastAsia="x-none"/>
        </w:rPr>
        <w:t xml:space="preserve">ikavas pagastā un trīsdesmit trīs dzīvokļa īpašumus Ādažu pagastā un Ādažu pilsētā, jo </w:t>
      </w:r>
      <w:r w:rsidRPr="00C7311E">
        <w:rPr>
          <w:rFonts w:ascii="Times New Roman" w:eastAsia="Times New Roman" w:hAnsi="Times New Roman" w:cs="Times New Roman"/>
          <w:shd w:val="clear" w:color="auto" w:fill="FFFFFF"/>
          <w:lang w:eastAsia="x-none"/>
        </w:rPr>
        <w:t xml:space="preserve">pašvaldības 23.02.2022. saistošo noteikumu Nr. 17/2022 “Pašvaldības aģentūras “Carnikavas komunālserviss” nolikums” </w:t>
      </w:r>
      <w:r w:rsidRPr="00C7311E">
        <w:rPr>
          <w:rFonts w:ascii="Times New Roman" w:eastAsia="Times New Roman" w:hAnsi="Times New Roman" w:cs="Times New Roman"/>
          <w:lang w:eastAsia="ar-SA"/>
        </w:rPr>
        <w:t>7. punktā, cita starpā, A</w:t>
      </w:r>
      <w:r w:rsidRPr="00C7311E">
        <w:rPr>
          <w:rFonts w:ascii="Times New Roman" w:eastAsia="Times New Roman" w:hAnsi="Times New Roman" w:cs="Times New Roman"/>
          <w:lang w:eastAsia="x-none"/>
        </w:rPr>
        <w:t>ģentūrai</w:t>
      </w:r>
      <w:r w:rsidRPr="00C7311E">
        <w:rPr>
          <w:rFonts w:ascii="Times New Roman" w:eastAsia="Times New Roman" w:hAnsi="Times New Roman" w:cs="Times New Roman"/>
          <w:lang w:eastAsia="ar-SA"/>
        </w:rPr>
        <w:t xml:space="preserve"> ir noteikts uzdevum</w:t>
      </w:r>
      <w:r w:rsidRPr="00C7311E">
        <w:rPr>
          <w:rFonts w:ascii="Times New Roman" w:eastAsia="Times New Roman" w:hAnsi="Times New Roman" w:cs="Times New Roman"/>
          <w:lang w:eastAsia="ar-SA"/>
        </w:rPr>
        <w:t xml:space="preserve">s </w:t>
      </w:r>
      <w:r w:rsidRPr="00C7311E">
        <w:rPr>
          <w:rFonts w:ascii="Times New Roman" w:eastAsia="Times New Roman" w:hAnsi="Times New Roman" w:cs="Times New Roman"/>
          <w:shd w:val="clear" w:color="auto" w:fill="FFFFFF"/>
          <w:lang w:eastAsia="x-none"/>
        </w:rPr>
        <w:t>apsaimniekot un labiekārtot pārvaldībā nodotos pašvaldības nekustamos īpašumus</w:t>
      </w:r>
      <w:r w:rsidRPr="00C7311E">
        <w:rPr>
          <w:rFonts w:ascii="Times New Roman" w:eastAsia="Times New Roman" w:hAnsi="Times New Roman" w:cs="Times New Roman"/>
          <w:lang w:eastAsia="ar-SA"/>
        </w:rPr>
        <w:t>.</w:t>
      </w:r>
    </w:p>
    <w:p w14:paraId="739D9FF9" w14:textId="77777777" w:rsidR="00C7311E" w:rsidRPr="00C7311E" w:rsidRDefault="004D4C9B" w:rsidP="00C7311E">
      <w:pPr>
        <w:spacing w:before="120"/>
        <w:jc w:val="both"/>
        <w:rPr>
          <w:rFonts w:ascii="Times New Roman" w:eastAsia="Times New Roman" w:hAnsi="Times New Roman" w:cs="Times New Roman"/>
          <w:bCs/>
          <w:lang w:eastAsia="x-none"/>
        </w:rPr>
      </w:pPr>
      <w:r w:rsidRPr="00C7311E">
        <w:rPr>
          <w:rFonts w:ascii="Times New Roman" w:eastAsia="Times New Roman" w:hAnsi="Times New Roman" w:cs="Times New Roman"/>
          <w:lang w:eastAsia="x-none"/>
        </w:rPr>
        <w:t xml:space="preserve">Dzīvokļa īpašumi Ādažu pagastā un pilsētā šobrīd ir nodoti SIA “Ādažu Namsaimnieks” (turpmāk – ĀN) pārvaldībā, </w:t>
      </w:r>
      <w:r w:rsidRPr="00C7311E">
        <w:rPr>
          <w:rFonts w:ascii="Times New Roman" w:eastAsia="Times New Roman" w:hAnsi="Times New Roman" w:cs="Times New Roman"/>
          <w:bCs/>
          <w:lang w:eastAsia="x-none"/>
        </w:rPr>
        <w:t xml:space="preserve">pamatojoties uz 31.05.2012. noslēgto pašvaldības </w:t>
      </w:r>
      <w:r w:rsidRPr="00C7311E">
        <w:rPr>
          <w:rFonts w:ascii="Times New Roman" w:eastAsia="Times New Roman" w:hAnsi="Times New Roman" w:cs="Times New Roman"/>
          <w:bCs/>
          <w:lang w:eastAsia="x-none"/>
        </w:rPr>
        <w:t>dzīvojamā fonda pārvaldīšanas līgumu JUR 2012-05/361 (turpmāk – ĀN pārvaldīšanas līgums).</w:t>
      </w:r>
    </w:p>
    <w:p w14:paraId="010F13F7" w14:textId="77777777" w:rsidR="00C7311E" w:rsidRPr="00C7311E" w:rsidRDefault="004D4C9B" w:rsidP="00C7311E">
      <w:pPr>
        <w:spacing w:before="120"/>
        <w:jc w:val="both"/>
        <w:rPr>
          <w:rFonts w:ascii="Times New Roman" w:eastAsia="Times New Roman" w:hAnsi="Times New Roman" w:cs="Times New Roman"/>
          <w:bCs/>
          <w:lang w:eastAsia="x-none"/>
        </w:rPr>
      </w:pPr>
      <w:r w:rsidRPr="00C7311E">
        <w:rPr>
          <w:rFonts w:ascii="Times New Roman" w:eastAsia="Times New Roman" w:hAnsi="Times New Roman" w:cs="Times New Roman"/>
          <w:lang w:eastAsia="x-none"/>
        </w:rPr>
        <w:t xml:space="preserve">Ar domes </w:t>
      </w:r>
      <w:bookmarkStart w:id="2" w:name="_Hlk163574445"/>
      <w:r w:rsidRPr="00C7311E">
        <w:rPr>
          <w:rFonts w:ascii="Times New Roman" w:eastAsia="Times New Roman" w:hAnsi="Times New Roman" w:cs="Times New Roman"/>
          <w:lang w:eastAsia="x-none"/>
        </w:rPr>
        <w:t xml:space="preserve">22.07.2022. lēmumu </w:t>
      </w:r>
      <w:bookmarkStart w:id="3" w:name="_Hlk146101958"/>
      <w:r w:rsidRPr="00C7311E">
        <w:rPr>
          <w:rFonts w:ascii="Times New Roman" w:eastAsia="Times New Roman" w:hAnsi="Times New Roman" w:cs="Times New Roman"/>
          <w:lang w:eastAsia="x-none"/>
        </w:rPr>
        <w:t xml:space="preserve">Nr. 320 “Par Carnikavas pagasta ūdenssaimniecības nodošanu SIA “Ādažu ūdens”” </w:t>
      </w:r>
      <w:bookmarkEnd w:id="3"/>
      <w:r w:rsidRPr="00C7311E">
        <w:rPr>
          <w:rFonts w:ascii="Times New Roman" w:eastAsia="Times New Roman" w:hAnsi="Times New Roman" w:cs="Times New Roman"/>
          <w:lang w:eastAsia="x-none"/>
        </w:rPr>
        <w:t>un 26.04.2023. lēmumu Nr. 162 “Par pašvaldības siltumapgādes</w:t>
      </w:r>
      <w:r w:rsidRPr="00C7311E">
        <w:rPr>
          <w:rFonts w:ascii="Times New Roman" w:eastAsia="Times New Roman" w:hAnsi="Times New Roman" w:cs="Times New Roman"/>
          <w:lang w:eastAsia="x-none"/>
        </w:rPr>
        <w:t xml:space="preserve"> funkcijas Carnikavā nodošanu SIA “Ādažu namsaimnieks””</w:t>
      </w:r>
      <w:bookmarkEnd w:id="2"/>
      <w:r w:rsidRPr="00C7311E">
        <w:rPr>
          <w:rFonts w:ascii="Times New Roman" w:eastAsia="Times New Roman" w:hAnsi="Times New Roman" w:cs="Times New Roman"/>
          <w:lang w:eastAsia="x-none"/>
        </w:rPr>
        <w:t>, dome atbalstīja Aģentūras sniegtās centralizētās siltumapgādes funkcijas nodošanu ĀN, un centralizētās ūdenssaimniecības funkcijas nodošanu SIA “Ādažu ūdens” līdz 2023. gada 31. decembrim.</w:t>
      </w:r>
    </w:p>
    <w:p w14:paraId="3A7D8BA0" w14:textId="77777777" w:rsidR="00C7311E" w:rsidRPr="00C7311E" w:rsidRDefault="004D4C9B" w:rsidP="00C7311E">
      <w:pPr>
        <w:spacing w:before="120" w:after="120"/>
        <w:jc w:val="both"/>
        <w:rPr>
          <w:rFonts w:ascii="Times New Roman" w:eastAsia="Times New Roman" w:hAnsi="Times New Roman" w:cs="Times New Roman"/>
          <w:lang w:eastAsia="x-none"/>
        </w:rPr>
      </w:pPr>
      <w:r w:rsidRPr="00C7311E">
        <w:rPr>
          <w:rFonts w:ascii="Times New Roman" w:eastAsia="Times New Roman" w:hAnsi="Times New Roman" w:cs="Times New Roman"/>
          <w:lang w:eastAsia="x-none"/>
        </w:rPr>
        <w:t>Ņemot vērā</w:t>
      </w:r>
      <w:r w:rsidRPr="00C7311E">
        <w:rPr>
          <w:rFonts w:ascii="Times New Roman" w:eastAsia="Times New Roman" w:hAnsi="Times New Roman" w:cs="Times New Roman"/>
          <w:lang w:eastAsia="x-none"/>
        </w:rPr>
        <w:t>, ka Aģentūra vairs neīstenos siltumapgādes un ūdenssaimniecības funkcijas, dome paredzēja visa dzīvojamā fonda Ādažu novadā pakāpenisku nodošanu Aģentūrai pārvaldībā.</w:t>
      </w:r>
    </w:p>
    <w:p w14:paraId="7D6248FF" w14:textId="77777777" w:rsidR="00C7311E" w:rsidRPr="00C7311E" w:rsidRDefault="004D4C9B" w:rsidP="00C7311E">
      <w:pPr>
        <w:spacing w:before="120"/>
        <w:jc w:val="both"/>
        <w:rPr>
          <w:rFonts w:ascii="Times New Roman" w:eastAsia="Times New Roman" w:hAnsi="Times New Roman" w:cs="Times New Roman"/>
          <w:bCs/>
          <w:lang w:eastAsia="x-none"/>
        </w:rPr>
      </w:pPr>
      <w:bookmarkStart w:id="4" w:name="_Hlk163547520"/>
      <w:r w:rsidRPr="00C7311E">
        <w:rPr>
          <w:rFonts w:ascii="Times New Roman" w:eastAsia="Times New Roman" w:hAnsi="Times New Roman" w:cs="Times New Roman"/>
          <w:bCs/>
          <w:lang w:eastAsia="x-none"/>
        </w:rPr>
        <w:t xml:space="preserve">Ar pašvaldības domes 25.04.2024. lēmumu Nr. 168 “Par Carnikavas pagasta </w:t>
      </w:r>
      <w:r w:rsidRPr="00C7311E">
        <w:rPr>
          <w:rFonts w:ascii="Times New Roman" w:eastAsia="Times New Roman" w:hAnsi="Times New Roman" w:cs="Times New Roman"/>
          <w:bCs/>
          <w:lang w:eastAsia="x-none"/>
        </w:rPr>
        <w:t>ūdenssaimniecības un siltumapgādes funkciju nodošanas termiņa pagarināšanu un pārņemšanas plānu apstiprināšanu”, Carnikavas pagasta centralizētās ūdenssaimniecības un siltumapgādes funkciju nodošanas termiņš pašvaldības kapitālsabiedrībām tika pagarināts l</w:t>
      </w:r>
      <w:r w:rsidRPr="00C7311E">
        <w:rPr>
          <w:rFonts w:ascii="Times New Roman" w:eastAsia="Times New Roman" w:hAnsi="Times New Roman" w:cs="Times New Roman"/>
          <w:bCs/>
          <w:lang w:eastAsia="x-none"/>
        </w:rPr>
        <w:t>īdz 30.06.2025.</w:t>
      </w:r>
      <w:bookmarkEnd w:id="4"/>
      <w:r w:rsidRPr="00C7311E">
        <w:rPr>
          <w:rFonts w:ascii="Times New Roman" w:eastAsia="Times New Roman" w:hAnsi="Times New Roman" w:cs="Times New Roman"/>
          <w:bCs/>
          <w:lang w:eastAsia="x-none"/>
        </w:rPr>
        <w:t xml:space="preserve"> </w:t>
      </w:r>
    </w:p>
    <w:p w14:paraId="3E975C11" w14:textId="77777777" w:rsidR="00C7311E" w:rsidRPr="00C7311E" w:rsidRDefault="004D4C9B" w:rsidP="00C7311E">
      <w:pPr>
        <w:spacing w:before="120"/>
        <w:jc w:val="both"/>
        <w:rPr>
          <w:rFonts w:ascii="Times New Roman" w:eastAsia="Calibri" w:hAnsi="Times New Roman" w:cs="Times New Roman"/>
        </w:rPr>
      </w:pPr>
      <w:r w:rsidRPr="00C7311E">
        <w:rPr>
          <w:rFonts w:ascii="Times New Roman" w:eastAsia="Calibri" w:hAnsi="Times New Roman" w:cs="Times New Roman"/>
        </w:rPr>
        <w:t>Ņemot vērā iepriekš minēto, šobrīd nav lietderīgi nodot Aģentūrai pārvaldīšanā Ādažu pagastā un pilsētā esošo pašvaldības dzīvojamo fondu, jo Aģentūras resursi vēl nav pārgrupēti šāda uzdevuma izpildei (paredzams, ka resursi būs pieejami p</w:t>
      </w:r>
      <w:r w:rsidRPr="00C7311E">
        <w:rPr>
          <w:rFonts w:ascii="Times New Roman" w:eastAsia="Calibri" w:hAnsi="Times New Roman" w:cs="Times New Roman"/>
        </w:rPr>
        <w:t xml:space="preserve">ēc centralizēto siltumapgādes un ūdensapgādes funkciju nodošanas pašvaldības kapitālsabiedrībām). </w:t>
      </w:r>
    </w:p>
    <w:p w14:paraId="4FB3D4B6" w14:textId="77777777" w:rsidR="00C7311E" w:rsidRPr="00C7311E" w:rsidRDefault="004D4C9B" w:rsidP="00C7311E">
      <w:pPr>
        <w:spacing w:before="120"/>
        <w:jc w:val="both"/>
        <w:rPr>
          <w:rFonts w:ascii="Times New Roman" w:eastAsia="Times New Roman" w:hAnsi="Times New Roman" w:cs="Times New Roman"/>
          <w:bCs/>
          <w:lang w:eastAsia="x-none"/>
        </w:rPr>
      </w:pPr>
      <w:r w:rsidRPr="00C7311E">
        <w:rPr>
          <w:rFonts w:ascii="Times New Roman" w:eastAsia="Calibri" w:hAnsi="Times New Roman" w:cs="Times New Roman"/>
        </w:rPr>
        <w:t>Minētajā teritorijā esošo dzīvokļu uzlabošanu turpinās veikt Aģentūra šim mērķim asignēto finanšu līdzekļu ietvaros un bez atsevišķa domes lēmuma par šo īpaš</w:t>
      </w:r>
      <w:r w:rsidRPr="00C7311E">
        <w:rPr>
          <w:rFonts w:ascii="Times New Roman" w:eastAsia="Calibri" w:hAnsi="Times New Roman" w:cs="Times New Roman"/>
        </w:rPr>
        <w:t>umu nodošanu Aģentūrai pārvaldīšanā vai apsaimniekošanā, starpposmā pēc dzīvokļa īres līguma termiņa beigām un dzīvokļa atbrīvošanas, līdz dzīvokļa nodošanai ĀN dzīvokļa īrei pēc tā uzlabošanas</w:t>
      </w:r>
      <w:r w:rsidRPr="00C7311E">
        <w:rPr>
          <w:rFonts w:ascii="Times New Roman" w:eastAsia="Times New Roman" w:hAnsi="Times New Roman" w:cs="Times New Roman"/>
          <w:bCs/>
        </w:rPr>
        <w:t xml:space="preserve"> pašvaldības 28.12.2022. noteikumu Nr. 45 “Pašvaldības ēku un b</w:t>
      </w:r>
      <w:r w:rsidRPr="00C7311E">
        <w:rPr>
          <w:rFonts w:ascii="Times New Roman" w:eastAsia="Times New Roman" w:hAnsi="Times New Roman" w:cs="Times New Roman"/>
          <w:bCs/>
        </w:rPr>
        <w:t>ūvju pārvaldīšanas noteikumi” 10.</w:t>
      </w:r>
      <w:r w:rsidRPr="00C7311E">
        <w:rPr>
          <w:rFonts w:ascii="Times New Roman" w:eastAsia="Times New Roman" w:hAnsi="Times New Roman" w:cs="Times New Roman"/>
          <w:bCs/>
          <w:vertAlign w:val="superscript"/>
        </w:rPr>
        <w:t xml:space="preserve">1 </w:t>
      </w:r>
      <w:r w:rsidRPr="00C7311E">
        <w:rPr>
          <w:rFonts w:ascii="Times New Roman" w:eastAsia="Times New Roman" w:hAnsi="Times New Roman" w:cs="Times New Roman"/>
          <w:bCs/>
        </w:rPr>
        <w:t>punktā noteiktajā kārtībā.</w:t>
      </w:r>
    </w:p>
    <w:p w14:paraId="40F43078" w14:textId="77777777" w:rsidR="00C7311E" w:rsidRPr="00C7311E" w:rsidRDefault="004D4C9B" w:rsidP="00C7311E">
      <w:pPr>
        <w:spacing w:before="120"/>
        <w:jc w:val="both"/>
        <w:rPr>
          <w:rFonts w:ascii="Times New Roman" w:eastAsia="Calibri" w:hAnsi="Times New Roman" w:cs="Times New Roman"/>
        </w:rPr>
      </w:pPr>
      <w:r w:rsidRPr="00C7311E">
        <w:rPr>
          <w:rFonts w:ascii="Times New Roman" w:eastAsia="Calibri" w:hAnsi="Times New Roman" w:cs="Times New Roman"/>
        </w:rPr>
        <w:lastRenderedPageBreak/>
        <w:t>Nav lietderīgi attiecībā uz dzīvokļu uzlabošanas uzdevumu uz nepilnu gadu slēgt vienošanos pie 02.02.2004. pašvaldības nekustamo īpašumu apsaimniekošanas līguma starp Carnikavas pagasta padomi u</w:t>
      </w:r>
      <w:r w:rsidRPr="00C7311E">
        <w:rPr>
          <w:rFonts w:ascii="Times New Roman" w:eastAsia="Calibri" w:hAnsi="Times New Roman" w:cs="Times New Roman"/>
        </w:rPr>
        <w:t>n Aģentūru, kā arī veikt grozījumus ĀN pārvaldīšanas līgumā, līdz ar to Lēmumā ir veicami grozījumi, precizējot minētās procedūras izpildes kārtību.</w:t>
      </w:r>
    </w:p>
    <w:p w14:paraId="72F44A13" w14:textId="77777777" w:rsidR="00C7311E" w:rsidRPr="00C7311E" w:rsidRDefault="004D4C9B" w:rsidP="006D4322">
      <w:pPr>
        <w:spacing w:before="120" w:after="120"/>
        <w:jc w:val="both"/>
        <w:rPr>
          <w:rFonts w:ascii="Times New Roman" w:eastAsia="Calibri" w:hAnsi="Times New Roman" w:cs="Times New Roman"/>
        </w:rPr>
      </w:pPr>
      <w:r w:rsidRPr="00C7311E">
        <w:rPr>
          <w:rFonts w:ascii="Times New Roman" w:eastAsia="Times New Roman" w:hAnsi="Times New Roman" w:cs="Times New Roman"/>
          <w:lang w:eastAsia="x-none"/>
        </w:rPr>
        <w:t>Pamatojoties uz Pašvaldību likuma 4. panta pirmās daļas 2. punktu, 73. panta astoto daļu, kā arī Attīstības</w:t>
      </w:r>
      <w:r w:rsidRPr="00C7311E">
        <w:rPr>
          <w:rFonts w:ascii="Times New Roman" w:eastAsia="Times New Roman" w:hAnsi="Times New Roman" w:cs="Times New Roman"/>
          <w:lang w:eastAsia="x-none"/>
        </w:rPr>
        <w:t xml:space="preserve"> komitejas 10.07.2024. atzinumu, Ādažu novada pašvaldības dome</w:t>
      </w:r>
    </w:p>
    <w:p w14:paraId="7E71C6D5" w14:textId="77777777" w:rsidR="00564CA6" w:rsidRPr="00564CA6" w:rsidRDefault="004D4C9B" w:rsidP="00BB16A4">
      <w:pPr>
        <w:spacing w:after="120"/>
        <w:jc w:val="center"/>
        <w:rPr>
          <w:rFonts w:ascii="Times New Roman" w:hAnsi="Times New Roman" w:cs="Times New Roman"/>
          <w:b/>
        </w:rPr>
      </w:pPr>
      <w:r w:rsidRPr="00564CA6">
        <w:rPr>
          <w:rFonts w:ascii="Times New Roman" w:hAnsi="Times New Roman" w:cs="Times New Roman"/>
          <w:b/>
        </w:rPr>
        <w:t>NOLEMJ:</w:t>
      </w:r>
    </w:p>
    <w:p w14:paraId="75038929" w14:textId="77777777" w:rsidR="00FF6222" w:rsidRPr="00FF6222" w:rsidRDefault="004D4C9B" w:rsidP="00FF6222">
      <w:pPr>
        <w:numPr>
          <w:ilvl w:val="0"/>
          <w:numId w:val="3"/>
        </w:numPr>
        <w:tabs>
          <w:tab w:val="num" w:pos="426"/>
        </w:tabs>
        <w:spacing w:after="120"/>
        <w:ind w:left="426" w:hanging="423"/>
        <w:jc w:val="both"/>
        <w:rPr>
          <w:rFonts w:ascii="Times New Roman" w:eastAsia="Calibri" w:hAnsi="Times New Roman" w:cs="Times New Roman"/>
        </w:rPr>
      </w:pPr>
      <w:bookmarkStart w:id="5" w:name="_Hlk108166945"/>
      <w:r w:rsidRPr="00FF6222">
        <w:rPr>
          <w:rFonts w:ascii="Times New Roman" w:eastAsia="Calibri" w:hAnsi="Times New Roman" w:cs="Times New Roman"/>
        </w:rPr>
        <w:t>Izdarīt šādus grozījumus Ādažu novada pašvaldības domes 27.07.2022. lēmumā Nr. 324 “Par dzīvokļa īpašumu nodošanu pārvaldībā pašvaldības aģentūrai “Carnikavas komunālserviss””:</w:t>
      </w:r>
    </w:p>
    <w:p w14:paraId="23B1CF80" w14:textId="77777777" w:rsidR="00FF6222" w:rsidRPr="00FF6222" w:rsidRDefault="004D4C9B" w:rsidP="00FF6222">
      <w:pPr>
        <w:numPr>
          <w:ilvl w:val="1"/>
          <w:numId w:val="4"/>
        </w:numPr>
        <w:spacing w:after="120"/>
        <w:ind w:left="993" w:hanging="567"/>
        <w:jc w:val="both"/>
        <w:rPr>
          <w:rFonts w:ascii="Times New Roman" w:eastAsia="Calibri" w:hAnsi="Times New Roman" w:cs="Times New Roman"/>
        </w:rPr>
      </w:pPr>
      <w:r w:rsidRPr="00FF6222">
        <w:rPr>
          <w:rFonts w:ascii="Times New Roman" w:eastAsia="Calibri" w:hAnsi="Times New Roman" w:cs="Times New Roman"/>
        </w:rPr>
        <w:t xml:space="preserve">svītrot </w:t>
      </w:r>
      <w:r w:rsidRPr="00FF6222">
        <w:rPr>
          <w:rFonts w:ascii="Times New Roman" w:eastAsia="Calibri" w:hAnsi="Times New Roman" w:cs="Times New Roman"/>
        </w:rPr>
        <w:t>1.2.1. apakšpunktu;</w:t>
      </w:r>
    </w:p>
    <w:p w14:paraId="777220A9" w14:textId="77777777" w:rsidR="00FF6222" w:rsidRPr="00FF6222" w:rsidRDefault="004D4C9B" w:rsidP="00FF6222">
      <w:pPr>
        <w:numPr>
          <w:ilvl w:val="1"/>
          <w:numId w:val="4"/>
        </w:numPr>
        <w:spacing w:after="120"/>
        <w:ind w:left="993" w:hanging="567"/>
        <w:jc w:val="both"/>
        <w:rPr>
          <w:rFonts w:ascii="Times New Roman" w:eastAsia="Calibri" w:hAnsi="Times New Roman" w:cs="Times New Roman"/>
        </w:rPr>
      </w:pPr>
      <w:r w:rsidRPr="00FF6222">
        <w:rPr>
          <w:rFonts w:ascii="Times New Roman" w:eastAsia="Calibri" w:hAnsi="Times New Roman" w:cs="Times New Roman"/>
        </w:rPr>
        <w:t>svītrot 2. punktā teikuma daļu “</w:t>
      </w:r>
      <w:bookmarkEnd w:id="5"/>
      <w:r w:rsidRPr="00FF6222">
        <w:rPr>
          <w:rFonts w:ascii="Times New Roman" w:eastAsia="Calibri" w:hAnsi="Times New Roman" w:cs="Times New Roman"/>
        </w:rPr>
        <w:t xml:space="preserve">bet 1 (viena) mēneša laikā attiecībā uz dzīvokļa īpašumiem, kas nodoti lēmuma 1.2. punktā noteiktajā kārtībā, </w:t>
      </w:r>
      <w:bookmarkStart w:id="6" w:name="_Hlk170209389"/>
      <w:r w:rsidRPr="00FF6222">
        <w:rPr>
          <w:rFonts w:ascii="Times New Roman" w:eastAsia="Calibri" w:hAnsi="Times New Roman" w:cs="Times New Roman"/>
        </w:rPr>
        <w:t>pie 02.02.2004. pašvaldības nekustamo īpašumu apsaimniekošanas līguma, kas noslēgts starp Carn</w:t>
      </w:r>
      <w:r w:rsidRPr="00FF6222">
        <w:rPr>
          <w:rFonts w:ascii="Times New Roman" w:eastAsia="Calibri" w:hAnsi="Times New Roman" w:cs="Times New Roman"/>
        </w:rPr>
        <w:t>ikavas pagasta padomi un pašvaldības aģentūru „Carnikavas komunālserviss””;</w:t>
      </w:r>
    </w:p>
    <w:p w14:paraId="705BF851" w14:textId="77777777" w:rsidR="00FF6222" w:rsidRPr="00FF6222" w:rsidRDefault="004D4C9B" w:rsidP="00FF6222">
      <w:pPr>
        <w:numPr>
          <w:ilvl w:val="1"/>
          <w:numId w:val="4"/>
        </w:numPr>
        <w:spacing w:after="120"/>
        <w:ind w:left="993" w:hanging="567"/>
        <w:jc w:val="both"/>
        <w:rPr>
          <w:rFonts w:ascii="Times New Roman" w:eastAsia="Calibri" w:hAnsi="Times New Roman" w:cs="Times New Roman"/>
        </w:rPr>
      </w:pPr>
      <w:r w:rsidRPr="00FF6222">
        <w:rPr>
          <w:rFonts w:ascii="Times New Roman" w:eastAsia="Calibri" w:hAnsi="Times New Roman" w:cs="Times New Roman"/>
        </w:rPr>
        <w:t>svītrot 3., 5. un 6. punktu.</w:t>
      </w:r>
    </w:p>
    <w:bookmarkEnd w:id="6"/>
    <w:p w14:paraId="13521E42" w14:textId="77777777" w:rsidR="00FF6222" w:rsidRPr="00FF6222" w:rsidRDefault="004D4C9B" w:rsidP="00FF6222">
      <w:pPr>
        <w:numPr>
          <w:ilvl w:val="0"/>
          <w:numId w:val="3"/>
        </w:numPr>
        <w:tabs>
          <w:tab w:val="num" w:pos="426"/>
        </w:tabs>
        <w:spacing w:before="120"/>
        <w:ind w:left="426" w:hanging="426"/>
        <w:jc w:val="both"/>
        <w:rPr>
          <w:rFonts w:ascii="Times New Roman" w:eastAsia="Calibri" w:hAnsi="Times New Roman" w:cs="Times New Roman"/>
        </w:rPr>
      </w:pPr>
      <w:r w:rsidRPr="00FF6222">
        <w:rPr>
          <w:rFonts w:ascii="Times New Roman" w:eastAsia="Calibri" w:hAnsi="Times New Roman" w:cs="Times New Roman"/>
        </w:rPr>
        <w:t>Pašvaldības izpilddirektora vietniecei veikt lēmuma izpildes kontroli.</w:t>
      </w:r>
    </w:p>
    <w:p w14:paraId="23CB074E" w14:textId="421B331C" w:rsidR="00564CA6" w:rsidRDefault="00564CA6" w:rsidP="00BB16A4">
      <w:pPr>
        <w:jc w:val="both"/>
        <w:rPr>
          <w:rFonts w:ascii="Times New Roman" w:hAnsi="Times New Roman" w:cs="Times New Roman"/>
        </w:rPr>
      </w:pPr>
    </w:p>
    <w:p w14:paraId="15221ED7" w14:textId="77777777" w:rsidR="00FF6222" w:rsidRDefault="00FF6222"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D4C9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00C7B4BC" w:rsidR="00564CA6" w:rsidRPr="00B47C10" w:rsidRDefault="004D4C9B" w:rsidP="006D4322">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w:t>
      </w:r>
      <w:r w:rsidRPr="00147221">
        <w:rPr>
          <w:rFonts w:ascii="Times New Roman" w:eastAsia="Calibri" w:hAnsi="Times New Roman" w:cs="Times New Roman"/>
        </w:rPr>
        <w:t>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80D6" w14:textId="77777777" w:rsidR="00000000" w:rsidRDefault="004D4C9B">
      <w:r>
        <w:separator/>
      </w:r>
    </w:p>
  </w:endnote>
  <w:endnote w:type="continuationSeparator" w:id="0">
    <w:p w14:paraId="0FD2AECE" w14:textId="77777777" w:rsidR="00000000" w:rsidRDefault="004D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58853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D4C9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B37B" w14:textId="77777777" w:rsidR="00000000" w:rsidRDefault="004D4C9B">
      <w:r>
        <w:separator/>
      </w:r>
    </w:p>
  </w:footnote>
  <w:footnote w:type="continuationSeparator" w:id="0">
    <w:p w14:paraId="0F81BA08" w14:textId="77777777" w:rsidR="00000000" w:rsidRDefault="004D4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EFCCF760">
      <w:start w:val="1"/>
      <w:numFmt w:val="decimal"/>
      <w:lvlText w:val="%1."/>
      <w:lvlJc w:val="left"/>
      <w:pPr>
        <w:ind w:left="720" w:hanging="360"/>
      </w:pPr>
      <w:rPr>
        <w:rFonts w:hint="default"/>
      </w:rPr>
    </w:lvl>
    <w:lvl w:ilvl="1" w:tplc="CB1C867C" w:tentative="1">
      <w:start w:val="1"/>
      <w:numFmt w:val="lowerLetter"/>
      <w:lvlText w:val="%2."/>
      <w:lvlJc w:val="left"/>
      <w:pPr>
        <w:ind w:left="1440" w:hanging="360"/>
      </w:pPr>
    </w:lvl>
    <w:lvl w:ilvl="2" w:tplc="B41E6BF4" w:tentative="1">
      <w:start w:val="1"/>
      <w:numFmt w:val="lowerRoman"/>
      <w:lvlText w:val="%3."/>
      <w:lvlJc w:val="right"/>
      <w:pPr>
        <w:ind w:left="2160" w:hanging="180"/>
      </w:pPr>
    </w:lvl>
    <w:lvl w:ilvl="3" w:tplc="F6FCC458" w:tentative="1">
      <w:start w:val="1"/>
      <w:numFmt w:val="decimal"/>
      <w:lvlText w:val="%4."/>
      <w:lvlJc w:val="left"/>
      <w:pPr>
        <w:ind w:left="2880" w:hanging="360"/>
      </w:pPr>
    </w:lvl>
    <w:lvl w:ilvl="4" w:tplc="06CE612E" w:tentative="1">
      <w:start w:val="1"/>
      <w:numFmt w:val="lowerLetter"/>
      <w:lvlText w:val="%5."/>
      <w:lvlJc w:val="left"/>
      <w:pPr>
        <w:ind w:left="3600" w:hanging="360"/>
      </w:pPr>
    </w:lvl>
    <w:lvl w:ilvl="5" w:tplc="A6CC937E" w:tentative="1">
      <w:start w:val="1"/>
      <w:numFmt w:val="lowerRoman"/>
      <w:lvlText w:val="%6."/>
      <w:lvlJc w:val="right"/>
      <w:pPr>
        <w:ind w:left="4320" w:hanging="180"/>
      </w:pPr>
    </w:lvl>
    <w:lvl w:ilvl="6" w:tplc="DD6045CA" w:tentative="1">
      <w:start w:val="1"/>
      <w:numFmt w:val="decimal"/>
      <w:lvlText w:val="%7."/>
      <w:lvlJc w:val="left"/>
      <w:pPr>
        <w:ind w:left="5040" w:hanging="360"/>
      </w:pPr>
    </w:lvl>
    <w:lvl w:ilvl="7" w:tplc="C456CD22" w:tentative="1">
      <w:start w:val="1"/>
      <w:numFmt w:val="lowerLetter"/>
      <w:lvlText w:val="%8."/>
      <w:lvlJc w:val="left"/>
      <w:pPr>
        <w:ind w:left="5760" w:hanging="360"/>
      </w:pPr>
    </w:lvl>
    <w:lvl w:ilvl="8" w:tplc="1BA86AC4" w:tentative="1">
      <w:start w:val="1"/>
      <w:numFmt w:val="lowerRoman"/>
      <w:lvlText w:val="%9."/>
      <w:lvlJc w:val="right"/>
      <w:pPr>
        <w:ind w:left="6480" w:hanging="180"/>
      </w:pPr>
    </w:lvl>
  </w:abstractNum>
  <w:abstractNum w:abstractNumId="1"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AC52F5C"/>
    <w:multiLevelType w:val="multilevel"/>
    <w:tmpl w:val="49A6DC4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567416">
    <w:abstractNumId w:val="2"/>
  </w:num>
  <w:num w:numId="2" w16cid:durableId="1964530278">
    <w:abstractNumId w:val="0"/>
  </w:num>
  <w:num w:numId="3" w16cid:durableId="1638681447">
    <w:abstractNumId w:val="1"/>
  </w:num>
  <w:num w:numId="4" w16cid:durableId="526648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6CA2"/>
    <w:rsid w:val="00070E3F"/>
    <w:rsid w:val="00147221"/>
    <w:rsid w:val="00195A73"/>
    <w:rsid w:val="001A297B"/>
    <w:rsid w:val="0025391B"/>
    <w:rsid w:val="00297558"/>
    <w:rsid w:val="002D53F6"/>
    <w:rsid w:val="00351D48"/>
    <w:rsid w:val="003C401E"/>
    <w:rsid w:val="004D4C9B"/>
    <w:rsid w:val="004D516C"/>
    <w:rsid w:val="00521C00"/>
    <w:rsid w:val="0053073B"/>
    <w:rsid w:val="00543508"/>
    <w:rsid w:val="00564CA6"/>
    <w:rsid w:val="005C7FA1"/>
    <w:rsid w:val="00617AAC"/>
    <w:rsid w:val="00693F05"/>
    <w:rsid w:val="006D3451"/>
    <w:rsid w:val="006D4322"/>
    <w:rsid w:val="006D513B"/>
    <w:rsid w:val="0074092B"/>
    <w:rsid w:val="0079484F"/>
    <w:rsid w:val="007B4DDB"/>
    <w:rsid w:val="008257F8"/>
    <w:rsid w:val="008A6960"/>
    <w:rsid w:val="008E3846"/>
    <w:rsid w:val="009139A1"/>
    <w:rsid w:val="00931891"/>
    <w:rsid w:val="00996740"/>
    <w:rsid w:val="009A3989"/>
    <w:rsid w:val="009B7F8F"/>
    <w:rsid w:val="00A254B5"/>
    <w:rsid w:val="00A52B04"/>
    <w:rsid w:val="00B36CD4"/>
    <w:rsid w:val="00B4014F"/>
    <w:rsid w:val="00B47C10"/>
    <w:rsid w:val="00B85BAB"/>
    <w:rsid w:val="00BB16A4"/>
    <w:rsid w:val="00BE75D1"/>
    <w:rsid w:val="00C7311E"/>
    <w:rsid w:val="00C82360"/>
    <w:rsid w:val="00C9477C"/>
    <w:rsid w:val="00CC1B2F"/>
    <w:rsid w:val="00CF16C2"/>
    <w:rsid w:val="00D86969"/>
    <w:rsid w:val="00E52DA2"/>
    <w:rsid w:val="00E75D8D"/>
    <w:rsid w:val="00EF06E1"/>
    <w:rsid w:val="00FA29A3"/>
    <w:rsid w:val="00FF6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2670</Words>
  <Characters>1523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2024-07-25T10:26:00Z</dcterms:created>
  <dcterms:modified xsi:type="dcterms:W3CDTF">2024-07-25T10:26:00Z</dcterms:modified>
</cp:coreProperties>
</file>