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96E2" w14:textId="4036D7D0" w:rsidR="00564CA6" w:rsidRDefault="00344E83" w:rsidP="00344E83">
      <w:pPr>
        <w:jc w:val="center"/>
        <w:rPr>
          <w:rFonts w:ascii="Times New Roman" w:hAnsi="Times New Roman" w:cs="Times New Roman"/>
          <w:b/>
        </w:rPr>
      </w:pPr>
      <w:r w:rsidRPr="00344E83">
        <w:rPr>
          <w:rFonts w:ascii="Times New Roman" w:hAnsi="Times New Roman" w:cs="Times New Roman"/>
          <w:b/>
        </w:rPr>
        <w:t>Izstrādes vadītāja ziņojums par detālplānojuma projekta tālāko virzību</w:t>
      </w:r>
    </w:p>
    <w:p w14:paraId="13022580" w14:textId="77777777" w:rsidR="00344E83" w:rsidRPr="00564CA6" w:rsidRDefault="00344E83" w:rsidP="00564CA6">
      <w:pPr>
        <w:rPr>
          <w:rFonts w:ascii="Times New Roman" w:hAnsi="Times New Roman" w:cs="Times New Roman"/>
          <w:b/>
          <w:i/>
          <w:color w:val="FF0000"/>
        </w:rPr>
      </w:pPr>
    </w:p>
    <w:p w14:paraId="6955A864" w14:textId="2F63C1EF" w:rsidR="00564CA6" w:rsidRDefault="00344E83" w:rsidP="003C3245">
      <w:pPr>
        <w:jc w:val="both"/>
        <w:rPr>
          <w:rFonts w:ascii="Times New Roman" w:hAnsi="Times New Roman" w:cs="Times New Roman"/>
        </w:rPr>
      </w:pPr>
      <w:r>
        <w:rPr>
          <w:rFonts w:ascii="Times New Roman" w:hAnsi="Times New Roman" w:cs="Times New Roman"/>
        </w:rPr>
        <w:t>Detālplānojums “</w:t>
      </w:r>
      <w:proofErr w:type="spellStart"/>
      <w:r w:rsidR="00804F2A">
        <w:rPr>
          <w:rFonts w:ascii="Times New Roman" w:hAnsi="Times New Roman" w:cs="Times New Roman"/>
        </w:rPr>
        <w:t>Jaunzariņi</w:t>
      </w:r>
      <w:proofErr w:type="spellEnd"/>
      <w:r>
        <w:rPr>
          <w:rFonts w:ascii="Times New Roman" w:hAnsi="Times New Roman" w:cs="Times New Roman"/>
        </w:rPr>
        <w:t xml:space="preserve">”, </w:t>
      </w:r>
      <w:proofErr w:type="spellStart"/>
      <w:r w:rsidR="00804F2A">
        <w:rPr>
          <w:rFonts w:ascii="Times New Roman" w:hAnsi="Times New Roman" w:cs="Times New Roman"/>
        </w:rPr>
        <w:t>Eimuros</w:t>
      </w:r>
      <w:proofErr w:type="spellEnd"/>
      <w:r>
        <w:rPr>
          <w:rFonts w:ascii="Times New Roman" w:hAnsi="Times New Roman" w:cs="Times New Roman"/>
        </w:rPr>
        <w:t xml:space="preserve">, </w:t>
      </w:r>
      <w:r w:rsidR="00804F2A">
        <w:rPr>
          <w:rFonts w:ascii="Times New Roman" w:hAnsi="Times New Roman" w:cs="Times New Roman"/>
        </w:rPr>
        <w:t xml:space="preserve">Ādažu </w:t>
      </w:r>
      <w:r>
        <w:rPr>
          <w:rFonts w:ascii="Times New Roman" w:hAnsi="Times New Roman" w:cs="Times New Roman"/>
        </w:rPr>
        <w:t>pagastā, Ādažu novadā.</w:t>
      </w:r>
    </w:p>
    <w:p w14:paraId="096E90B9" w14:textId="71B2C080" w:rsidR="00344E83" w:rsidRDefault="00344E83" w:rsidP="003C3245">
      <w:pPr>
        <w:jc w:val="both"/>
        <w:rPr>
          <w:rFonts w:ascii="Times New Roman" w:hAnsi="Times New Roman" w:cs="Times New Roman"/>
        </w:rPr>
      </w:pPr>
    </w:p>
    <w:p w14:paraId="05DE7746" w14:textId="77777777" w:rsidR="00E46553" w:rsidRDefault="00344E83" w:rsidP="003C3245">
      <w:pPr>
        <w:jc w:val="both"/>
        <w:rPr>
          <w:rFonts w:ascii="Times New Roman" w:hAnsi="Times New Roman" w:cs="Times New Roman"/>
        </w:rPr>
      </w:pPr>
      <w:r>
        <w:rPr>
          <w:rFonts w:ascii="Times New Roman" w:hAnsi="Times New Roman" w:cs="Times New Roman"/>
        </w:rPr>
        <w:t>Detālplānojuma projektā iekļautais risinājums atbilst spēkā esošajam Ādažu novada teritorijas plānojumam</w:t>
      </w:r>
      <w:r w:rsidRPr="00E46553">
        <w:rPr>
          <w:rFonts w:ascii="Times New Roman" w:hAnsi="Times New Roman" w:cs="Times New Roman"/>
        </w:rPr>
        <w:t>, kas pieņemts ar 27.03.2018. sēdes lēmumu Nr.49.</w:t>
      </w:r>
      <w:r w:rsidR="003C3245" w:rsidRPr="00E46553">
        <w:rPr>
          <w:rFonts w:ascii="Times New Roman" w:hAnsi="Times New Roman" w:cs="Times New Roman"/>
        </w:rPr>
        <w:t>,</w:t>
      </w:r>
      <w:r w:rsidR="003C3245" w:rsidRPr="00E46553">
        <w:t xml:space="preserve"> </w:t>
      </w:r>
      <w:r w:rsidR="003C3245" w:rsidRPr="00E46553">
        <w:rPr>
          <w:rFonts w:ascii="Times New Roman" w:hAnsi="Times New Roman" w:cs="Times New Roman"/>
        </w:rPr>
        <w:t>Ministr</w:t>
      </w:r>
      <w:r w:rsidR="006A4E6A" w:rsidRPr="00E46553">
        <w:rPr>
          <w:rFonts w:ascii="Times New Roman" w:hAnsi="Times New Roman" w:cs="Times New Roman"/>
        </w:rPr>
        <w:t>u</w:t>
      </w:r>
      <w:r w:rsidR="003C3245" w:rsidRPr="003C3245">
        <w:rPr>
          <w:rFonts w:ascii="Times New Roman" w:hAnsi="Times New Roman" w:cs="Times New Roman"/>
        </w:rPr>
        <w:t xml:space="preserve"> kabineta noteikumu prasībām un</w:t>
      </w:r>
      <w:r w:rsidR="003C3245">
        <w:rPr>
          <w:rFonts w:ascii="Times New Roman" w:hAnsi="Times New Roman" w:cs="Times New Roman"/>
        </w:rPr>
        <w:t xml:space="preserve"> </w:t>
      </w:r>
      <w:r w:rsidR="003C3245" w:rsidRPr="003C3245">
        <w:rPr>
          <w:rFonts w:ascii="Times New Roman" w:hAnsi="Times New Roman" w:cs="Times New Roman"/>
        </w:rPr>
        <w:t>atbilst darba uzdevumam</w:t>
      </w:r>
      <w:r w:rsidR="003C3245">
        <w:rPr>
          <w:rFonts w:ascii="Times New Roman" w:hAnsi="Times New Roman" w:cs="Times New Roman"/>
        </w:rPr>
        <w:t xml:space="preserve">. </w:t>
      </w:r>
    </w:p>
    <w:p w14:paraId="718FF0A6" w14:textId="43C68EC3" w:rsidR="00344E83" w:rsidRDefault="00E46553" w:rsidP="003C3245">
      <w:pPr>
        <w:jc w:val="both"/>
        <w:rPr>
          <w:rFonts w:ascii="Times New Roman" w:hAnsi="Times New Roman" w:cs="Times New Roman"/>
        </w:rPr>
      </w:pPr>
      <w:r>
        <w:rPr>
          <w:rFonts w:ascii="Times New Roman" w:hAnsi="Times New Roman" w:cs="Times New Roman"/>
        </w:rPr>
        <w:t xml:space="preserve">Detālplānojuma izstrādes laikā ir saņemti atzinumi no sešām institūcijām: </w:t>
      </w:r>
      <w:r w:rsidRPr="00E46553">
        <w:rPr>
          <w:rFonts w:ascii="Times New Roman" w:hAnsi="Times New Roman" w:cs="Times New Roman"/>
        </w:rPr>
        <w:t>Valsts vides dienesta Atļauju pārvalde</w:t>
      </w:r>
      <w:r>
        <w:rPr>
          <w:rFonts w:ascii="Times New Roman" w:hAnsi="Times New Roman" w:cs="Times New Roman"/>
        </w:rPr>
        <w:t xml:space="preserve">, </w:t>
      </w:r>
      <w:r w:rsidRPr="00E46553">
        <w:rPr>
          <w:rFonts w:ascii="Times New Roman" w:hAnsi="Times New Roman" w:cs="Times New Roman"/>
        </w:rPr>
        <w:t>„Veselības inspekcija”</w:t>
      </w:r>
      <w:r>
        <w:rPr>
          <w:rFonts w:ascii="Times New Roman" w:hAnsi="Times New Roman" w:cs="Times New Roman"/>
        </w:rPr>
        <w:t xml:space="preserve">, </w:t>
      </w:r>
      <w:r w:rsidRPr="00E46553">
        <w:rPr>
          <w:rFonts w:ascii="Times New Roman" w:hAnsi="Times New Roman" w:cs="Times New Roman"/>
        </w:rPr>
        <w:t>AS „Sadales tīkls”</w:t>
      </w:r>
      <w:r>
        <w:rPr>
          <w:rFonts w:ascii="Times New Roman" w:hAnsi="Times New Roman" w:cs="Times New Roman"/>
        </w:rPr>
        <w:t xml:space="preserve">, </w:t>
      </w:r>
      <w:r w:rsidRPr="00E46553">
        <w:rPr>
          <w:rFonts w:ascii="Times New Roman" w:hAnsi="Times New Roman" w:cs="Times New Roman"/>
        </w:rPr>
        <w:t>SIA „</w:t>
      </w:r>
      <w:proofErr w:type="spellStart"/>
      <w:r w:rsidRPr="00E46553">
        <w:rPr>
          <w:rFonts w:ascii="Times New Roman" w:hAnsi="Times New Roman" w:cs="Times New Roman"/>
        </w:rPr>
        <w:t>Tet</w:t>
      </w:r>
      <w:proofErr w:type="spellEnd"/>
      <w:r w:rsidRPr="00E46553">
        <w:rPr>
          <w:rFonts w:ascii="Times New Roman" w:hAnsi="Times New Roman" w:cs="Times New Roman"/>
        </w:rPr>
        <w:t>”</w:t>
      </w:r>
      <w:r>
        <w:rPr>
          <w:rFonts w:ascii="Times New Roman" w:hAnsi="Times New Roman" w:cs="Times New Roman"/>
        </w:rPr>
        <w:t xml:space="preserve">, </w:t>
      </w:r>
      <w:r w:rsidRPr="00E46553">
        <w:rPr>
          <w:rFonts w:ascii="Times New Roman" w:hAnsi="Times New Roman" w:cs="Times New Roman"/>
        </w:rPr>
        <w:t>SIA “</w:t>
      </w:r>
      <w:proofErr w:type="spellStart"/>
      <w:r w:rsidRPr="00E46553">
        <w:rPr>
          <w:rFonts w:ascii="Times New Roman" w:hAnsi="Times New Roman" w:cs="Times New Roman"/>
        </w:rPr>
        <w:t>Baltcom”</w:t>
      </w:r>
      <w:r>
        <w:rPr>
          <w:rFonts w:ascii="Times New Roman" w:hAnsi="Times New Roman" w:cs="Times New Roman"/>
        </w:rPr>
        <w:t>,</w:t>
      </w:r>
      <w:r w:rsidRPr="00E46553">
        <w:rPr>
          <w:rFonts w:ascii="Times New Roman" w:hAnsi="Times New Roman" w:cs="Times New Roman"/>
        </w:rPr>
        <w:t>SIA</w:t>
      </w:r>
      <w:proofErr w:type="spellEnd"/>
      <w:r w:rsidRPr="00E46553">
        <w:rPr>
          <w:rFonts w:ascii="Times New Roman" w:hAnsi="Times New Roman" w:cs="Times New Roman"/>
        </w:rPr>
        <w:t xml:space="preserve"> “Ādažu Ūdens”</w:t>
      </w:r>
      <w:r>
        <w:rPr>
          <w:rFonts w:ascii="Times New Roman" w:hAnsi="Times New Roman" w:cs="Times New Roman"/>
        </w:rPr>
        <w:t>. Komentārus par nosacījumu izpildi skatīt ziņojuma pielikumā (</w:t>
      </w:r>
      <w:r w:rsidR="00E976B6">
        <w:rPr>
          <w:rFonts w:ascii="Times New Roman" w:hAnsi="Times New Roman" w:cs="Times New Roman"/>
        </w:rPr>
        <w:t>1.</w:t>
      </w:r>
      <w:r>
        <w:rPr>
          <w:rFonts w:ascii="Times New Roman" w:hAnsi="Times New Roman" w:cs="Times New Roman"/>
        </w:rPr>
        <w:t xml:space="preserve">pielikums). </w:t>
      </w:r>
      <w:r w:rsidR="00361B60">
        <w:rPr>
          <w:rFonts w:ascii="Times New Roman" w:hAnsi="Times New Roman" w:cs="Times New Roman"/>
        </w:rPr>
        <w:t>I</w:t>
      </w:r>
      <w:r w:rsidR="003C3245" w:rsidRPr="003C3245">
        <w:rPr>
          <w:rFonts w:ascii="Times New Roman" w:hAnsi="Times New Roman" w:cs="Times New Roman"/>
        </w:rPr>
        <w:t>nstitūciju nosacījum</w:t>
      </w:r>
      <w:r w:rsidR="00361B60">
        <w:rPr>
          <w:rFonts w:ascii="Times New Roman" w:hAnsi="Times New Roman" w:cs="Times New Roman"/>
        </w:rPr>
        <w:t>os</w:t>
      </w:r>
      <w:r w:rsidR="003C3245" w:rsidRPr="003C3245">
        <w:rPr>
          <w:rFonts w:ascii="Times New Roman" w:hAnsi="Times New Roman" w:cs="Times New Roman"/>
        </w:rPr>
        <w:t xml:space="preserve"> izvirzīt</w:t>
      </w:r>
      <w:r w:rsidR="00361B60">
        <w:rPr>
          <w:rFonts w:ascii="Times New Roman" w:hAnsi="Times New Roman" w:cs="Times New Roman"/>
        </w:rPr>
        <w:t>ās</w:t>
      </w:r>
      <w:r w:rsidR="003C3245" w:rsidRPr="003C3245">
        <w:rPr>
          <w:rFonts w:ascii="Times New Roman" w:hAnsi="Times New Roman" w:cs="Times New Roman"/>
        </w:rPr>
        <w:t xml:space="preserve"> prasīb</w:t>
      </w:r>
      <w:r w:rsidR="00361B60">
        <w:rPr>
          <w:rFonts w:ascii="Times New Roman" w:hAnsi="Times New Roman" w:cs="Times New Roman"/>
        </w:rPr>
        <w:t>as</w:t>
      </w:r>
      <w:r w:rsidR="003C3245" w:rsidRPr="003C3245">
        <w:rPr>
          <w:rFonts w:ascii="Times New Roman" w:hAnsi="Times New Roman" w:cs="Times New Roman"/>
        </w:rPr>
        <w:t xml:space="preserve"> </w:t>
      </w:r>
      <w:r w:rsidR="00361B60">
        <w:rPr>
          <w:rFonts w:ascii="Times New Roman" w:hAnsi="Times New Roman" w:cs="Times New Roman"/>
        </w:rPr>
        <w:t xml:space="preserve">ir </w:t>
      </w:r>
      <w:r w:rsidR="003C3245" w:rsidRPr="003C3245">
        <w:rPr>
          <w:rFonts w:ascii="Times New Roman" w:hAnsi="Times New Roman" w:cs="Times New Roman"/>
        </w:rPr>
        <w:t>izpild</w:t>
      </w:r>
      <w:r w:rsidR="00361B60">
        <w:rPr>
          <w:rFonts w:ascii="Times New Roman" w:hAnsi="Times New Roman" w:cs="Times New Roman"/>
        </w:rPr>
        <w:t>ītas</w:t>
      </w:r>
      <w:r>
        <w:rPr>
          <w:rFonts w:ascii="Times New Roman" w:hAnsi="Times New Roman" w:cs="Times New Roman"/>
        </w:rPr>
        <w:t>.</w:t>
      </w:r>
    </w:p>
    <w:p w14:paraId="793A05D2" w14:textId="61A9189B" w:rsidR="00A9794E" w:rsidRDefault="00E46553" w:rsidP="003C3245">
      <w:pPr>
        <w:jc w:val="both"/>
        <w:rPr>
          <w:rFonts w:ascii="Times New Roman" w:hAnsi="Times New Roman" w:cs="Times New Roman"/>
        </w:rPr>
      </w:pPr>
      <w:r>
        <w:rPr>
          <w:rFonts w:ascii="Times New Roman" w:hAnsi="Times New Roman" w:cs="Times New Roman"/>
        </w:rPr>
        <w:t>Detālplānojuma publiskā apspriešana notika atbilstoši Ādažu novada pašvaldības domes 28.12.2023. lēmumam Nr. 484, laikā no 15.01.-11.02.2024.</w:t>
      </w:r>
      <w:r w:rsidR="00A9794E">
        <w:rPr>
          <w:rFonts w:ascii="Times New Roman" w:hAnsi="Times New Roman" w:cs="Times New Roman"/>
        </w:rPr>
        <w:t>, savukārt publiskās apspriešanas sanāksme notika 24.01. Ādažu kultūras centrā. Paziņojumi</w:t>
      </w:r>
      <w:r w:rsidR="00E976B6">
        <w:rPr>
          <w:rFonts w:ascii="Times New Roman" w:hAnsi="Times New Roman" w:cs="Times New Roman"/>
        </w:rPr>
        <w:t xml:space="preserve"> </w:t>
      </w:r>
      <w:r w:rsidR="00A9794E">
        <w:rPr>
          <w:rFonts w:ascii="Times New Roman" w:hAnsi="Times New Roman" w:cs="Times New Roman"/>
        </w:rPr>
        <w:t xml:space="preserve">par publisko apspriešanu tika izsūtīti </w:t>
      </w:r>
      <w:proofErr w:type="spellStart"/>
      <w:r w:rsidR="00A9794E">
        <w:rPr>
          <w:rFonts w:ascii="Times New Roman" w:hAnsi="Times New Roman" w:cs="Times New Roman"/>
        </w:rPr>
        <w:t>pierobežniekiem</w:t>
      </w:r>
      <w:proofErr w:type="spellEnd"/>
      <w:r w:rsidR="00A9794E">
        <w:rPr>
          <w:rFonts w:ascii="Times New Roman" w:hAnsi="Times New Roman" w:cs="Times New Roman"/>
        </w:rPr>
        <w:t xml:space="preserve"> 05.01.2024., ievietoti </w:t>
      </w:r>
      <w:r w:rsidR="00E976B6">
        <w:rPr>
          <w:rFonts w:ascii="Times New Roman" w:hAnsi="Times New Roman" w:cs="Times New Roman"/>
        </w:rPr>
        <w:t xml:space="preserve">informatīvajā izdevumā </w:t>
      </w:r>
      <w:r w:rsidR="00A9794E" w:rsidRPr="00A9794E">
        <w:rPr>
          <w:rFonts w:ascii="Times New Roman" w:hAnsi="Times New Roman" w:cs="Times New Roman"/>
        </w:rPr>
        <w:t>“Ādažu Vēstis”, 2024.gada janvāra izdevumā Nr.270</w:t>
      </w:r>
      <w:r w:rsidR="00A9794E">
        <w:rPr>
          <w:rFonts w:ascii="Times New Roman" w:hAnsi="Times New Roman" w:cs="Times New Roman"/>
        </w:rPr>
        <w:t>, kā arī publicēts TAPIS (</w:t>
      </w:r>
      <w:hyperlink r:id="rId7" w:anchor="document_26920" w:history="1">
        <w:r w:rsidR="00A9794E" w:rsidRPr="00273FF6">
          <w:rPr>
            <w:rStyle w:val="Hyperlink"/>
            <w:rFonts w:ascii="Times New Roman" w:hAnsi="Times New Roman" w:cs="Times New Roman"/>
          </w:rPr>
          <w:t>https://geolatvija.lv/geo/tapis#document_26920</w:t>
        </w:r>
      </w:hyperlink>
      <w:r w:rsidR="00A9794E">
        <w:rPr>
          <w:rFonts w:ascii="Times New Roman" w:hAnsi="Times New Roman" w:cs="Times New Roman"/>
        </w:rPr>
        <w:t>) un pašvaldības tīmekļa vietnē (</w:t>
      </w:r>
      <w:hyperlink r:id="rId8" w:history="1">
        <w:r w:rsidR="00A9794E" w:rsidRPr="00273FF6">
          <w:rPr>
            <w:rStyle w:val="Hyperlink"/>
            <w:rFonts w:ascii="Times New Roman" w:hAnsi="Times New Roman" w:cs="Times New Roman"/>
          </w:rPr>
          <w:t>https://www.adazunovads.lv/lv/lokalplanojumi-detalplanojumi/pazinojums-par-detalplanojuma-ipasumam-jaunzarini-eimuros-nodosanu-publiskajai-apspriesanai</w:t>
        </w:r>
      </w:hyperlink>
      <w:r w:rsidR="00A9794E">
        <w:rPr>
          <w:rFonts w:ascii="Times New Roman" w:hAnsi="Times New Roman" w:cs="Times New Roman"/>
        </w:rPr>
        <w:t>).</w:t>
      </w:r>
    </w:p>
    <w:p w14:paraId="592B570B" w14:textId="77777777" w:rsidR="00A9794E" w:rsidRDefault="00A9794E" w:rsidP="003C3245">
      <w:pPr>
        <w:jc w:val="both"/>
        <w:rPr>
          <w:rFonts w:ascii="Times New Roman" w:hAnsi="Times New Roman" w:cs="Times New Roman"/>
        </w:rPr>
      </w:pPr>
    </w:p>
    <w:p w14:paraId="1BF2287B" w14:textId="44D60174" w:rsidR="00A9794E" w:rsidRDefault="00A9794E" w:rsidP="003C3245">
      <w:pPr>
        <w:jc w:val="both"/>
        <w:rPr>
          <w:rFonts w:ascii="Times New Roman" w:hAnsi="Times New Roman" w:cs="Times New Roman"/>
        </w:rPr>
      </w:pPr>
      <w:r w:rsidRPr="00A9794E">
        <w:rPr>
          <w:rFonts w:ascii="Times New Roman" w:hAnsi="Times New Roman" w:cs="Times New Roman"/>
        </w:rPr>
        <w:t>Publiskās apspriešanas laikā tika saņemti divi iedzīvotāju iesniegumi</w:t>
      </w:r>
      <w:r>
        <w:rPr>
          <w:rFonts w:ascii="Times New Roman" w:hAnsi="Times New Roman" w:cs="Times New Roman"/>
        </w:rPr>
        <w:t xml:space="preserve"> (skatīt ziņojuma 2.pielikumu)</w:t>
      </w:r>
      <w:r w:rsidRPr="00A9794E">
        <w:rPr>
          <w:rFonts w:ascii="Times New Roman" w:hAnsi="Times New Roman" w:cs="Times New Roman"/>
        </w:rPr>
        <w:t xml:space="preserve">. Iesniegumos minētie iebildumi par to, ka “Detālplānojums neietver nosacījumu atļaut detālplānojuma teritorijas sadalīšanu atsevišķos apbūves gabalos tikai pēc izbūvēto teritorijas centrālo tīklu pieslēgšanas attiecīgajiem novada funkcionējošajiem tīkliem” ir ņemti vērā - Detālplānojuma īstenošanas kārtībā ir definēta prasība, ka zemes gabalu sadale detālplānojuma teritorijā atļauta tikai pēc tam, kad, tai skaitā, ir izbūvēti un nodoti ekspluatācijā </w:t>
      </w:r>
      <w:proofErr w:type="spellStart"/>
      <w:r w:rsidRPr="00A9794E">
        <w:rPr>
          <w:rFonts w:ascii="Times New Roman" w:hAnsi="Times New Roman" w:cs="Times New Roman"/>
        </w:rPr>
        <w:t>pieslēgumi</w:t>
      </w:r>
      <w:proofErr w:type="spellEnd"/>
      <w:r w:rsidRPr="00A9794E">
        <w:rPr>
          <w:rFonts w:ascii="Times New Roman" w:hAnsi="Times New Roman" w:cs="Times New Roman"/>
        </w:rPr>
        <w:t xml:space="preserve"> esošajam centralizētajam ūdensvadu un sadzīves notekūdeņu kanalizācijas tīklam. Pārējie iesniegumos minētie iebildumi netiek ņemti vērā, jo neatbilst normatīvo aktu prasībām.</w:t>
      </w:r>
    </w:p>
    <w:p w14:paraId="118FE28A" w14:textId="77777777" w:rsidR="00A9794E" w:rsidRDefault="00A9794E" w:rsidP="003C3245">
      <w:pPr>
        <w:jc w:val="both"/>
        <w:rPr>
          <w:rFonts w:ascii="Times New Roman" w:hAnsi="Times New Roman" w:cs="Times New Roman"/>
        </w:rPr>
      </w:pPr>
    </w:p>
    <w:p w14:paraId="4303E49D" w14:textId="55DEDD74" w:rsidR="003C3245" w:rsidRDefault="001407BA" w:rsidP="003C3245">
      <w:pPr>
        <w:jc w:val="both"/>
        <w:rPr>
          <w:rFonts w:ascii="Times New Roman" w:hAnsi="Times New Roman" w:cs="Times New Roman"/>
        </w:rPr>
      </w:pPr>
      <w:r>
        <w:rPr>
          <w:rFonts w:ascii="Times New Roman" w:hAnsi="Times New Roman" w:cs="Times New Roman"/>
        </w:rPr>
        <w:t>Ņemot vērā publiskās apspriešanas rezultātu un institūciju atzinumus:</w:t>
      </w:r>
    </w:p>
    <w:p w14:paraId="4C2B0ACD" w14:textId="77777777" w:rsidR="001407BA" w:rsidRDefault="001407BA" w:rsidP="003C3245">
      <w:pPr>
        <w:jc w:val="both"/>
        <w:rPr>
          <w:rFonts w:ascii="Times New Roman" w:hAnsi="Times New Roman" w:cs="Times New Roman"/>
        </w:rPr>
      </w:pPr>
    </w:p>
    <w:p w14:paraId="77A55FEE" w14:textId="6B9E36E7" w:rsidR="003C3245" w:rsidRDefault="003C3245" w:rsidP="0020155D">
      <w:pPr>
        <w:jc w:val="both"/>
        <w:rPr>
          <w:rFonts w:ascii="Times New Roman" w:hAnsi="Times New Roman" w:cs="Times New Roman"/>
          <w:b/>
          <w:bCs/>
        </w:rPr>
      </w:pPr>
      <w:r w:rsidRPr="003C3245">
        <w:rPr>
          <w:rFonts w:ascii="Times New Roman" w:hAnsi="Times New Roman" w:cs="Times New Roman"/>
          <w:b/>
          <w:bCs/>
        </w:rPr>
        <w:t xml:space="preserve">Detālplānojuma projekts ir virzāms lēmuma par </w:t>
      </w:r>
      <w:r w:rsidR="0020155D">
        <w:rPr>
          <w:rFonts w:ascii="Times New Roman" w:hAnsi="Times New Roman" w:cs="Times New Roman"/>
          <w:b/>
          <w:bCs/>
        </w:rPr>
        <w:t xml:space="preserve">apstiprināšanu </w:t>
      </w:r>
      <w:r w:rsidRPr="003C3245">
        <w:rPr>
          <w:rFonts w:ascii="Times New Roman" w:hAnsi="Times New Roman" w:cs="Times New Roman"/>
          <w:b/>
          <w:bCs/>
        </w:rPr>
        <w:t>pieņemšanai.</w:t>
      </w:r>
    </w:p>
    <w:p w14:paraId="2FAD19F4" w14:textId="1EC97DFC" w:rsidR="003A061A" w:rsidRDefault="003A061A" w:rsidP="0020155D">
      <w:pPr>
        <w:jc w:val="both"/>
        <w:rPr>
          <w:rFonts w:ascii="Times New Roman" w:hAnsi="Times New Roman" w:cs="Times New Roman"/>
          <w:b/>
          <w:bCs/>
        </w:rPr>
      </w:pPr>
    </w:p>
    <w:p w14:paraId="32F2E5F1" w14:textId="2B6C2DA3" w:rsidR="003A061A" w:rsidRDefault="003A061A" w:rsidP="0020155D">
      <w:pPr>
        <w:jc w:val="both"/>
        <w:rPr>
          <w:rFonts w:ascii="Times New Roman" w:hAnsi="Times New Roman" w:cs="Times New Roman"/>
          <w:b/>
          <w:bCs/>
        </w:rPr>
      </w:pPr>
    </w:p>
    <w:p w14:paraId="701F8CF2" w14:textId="27C25684" w:rsidR="003A061A" w:rsidRDefault="003A061A" w:rsidP="0020155D">
      <w:pPr>
        <w:jc w:val="both"/>
        <w:rPr>
          <w:rFonts w:ascii="Times New Roman" w:hAnsi="Times New Roman" w:cs="Times New Roman"/>
        </w:rPr>
      </w:pPr>
      <w:r>
        <w:rPr>
          <w:rFonts w:ascii="Times New Roman" w:hAnsi="Times New Roman" w:cs="Times New Roman"/>
        </w:rPr>
        <w:t>M.</w:t>
      </w:r>
      <w:r w:rsidR="00CD140C">
        <w:rPr>
          <w:rFonts w:ascii="Times New Roman" w:hAnsi="Times New Roman" w:cs="Times New Roman"/>
        </w:rPr>
        <w:t xml:space="preserve"> </w:t>
      </w:r>
      <w:r>
        <w:rPr>
          <w:rFonts w:ascii="Times New Roman" w:hAnsi="Times New Roman" w:cs="Times New Roman"/>
        </w:rPr>
        <w:t>Cinis</w:t>
      </w:r>
    </w:p>
    <w:p w14:paraId="5C864875" w14:textId="20B25273" w:rsidR="00E46553" w:rsidRDefault="00F3626E" w:rsidP="0020155D">
      <w:pPr>
        <w:jc w:val="both"/>
        <w:rPr>
          <w:rFonts w:ascii="Times New Roman" w:hAnsi="Times New Roman" w:cs="Times New Roman"/>
        </w:rPr>
      </w:pPr>
      <w:r>
        <w:rPr>
          <w:rFonts w:ascii="Times New Roman" w:hAnsi="Times New Roman" w:cs="Times New Roman"/>
        </w:rPr>
        <w:t>09.05</w:t>
      </w:r>
      <w:r w:rsidR="003A061A">
        <w:rPr>
          <w:rFonts w:ascii="Times New Roman" w:hAnsi="Times New Roman" w:cs="Times New Roman"/>
        </w:rPr>
        <w:t>.2024.</w:t>
      </w:r>
    </w:p>
    <w:p w14:paraId="5894AA4C" w14:textId="77777777" w:rsidR="00E46553" w:rsidRDefault="00E46553">
      <w:pPr>
        <w:rPr>
          <w:rFonts w:ascii="Times New Roman" w:hAnsi="Times New Roman" w:cs="Times New Roman"/>
        </w:rPr>
      </w:pPr>
      <w:r>
        <w:rPr>
          <w:rFonts w:ascii="Times New Roman" w:hAnsi="Times New Roman" w:cs="Times New Roman"/>
        </w:rPr>
        <w:br w:type="page"/>
      </w:r>
    </w:p>
    <w:tbl>
      <w:tblPr>
        <w:tblW w:w="9799" w:type="dxa"/>
        <w:tblLayout w:type="fixed"/>
        <w:tblLook w:val="0000" w:firstRow="0" w:lastRow="0" w:firstColumn="0" w:lastColumn="0" w:noHBand="0" w:noVBand="0"/>
      </w:tblPr>
      <w:tblGrid>
        <w:gridCol w:w="4786"/>
        <w:gridCol w:w="1701"/>
        <w:gridCol w:w="3312"/>
      </w:tblGrid>
      <w:tr w:rsidR="00E46553" w:rsidRPr="00E46553" w14:paraId="724D74D2" w14:textId="77777777" w:rsidTr="007F2E67">
        <w:tc>
          <w:tcPr>
            <w:tcW w:w="9799" w:type="dxa"/>
            <w:gridSpan w:val="3"/>
            <w:tcBorders>
              <w:top w:val="single" w:sz="4" w:space="0" w:color="000000"/>
              <w:left w:val="single" w:sz="4" w:space="0" w:color="000000"/>
              <w:bottom w:val="single" w:sz="4" w:space="0" w:color="000000"/>
              <w:right w:val="single" w:sz="4" w:space="0" w:color="auto"/>
            </w:tcBorders>
            <w:shd w:val="clear" w:color="auto" w:fill="auto"/>
          </w:tcPr>
          <w:p w14:paraId="2F4E84E8" w14:textId="63CE79DB" w:rsidR="00E46553" w:rsidRPr="00E46553" w:rsidRDefault="00E46553" w:rsidP="00E46553">
            <w:pPr>
              <w:snapToGrid w:val="0"/>
              <w:spacing w:line="276" w:lineRule="auto"/>
              <w:jc w:val="right"/>
              <w:rPr>
                <w:rFonts w:ascii="Calibri" w:eastAsia="Calibri" w:hAnsi="Calibri" w:cs="Times New Roman"/>
                <w:b/>
                <w:sz w:val="20"/>
                <w:szCs w:val="20"/>
              </w:rPr>
            </w:pPr>
            <w:r>
              <w:rPr>
                <w:rFonts w:ascii="Calibri" w:eastAsia="Calibri" w:hAnsi="Calibri" w:cs="Times New Roman"/>
                <w:b/>
                <w:sz w:val="20"/>
                <w:szCs w:val="20"/>
              </w:rPr>
              <w:lastRenderedPageBreak/>
              <w:t>Pielikums 1.</w:t>
            </w:r>
          </w:p>
        </w:tc>
      </w:tr>
      <w:tr w:rsidR="00E46553" w:rsidRPr="00E46553" w14:paraId="01E01A68" w14:textId="77777777" w:rsidTr="004B175B">
        <w:tc>
          <w:tcPr>
            <w:tcW w:w="4786" w:type="dxa"/>
            <w:tcBorders>
              <w:top w:val="single" w:sz="4" w:space="0" w:color="000000"/>
              <w:left w:val="single" w:sz="4" w:space="0" w:color="000000"/>
              <w:bottom w:val="single" w:sz="4" w:space="0" w:color="000000"/>
            </w:tcBorders>
            <w:shd w:val="clear" w:color="auto" w:fill="auto"/>
          </w:tcPr>
          <w:p w14:paraId="09B6562F"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Institūciju nosacījumi</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315113B"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Izpilde</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A42DB33"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Piezīmes</w:t>
            </w:r>
          </w:p>
        </w:tc>
      </w:tr>
      <w:tr w:rsidR="00E46553" w:rsidRPr="00E46553" w14:paraId="7B9B6AA7" w14:textId="77777777" w:rsidTr="004B175B">
        <w:trPr>
          <w:trHeight w:val="357"/>
        </w:trPr>
        <w:tc>
          <w:tcPr>
            <w:tcW w:w="9799" w:type="dxa"/>
            <w:gridSpan w:val="3"/>
            <w:tcBorders>
              <w:left w:val="single" w:sz="4" w:space="0" w:color="000000"/>
              <w:bottom w:val="single" w:sz="4" w:space="0" w:color="000000"/>
              <w:right w:val="single" w:sz="4" w:space="0" w:color="auto"/>
            </w:tcBorders>
            <w:shd w:val="clear" w:color="auto" w:fill="F2F2F2"/>
          </w:tcPr>
          <w:p w14:paraId="0D61CA52" w14:textId="77777777" w:rsidR="00E46553" w:rsidRPr="00E46553" w:rsidRDefault="00E46553" w:rsidP="00E46553">
            <w:pPr>
              <w:snapToGrid w:val="0"/>
              <w:spacing w:line="276" w:lineRule="auto"/>
              <w:jc w:val="both"/>
              <w:rPr>
                <w:rFonts w:ascii="Calibri" w:eastAsia="Calibri" w:hAnsi="Calibri" w:cs="Times New Roman"/>
                <w:b/>
                <w:sz w:val="20"/>
                <w:szCs w:val="20"/>
                <w:highlight w:val="yellow"/>
              </w:rPr>
            </w:pPr>
            <w:r w:rsidRPr="00E46553">
              <w:rPr>
                <w:rFonts w:ascii="Calibri" w:eastAsia="Calibri" w:hAnsi="Calibri" w:cs="Times New Roman"/>
                <w:b/>
                <w:sz w:val="20"/>
                <w:szCs w:val="20"/>
              </w:rPr>
              <w:t>Valsts vides dienesta Atļauju pārvaldes 19.05.2023. nosacījumi  Nr. 11.2/AP/5964/2023</w:t>
            </w:r>
          </w:p>
        </w:tc>
      </w:tr>
      <w:tr w:rsidR="00E46553" w:rsidRPr="00E46553" w14:paraId="4A4BE971" w14:textId="77777777" w:rsidTr="004B175B">
        <w:tc>
          <w:tcPr>
            <w:tcW w:w="4786" w:type="dxa"/>
            <w:tcBorders>
              <w:left w:val="single" w:sz="4" w:space="0" w:color="000000"/>
              <w:bottom w:val="single" w:sz="4" w:space="0" w:color="000000"/>
            </w:tcBorders>
            <w:shd w:val="clear" w:color="auto" w:fill="auto"/>
          </w:tcPr>
          <w:p w14:paraId="145788B9" w14:textId="77777777" w:rsidR="00E46553" w:rsidRPr="00E46553" w:rsidRDefault="00E46553" w:rsidP="00E46553">
            <w:pPr>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 Uzrādīt vides un dabas resursu aizsardzības aizsargjoslas, nosakot saimnieciskās darbības aprobežojumus tajās, atbilstoši Aizsargjoslu likuma prasībām.</w:t>
            </w:r>
          </w:p>
        </w:tc>
        <w:tc>
          <w:tcPr>
            <w:tcW w:w="1701" w:type="dxa"/>
            <w:tcBorders>
              <w:left w:val="single" w:sz="4" w:space="0" w:color="000000"/>
              <w:bottom w:val="single" w:sz="4" w:space="0" w:color="000000"/>
              <w:right w:val="single" w:sz="4" w:space="0" w:color="auto"/>
            </w:tcBorders>
            <w:shd w:val="clear" w:color="auto" w:fill="auto"/>
          </w:tcPr>
          <w:p w14:paraId="7D24E504"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B72B30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Arial"/>
                <w:sz w:val="20"/>
                <w:szCs w:val="20"/>
              </w:rPr>
              <w:t>D</w:t>
            </w:r>
            <w:r w:rsidRPr="00E46553">
              <w:rPr>
                <w:rFonts w:ascii="Calibri" w:eastAsia="Calibri" w:hAnsi="Calibri" w:cs="Times New Roman"/>
                <w:sz w:val="20"/>
                <w:szCs w:val="20"/>
              </w:rPr>
              <w:t>etālplānojuma teritorijā nav vides un dabas resursu aizsardzības aizsargjoslas.</w:t>
            </w:r>
          </w:p>
        </w:tc>
      </w:tr>
      <w:tr w:rsidR="00E46553" w:rsidRPr="00E46553" w14:paraId="13D09F03" w14:textId="77777777" w:rsidTr="004B175B">
        <w:tc>
          <w:tcPr>
            <w:tcW w:w="4786" w:type="dxa"/>
            <w:tcBorders>
              <w:left w:val="single" w:sz="4" w:space="0" w:color="000000"/>
              <w:bottom w:val="single" w:sz="4" w:space="0" w:color="000000"/>
            </w:tcBorders>
            <w:shd w:val="clear" w:color="auto" w:fill="auto"/>
          </w:tcPr>
          <w:p w14:paraId="5D476738" w14:textId="77777777" w:rsidR="00E46553" w:rsidRPr="00E46553" w:rsidRDefault="00E46553" w:rsidP="00E46553">
            <w:pPr>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2. Uzrādīt plānotās apbūves izvietojumu detālplānojuma teritorijā.</w:t>
            </w:r>
          </w:p>
        </w:tc>
        <w:tc>
          <w:tcPr>
            <w:tcW w:w="1701" w:type="dxa"/>
            <w:tcBorders>
              <w:left w:val="single" w:sz="4" w:space="0" w:color="000000"/>
              <w:bottom w:val="single" w:sz="4" w:space="0" w:color="000000"/>
              <w:right w:val="single" w:sz="4" w:space="0" w:color="auto"/>
            </w:tcBorders>
            <w:shd w:val="clear" w:color="auto" w:fill="auto"/>
          </w:tcPr>
          <w:p w14:paraId="174FC103"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9AC589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Perspektīvās ēku novietnes skatīt detālplānojuma Grafiskajā daļā.</w:t>
            </w:r>
          </w:p>
        </w:tc>
      </w:tr>
      <w:tr w:rsidR="00E46553" w:rsidRPr="00E46553" w14:paraId="69426EF3" w14:textId="77777777" w:rsidTr="004B175B">
        <w:tc>
          <w:tcPr>
            <w:tcW w:w="4786" w:type="dxa"/>
            <w:tcBorders>
              <w:left w:val="single" w:sz="4" w:space="0" w:color="000000"/>
              <w:bottom w:val="single" w:sz="4" w:space="0" w:color="000000"/>
            </w:tcBorders>
            <w:shd w:val="clear" w:color="auto" w:fill="auto"/>
          </w:tcPr>
          <w:p w14:paraId="4570E1FF" w14:textId="77777777" w:rsidR="00E46553" w:rsidRPr="00E46553" w:rsidRDefault="00E46553" w:rsidP="00E46553">
            <w:pPr>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3. Izstrādāt transporta kustības shēmu, uzrādīt piebraucamos ceļus, ielas detālplānojuma teritorijā.</w:t>
            </w:r>
          </w:p>
        </w:tc>
        <w:tc>
          <w:tcPr>
            <w:tcW w:w="1701" w:type="dxa"/>
            <w:tcBorders>
              <w:left w:val="single" w:sz="4" w:space="0" w:color="000000"/>
              <w:bottom w:val="single" w:sz="4" w:space="0" w:color="000000"/>
              <w:right w:val="single" w:sz="4" w:space="0" w:color="auto"/>
            </w:tcBorders>
            <w:shd w:val="clear" w:color="auto" w:fill="auto"/>
          </w:tcPr>
          <w:p w14:paraId="169ADE6A"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E5335C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04E2570A" w14:textId="77777777" w:rsidTr="004B175B">
        <w:tc>
          <w:tcPr>
            <w:tcW w:w="4786" w:type="dxa"/>
            <w:tcBorders>
              <w:left w:val="single" w:sz="4" w:space="0" w:color="000000"/>
              <w:bottom w:val="single" w:sz="4" w:space="0" w:color="000000"/>
            </w:tcBorders>
            <w:shd w:val="clear" w:color="auto" w:fill="auto"/>
          </w:tcPr>
          <w:p w14:paraId="34A75CCF"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t xml:space="preserve">4. Izstrādāt teritorijas inženierkomunikāciju shēmu, paredzot ūdensapgādes un sadzīves kanalizācijas risinājumus atbilstoši normatīvo aktu prasībām vides aizsardzībā. Pieļaujot pagaidu risinājumu – decentralizētas ūdensapgādes un kanalizācijas sistēmas izveidi, Paskaidrojuma rakstā ir jāizvērtē vides riski un tehniski ekonomiskais pamatojums – tā, lai Dienests var pārliecināties par izvēlētā risinājuma pamatotību, t.sk. ņemot vērā iespējamās ietekmes uz virszemes un pazemes ūdeņu kvalitāti un aizsargātību no piesārņojuma), iespējamās ietekmes uz meliorācijas sistēmu darbību, pastāvošā gruntsūdens līmeņa ietekmes uz lokālo ūdensapgādes un kanalizācijas sistēmu darbību, lokālo iekārtu apsaimniekošanas riskus, ūdenssaimniecības pakalpojumu sniedzēja pašreizējo piedāvājumu un plānus par centralizēto ūdensapgādes un sadzīves kanalizācijas sistēmu izbūvi līdz detālplānojuma teritorijai un iespējamos līdzekļus, kā panākt mājsaimniecību faktisku pārslēgšanu uz centralizētajām sistēmām pēc to izbūves. Atbilstoši vides risku </w:t>
            </w:r>
            <w:proofErr w:type="spellStart"/>
            <w:r w:rsidRPr="00E46553">
              <w:rPr>
                <w:rFonts w:ascii="Calibri" w:eastAsia="Calibri" w:hAnsi="Calibri" w:cs="Calibri"/>
                <w:sz w:val="20"/>
                <w:szCs w:val="20"/>
              </w:rPr>
              <w:t>izvērtējumam</w:t>
            </w:r>
            <w:proofErr w:type="spellEnd"/>
            <w:r w:rsidRPr="00E46553">
              <w:rPr>
                <w:rFonts w:ascii="Calibri" w:eastAsia="Calibri" w:hAnsi="Calibri" w:cs="Calibri"/>
                <w:sz w:val="20"/>
                <w:szCs w:val="20"/>
              </w:rPr>
              <w:t xml:space="preserve"> Teritorijas izmantošanas un apbūves noteikumos ir jāiekļauj prasības, kas samazinātu vides riskus, kā arī jānosaka, ka pēc centralizēto ūdensapgādes un kanalizācijas sistēmu izbūves pieslēgums tai ir obligāts.</w:t>
            </w:r>
          </w:p>
        </w:tc>
        <w:tc>
          <w:tcPr>
            <w:tcW w:w="1701" w:type="dxa"/>
            <w:tcBorders>
              <w:left w:val="single" w:sz="4" w:space="0" w:color="000000"/>
              <w:bottom w:val="single" w:sz="4" w:space="0" w:color="000000"/>
              <w:right w:val="single" w:sz="4" w:space="0" w:color="auto"/>
            </w:tcBorders>
            <w:shd w:val="clear" w:color="auto" w:fill="auto"/>
          </w:tcPr>
          <w:p w14:paraId="13A046B2"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6C4D7CF" w14:textId="77777777" w:rsidR="00E46553" w:rsidRPr="00E46553" w:rsidRDefault="00E46553" w:rsidP="00E46553">
            <w:pPr>
              <w:autoSpaceDE w:val="0"/>
              <w:autoSpaceDN w:val="0"/>
              <w:adjustRightInd w:val="0"/>
              <w:jc w:val="both"/>
              <w:rPr>
                <w:rFonts w:ascii="Calibri" w:eastAsia="Times New Roman" w:hAnsi="Calibri" w:cs="Calibri"/>
                <w:color w:val="000000"/>
                <w:sz w:val="20"/>
                <w:szCs w:val="20"/>
                <w:lang w:eastAsia="lv-LV"/>
              </w:rPr>
            </w:pPr>
            <w:r w:rsidRPr="00E46553">
              <w:rPr>
                <w:rFonts w:ascii="Calibri" w:eastAsia="Times New Roman" w:hAnsi="Calibri" w:cs="Calibri"/>
                <w:color w:val="000000"/>
                <w:sz w:val="20"/>
                <w:szCs w:val="20"/>
                <w:lang w:eastAsia="lv-LV"/>
              </w:rPr>
              <w:t xml:space="preserve">Detālplānojuma teritorijā paredzēts izbūvēt ūdensvadu un sadzīves notekūdeņu kanalizāciju, veidojot </w:t>
            </w:r>
            <w:proofErr w:type="spellStart"/>
            <w:r w:rsidRPr="00E46553">
              <w:rPr>
                <w:rFonts w:ascii="Calibri" w:eastAsia="Times New Roman" w:hAnsi="Calibri" w:cs="Calibri"/>
                <w:color w:val="000000"/>
                <w:sz w:val="20"/>
                <w:szCs w:val="20"/>
                <w:lang w:eastAsia="lv-LV"/>
              </w:rPr>
              <w:t>pieslēgumu</w:t>
            </w:r>
            <w:proofErr w:type="spellEnd"/>
            <w:r w:rsidRPr="00E46553">
              <w:rPr>
                <w:rFonts w:ascii="Calibri" w:eastAsia="Times New Roman" w:hAnsi="Calibri" w:cs="Calibri"/>
                <w:color w:val="000000"/>
                <w:sz w:val="20"/>
                <w:szCs w:val="20"/>
                <w:lang w:eastAsia="lv-LV"/>
              </w:rPr>
              <w:t xml:space="preserve"> pie esošajiem centralizētajiem tīkliem Ataru un </w:t>
            </w:r>
            <w:proofErr w:type="spellStart"/>
            <w:r w:rsidRPr="00E46553">
              <w:rPr>
                <w:rFonts w:ascii="Calibri" w:eastAsia="Times New Roman" w:hAnsi="Calibri" w:cs="Calibri"/>
                <w:color w:val="000000"/>
                <w:sz w:val="20"/>
                <w:szCs w:val="20"/>
                <w:lang w:eastAsia="lv-LV"/>
              </w:rPr>
              <w:t>Laveru</w:t>
            </w:r>
            <w:proofErr w:type="spellEnd"/>
            <w:r w:rsidRPr="00E46553">
              <w:rPr>
                <w:rFonts w:ascii="Calibri" w:eastAsia="Times New Roman" w:hAnsi="Calibri" w:cs="Calibri"/>
                <w:color w:val="000000"/>
                <w:sz w:val="20"/>
                <w:szCs w:val="20"/>
                <w:lang w:eastAsia="lv-LV"/>
              </w:rPr>
              <w:t xml:space="preserve"> ceļu krustojuma rajonā,  saskaņā ar SIA “Ādažu Ūdens” 2023.gadā 12.jūnijā izsniegtajiem nosacījumiem Nr. 2306/13/01.</w:t>
            </w:r>
          </w:p>
          <w:p w14:paraId="4897DC11" w14:textId="77777777" w:rsidR="00E46553" w:rsidRPr="00E46553" w:rsidRDefault="00E46553" w:rsidP="00E46553">
            <w:pPr>
              <w:spacing w:line="276" w:lineRule="auto"/>
              <w:jc w:val="both"/>
              <w:rPr>
                <w:rFonts w:ascii="Calibri" w:eastAsia="Times New Roman" w:hAnsi="Calibri" w:cs="Times New Roman"/>
                <w:szCs w:val="22"/>
                <w:lang w:eastAsia="ar-SA"/>
              </w:rPr>
            </w:pPr>
          </w:p>
        </w:tc>
      </w:tr>
      <w:tr w:rsidR="00E46553" w:rsidRPr="00E46553" w14:paraId="0AB13DB1" w14:textId="77777777" w:rsidTr="004B175B">
        <w:tc>
          <w:tcPr>
            <w:tcW w:w="4786" w:type="dxa"/>
            <w:tcBorders>
              <w:left w:val="single" w:sz="4" w:space="0" w:color="000000"/>
              <w:bottom w:val="single" w:sz="4" w:space="0" w:color="000000"/>
            </w:tcBorders>
            <w:shd w:val="clear" w:color="auto" w:fill="auto"/>
          </w:tcPr>
          <w:p w14:paraId="7A31CC75"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t>5. Noteikt prasības apstādījumu un labiekārtojuma ierīkošanai.</w:t>
            </w:r>
          </w:p>
        </w:tc>
        <w:tc>
          <w:tcPr>
            <w:tcW w:w="1701" w:type="dxa"/>
            <w:tcBorders>
              <w:left w:val="single" w:sz="4" w:space="0" w:color="000000"/>
              <w:bottom w:val="single" w:sz="4" w:space="0" w:color="000000"/>
              <w:right w:val="single" w:sz="4" w:space="0" w:color="auto"/>
            </w:tcBorders>
            <w:shd w:val="clear" w:color="auto" w:fill="auto"/>
          </w:tcPr>
          <w:p w14:paraId="637D9CB0"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4F0F34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Labiekārtošanas elementu izvietojumu nosaka būvprojektā vai teritorijas labiekārtošanas projektā, to vizuālo izskatu un māksliniecisko noformējumu veido, integrējot apkārtējā vidē un saskaņojot ar apkārtējo ēku un būvju arhitektonisko stilu un noformējumu.</w:t>
            </w:r>
          </w:p>
        </w:tc>
      </w:tr>
      <w:tr w:rsidR="00E46553" w:rsidRPr="00E46553" w14:paraId="4105447B" w14:textId="77777777" w:rsidTr="004B175B">
        <w:tc>
          <w:tcPr>
            <w:tcW w:w="4786" w:type="dxa"/>
            <w:tcBorders>
              <w:left w:val="single" w:sz="4" w:space="0" w:color="000000"/>
              <w:bottom w:val="single" w:sz="4" w:space="0" w:color="000000"/>
            </w:tcBorders>
            <w:shd w:val="clear" w:color="auto" w:fill="auto"/>
          </w:tcPr>
          <w:p w14:paraId="4C985570"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t xml:space="preserve">6. Noteikt prasības </w:t>
            </w:r>
            <w:proofErr w:type="spellStart"/>
            <w:r w:rsidRPr="00E46553">
              <w:rPr>
                <w:rFonts w:ascii="Calibri" w:eastAsia="Calibri" w:hAnsi="Calibri" w:cs="Calibri"/>
                <w:sz w:val="20"/>
                <w:szCs w:val="20"/>
              </w:rPr>
              <w:t>lietusūdeņu</w:t>
            </w:r>
            <w:proofErr w:type="spellEnd"/>
            <w:r w:rsidRPr="00E46553">
              <w:rPr>
                <w:rFonts w:ascii="Calibri" w:eastAsia="Calibri" w:hAnsi="Calibri" w:cs="Calibri"/>
                <w:sz w:val="20"/>
                <w:szCs w:val="20"/>
              </w:rPr>
              <w:t xml:space="preserve"> novadīšanai.</w:t>
            </w:r>
          </w:p>
        </w:tc>
        <w:tc>
          <w:tcPr>
            <w:tcW w:w="1701" w:type="dxa"/>
            <w:tcBorders>
              <w:left w:val="single" w:sz="4" w:space="0" w:color="000000"/>
              <w:bottom w:val="single" w:sz="4" w:space="0" w:color="000000"/>
              <w:right w:val="single" w:sz="4" w:space="0" w:color="auto"/>
            </w:tcBorders>
            <w:shd w:val="clear" w:color="auto" w:fill="auto"/>
          </w:tcPr>
          <w:p w14:paraId="0B1294FD"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2EA659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Lietus notekūdeņu novadīšana no projektējamās “A” ielas paredzēta ar iesūcināšanu gruntī un pa projektējamām lietus ūdens </w:t>
            </w:r>
            <w:proofErr w:type="spellStart"/>
            <w:r w:rsidRPr="00E46553">
              <w:rPr>
                <w:rFonts w:ascii="Calibri" w:eastAsia="Calibri" w:hAnsi="Calibri" w:cs="Times New Roman"/>
                <w:sz w:val="20"/>
                <w:szCs w:val="20"/>
              </w:rPr>
              <w:t>novades</w:t>
            </w:r>
            <w:proofErr w:type="spellEnd"/>
            <w:r w:rsidRPr="00E46553">
              <w:rPr>
                <w:rFonts w:ascii="Calibri" w:eastAsia="Calibri" w:hAnsi="Calibri" w:cs="Times New Roman"/>
                <w:sz w:val="20"/>
                <w:szCs w:val="20"/>
              </w:rPr>
              <w:t xml:space="preserve"> teknēm zālienā brauktuves malās - detālplānojuma Grafiskajā daļā tās ir attēlotas tikai šķērsprofilos. </w:t>
            </w:r>
            <w:r w:rsidRPr="00E46553">
              <w:rPr>
                <w:rFonts w:ascii="Calibri" w:eastAsia="Calibri" w:hAnsi="Calibri" w:cs="Times New Roman"/>
                <w:sz w:val="20"/>
                <w:szCs w:val="20"/>
              </w:rPr>
              <w:lastRenderedPageBreak/>
              <w:t xml:space="preserve">Projektējamās “A” ielas teknes ar zālienu paredzētas 20 cm dziļumā un 40 cm platumā. Projektējamās “A” ielas posmos, kur ielai vienā pusē ir esošā koplietošanas ūdensnoteka un </w:t>
            </w:r>
            <w:proofErr w:type="spellStart"/>
            <w:r w:rsidRPr="00E46553">
              <w:rPr>
                <w:rFonts w:ascii="Calibri" w:eastAsia="Calibri" w:hAnsi="Calibri" w:cs="Times New Roman"/>
                <w:sz w:val="20"/>
                <w:szCs w:val="20"/>
              </w:rPr>
              <w:t>kontūrgrāvis</w:t>
            </w:r>
            <w:proofErr w:type="spellEnd"/>
            <w:r w:rsidRPr="00E46553">
              <w:rPr>
                <w:rFonts w:ascii="Calibri" w:eastAsia="Calibri" w:hAnsi="Calibri" w:cs="Times New Roman"/>
                <w:sz w:val="20"/>
                <w:szCs w:val="20"/>
              </w:rPr>
              <w:t xml:space="preserve">, lietus notekūdeņu novadīšana paredzēta arī pa šo ūdensnoteku un </w:t>
            </w:r>
            <w:proofErr w:type="spellStart"/>
            <w:r w:rsidRPr="00E46553">
              <w:rPr>
                <w:rFonts w:ascii="Calibri" w:eastAsia="Calibri" w:hAnsi="Calibri" w:cs="Times New Roman"/>
                <w:sz w:val="20"/>
                <w:szCs w:val="20"/>
              </w:rPr>
              <w:t>kontūrgrāvi</w:t>
            </w:r>
            <w:proofErr w:type="spellEnd"/>
            <w:r w:rsidRPr="00E46553">
              <w:rPr>
                <w:rFonts w:ascii="Calibri" w:eastAsia="Calibri" w:hAnsi="Calibri" w:cs="Times New Roman"/>
                <w:sz w:val="20"/>
                <w:szCs w:val="20"/>
              </w:rPr>
              <w:t xml:space="preserve">. Izstrādājot ielu būvprojektus, lietus notekūdeņu savākšanas un akumulācijas būves precizē, vai ja nepieciešams zem paredzētajām lietus ūdens </w:t>
            </w:r>
            <w:proofErr w:type="spellStart"/>
            <w:r w:rsidRPr="00E46553">
              <w:rPr>
                <w:rFonts w:ascii="Calibri" w:eastAsia="Calibri" w:hAnsi="Calibri" w:cs="Times New Roman"/>
                <w:sz w:val="20"/>
                <w:szCs w:val="20"/>
              </w:rPr>
              <w:t>novades</w:t>
            </w:r>
            <w:proofErr w:type="spellEnd"/>
            <w:r w:rsidRPr="00E46553">
              <w:rPr>
                <w:rFonts w:ascii="Calibri" w:eastAsia="Calibri" w:hAnsi="Calibri" w:cs="Times New Roman"/>
                <w:sz w:val="20"/>
                <w:szCs w:val="20"/>
              </w:rPr>
              <w:t xml:space="preserve"> teknēm var tikt ierīkota papildus lietus kanalizācija.</w:t>
            </w:r>
          </w:p>
          <w:p w14:paraId="5547DD6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Individuālo drenāžas sistēmu izbūve, kuru risinājumi ir atkarīgi no ēku un laukumu izvietojuma </w:t>
            </w:r>
            <w:proofErr w:type="spellStart"/>
            <w:r w:rsidRPr="00E46553">
              <w:rPr>
                <w:rFonts w:ascii="Calibri" w:eastAsia="Calibri" w:hAnsi="Calibri" w:cs="Times New Roman"/>
                <w:sz w:val="20"/>
                <w:szCs w:val="20"/>
              </w:rPr>
              <w:t>jaunveidojamās</w:t>
            </w:r>
            <w:proofErr w:type="spellEnd"/>
            <w:r w:rsidRPr="00E46553">
              <w:rPr>
                <w:rFonts w:ascii="Calibri" w:eastAsia="Calibri" w:hAnsi="Calibri" w:cs="Times New Roman"/>
                <w:sz w:val="20"/>
                <w:szCs w:val="20"/>
              </w:rPr>
              <w:t xml:space="preserve"> zemes vienībās, realizējami katrā zemes vienībā atsevišķi. Izstrādājot būvprojektu jāparedz virszemes noteces uztveršanas, savākšanas un novadīšanas no būvobjektiem tehniskais risinājums. Ēku būvniecības gaitā drenāžas situācija ir jāprecizē un drenu atzaru pārraušanas gadījumā jāizbūvē apvadi vai jāpārorientē uz jau ierīkotajām ielas hidrotehniskajām būvēm. Izvērtējot hidroģeoloģiskos apstākļus, māju būvprojektos jāparedz lietus ūdens kanalizācijas sistēmas izbūve ūdens uztveršanai un novadīšanai no ēkām uz lokālām lietus ūdens akām attiecīgajā zemes vienībā ar infiltrāciju gruntī vai ievadot ielas </w:t>
            </w:r>
            <w:proofErr w:type="spellStart"/>
            <w:r w:rsidRPr="00E46553">
              <w:rPr>
                <w:rFonts w:ascii="Calibri" w:eastAsia="Calibri" w:hAnsi="Calibri" w:cs="Times New Roman"/>
                <w:sz w:val="20"/>
                <w:szCs w:val="20"/>
              </w:rPr>
              <w:t>lietusūdeņu</w:t>
            </w:r>
            <w:proofErr w:type="spellEnd"/>
            <w:r w:rsidRPr="00E46553">
              <w:rPr>
                <w:rFonts w:ascii="Calibri" w:eastAsia="Calibri" w:hAnsi="Calibri" w:cs="Times New Roman"/>
                <w:sz w:val="20"/>
                <w:szCs w:val="20"/>
              </w:rPr>
              <w:t xml:space="preserve"> savākšanas un akumulācijas būvēs.</w:t>
            </w:r>
          </w:p>
        </w:tc>
      </w:tr>
      <w:tr w:rsidR="00E46553" w:rsidRPr="00E46553" w14:paraId="2CD01A91" w14:textId="77777777" w:rsidTr="004B175B">
        <w:tc>
          <w:tcPr>
            <w:tcW w:w="4786" w:type="dxa"/>
            <w:tcBorders>
              <w:left w:val="single" w:sz="4" w:space="0" w:color="000000"/>
              <w:bottom w:val="single" w:sz="4" w:space="0" w:color="000000"/>
            </w:tcBorders>
            <w:shd w:val="clear" w:color="auto" w:fill="auto"/>
          </w:tcPr>
          <w:p w14:paraId="022105E5" w14:textId="77777777" w:rsidR="00E46553" w:rsidRPr="00E46553" w:rsidRDefault="00E46553" w:rsidP="00E46553">
            <w:pPr>
              <w:widowControl w:val="0"/>
              <w:spacing w:line="276" w:lineRule="auto"/>
              <w:jc w:val="both"/>
              <w:rPr>
                <w:rFonts w:ascii="Calibri" w:eastAsia="Calibri" w:hAnsi="Calibri" w:cs="Calibri"/>
                <w:sz w:val="20"/>
                <w:szCs w:val="20"/>
              </w:rPr>
            </w:pPr>
            <w:r w:rsidRPr="00E46553">
              <w:rPr>
                <w:rFonts w:ascii="Calibri" w:eastAsia="Calibri" w:hAnsi="Calibri" w:cs="Calibri"/>
                <w:sz w:val="20"/>
                <w:szCs w:val="20"/>
              </w:rPr>
              <w:lastRenderedPageBreak/>
              <w:t>7. Detālplānojuma risinājumos saglabāt Ādažu novada teritorijas plānojumā noteikto Meža teritoriju (M2).</w:t>
            </w:r>
          </w:p>
        </w:tc>
        <w:tc>
          <w:tcPr>
            <w:tcW w:w="1701" w:type="dxa"/>
            <w:tcBorders>
              <w:left w:val="single" w:sz="4" w:space="0" w:color="000000"/>
              <w:bottom w:val="single" w:sz="4" w:space="0" w:color="000000"/>
              <w:right w:val="single" w:sz="4" w:space="0" w:color="auto"/>
            </w:tcBorders>
            <w:shd w:val="clear" w:color="auto" w:fill="auto"/>
          </w:tcPr>
          <w:p w14:paraId="47EBC230"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A85746C"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50CBCCCC" w14:textId="77777777" w:rsidTr="004B175B">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6980385"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b/>
                <w:sz w:val="20"/>
                <w:szCs w:val="20"/>
              </w:rPr>
              <w:t>„Veselības inspekcijas” 25.04.2023. nosacījumi Nr. 2.4.5.-4/77</w:t>
            </w:r>
          </w:p>
        </w:tc>
      </w:tr>
      <w:tr w:rsidR="00E46553" w:rsidRPr="00E46553" w14:paraId="7EA078F2"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57C92E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Detālplānojuma</w:t>
            </w:r>
            <w:r w:rsidRPr="00E46553">
              <w:rPr>
                <w:rFonts w:ascii="Calibri" w:eastAsia="Calibri" w:hAnsi="Calibri" w:cs="Times New Roman"/>
                <w:color w:val="FF0000"/>
                <w:sz w:val="20"/>
                <w:szCs w:val="20"/>
              </w:rPr>
              <w:t xml:space="preserve"> </w:t>
            </w:r>
            <w:r w:rsidRPr="00E46553">
              <w:rPr>
                <w:rFonts w:ascii="Calibri" w:eastAsia="Calibri" w:hAnsi="Calibri" w:cs="Times New Roman"/>
                <w:sz w:val="20"/>
                <w:szCs w:val="20"/>
              </w:rPr>
              <w:t>projektēšanas gaitā paredzēt: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1BF412"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566F15B4"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4CD539E0"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D4CE4F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 detālplānojuma izstrādāšanu, ievērojot Ministru kabineta 2014. gada 14. oktobra noteikumu Nr. 628 “Noteikumi par pašvaldību teritorijas attīstības plānošanas dokumentiem" un Ministru kabineta 2013. gada 30. aprīļa noteikumu Nr. 240 “Vispārīgie teritorijas plānošanas, izmantošanas un apbūves noteikumi” prasības;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F86D63"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A89357A"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42E035D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B1A14D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2. 1997. gada 05. februāra Aizsargjoslu likuma ievērošanu;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9DC350"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95A93AE"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4C371E9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E7EDC84"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lastRenderedPageBreak/>
              <w:t>3. objektu izvietojumu - atbilstoši spēkā esošajiem būvniecības normatīviem un Ādažu novada teritorijas izmantošanas un apbūves noteikumiem;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DE722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7CDC624"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355797D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99DFDB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4. vietējo ūdens avotu iekārtošanu lai nodrošinātu apgādi ar cilvēka veselībai nekaitīgu un kvalitatīvu dzeramo ūdeni katrā zemes gabalā (ar iespēju pieslēgties centralizētajiem ūdensapgādes tīkliem pēc to izbūves);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1C4F45"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vMerge w:val="restart"/>
            <w:tcBorders>
              <w:top w:val="single" w:sz="4" w:space="0" w:color="auto"/>
              <w:left w:val="single" w:sz="4" w:space="0" w:color="auto"/>
              <w:right w:val="single" w:sz="4" w:space="0" w:color="auto"/>
            </w:tcBorders>
            <w:shd w:val="clear" w:color="auto" w:fill="auto"/>
          </w:tcPr>
          <w:p w14:paraId="0219DD9E" w14:textId="77777777" w:rsidR="00E46553" w:rsidRPr="00E46553" w:rsidRDefault="00E46553" w:rsidP="00E46553">
            <w:pPr>
              <w:autoSpaceDE w:val="0"/>
              <w:autoSpaceDN w:val="0"/>
              <w:adjustRightInd w:val="0"/>
              <w:jc w:val="both"/>
              <w:rPr>
                <w:rFonts w:ascii="Calibri" w:eastAsia="Times New Roman" w:hAnsi="Calibri" w:cs="Calibri"/>
                <w:color w:val="000000"/>
                <w:sz w:val="20"/>
                <w:szCs w:val="20"/>
                <w:lang w:eastAsia="lv-LV"/>
              </w:rPr>
            </w:pPr>
            <w:r w:rsidRPr="00E46553">
              <w:rPr>
                <w:rFonts w:ascii="Calibri" w:eastAsia="Times New Roman" w:hAnsi="Calibri" w:cs="Calibri"/>
                <w:color w:val="000000"/>
                <w:sz w:val="20"/>
                <w:szCs w:val="20"/>
                <w:lang w:eastAsia="lv-LV"/>
              </w:rPr>
              <w:t xml:space="preserve">Detālplānojuma teritorijā paredzēts izbūvēt ūdensvadu un sadzīves notekūdeņu kanalizāciju, veidojot </w:t>
            </w:r>
            <w:proofErr w:type="spellStart"/>
            <w:r w:rsidRPr="00E46553">
              <w:rPr>
                <w:rFonts w:ascii="Calibri" w:eastAsia="Times New Roman" w:hAnsi="Calibri" w:cs="Calibri"/>
                <w:color w:val="000000"/>
                <w:sz w:val="20"/>
                <w:szCs w:val="20"/>
                <w:lang w:eastAsia="lv-LV"/>
              </w:rPr>
              <w:t>pieslēgumu</w:t>
            </w:r>
            <w:proofErr w:type="spellEnd"/>
            <w:r w:rsidRPr="00E46553">
              <w:rPr>
                <w:rFonts w:ascii="Calibri" w:eastAsia="Times New Roman" w:hAnsi="Calibri" w:cs="Calibri"/>
                <w:color w:val="000000"/>
                <w:sz w:val="20"/>
                <w:szCs w:val="20"/>
                <w:lang w:eastAsia="lv-LV"/>
              </w:rPr>
              <w:t xml:space="preserve"> pie esošajiem centralizētajiem tīkliem Ataru un </w:t>
            </w:r>
            <w:proofErr w:type="spellStart"/>
            <w:r w:rsidRPr="00E46553">
              <w:rPr>
                <w:rFonts w:ascii="Calibri" w:eastAsia="Times New Roman" w:hAnsi="Calibri" w:cs="Calibri"/>
                <w:color w:val="000000"/>
                <w:sz w:val="20"/>
                <w:szCs w:val="20"/>
                <w:lang w:eastAsia="lv-LV"/>
              </w:rPr>
              <w:t>Laveru</w:t>
            </w:r>
            <w:proofErr w:type="spellEnd"/>
            <w:r w:rsidRPr="00E46553">
              <w:rPr>
                <w:rFonts w:ascii="Calibri" w:eastAsia="Times New Roman" w:hAnsi="Calibri" w:cs="Calibri"/>
                <w:color w:val="000000"/>
                <w:sz w:val="20"/>
                <w:szCs w:val="20"/>
                <w:lang w:eastAsia="lv-LV"/>
              </w:rPr>
              <w:t xml:space="preserve"> ceļu krustojuma rajonā,  saskaņā ar SIA “Ādažu Ūdens” 2023.gadā 12.jūnijā izsniegtajiem nosacījumiem Nr. 2306/13/01.</w:t>
            </w:r>
          </w:p>
        </w:tc>
      </w:tr>
      <w:tr w:rsidR="00E46553" w:rsidRPr="00E46553" w14:paraId="1F483AF4"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C680737"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5. kopējā ūdens avota iekārtošanas gadījumā, aizsargjoslas ap ūdens ņemšanas vietu saskaņā ar Ministru kabineta 2004. gada 20. janvāra noteikumiem Nr. 43 “Aizsargjoslu ap ūdens ņemšanas vietām noteikšanas metodika”;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9B51A"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vMerge/>
            <w:tcBorders>
              <w:left w:val="single" w:sz="4" w:space="0" w:color="auto"/>
              <w:right w:val="single" w:sz="4" w:space="0" w:color="auto"/>
            </w:tcBorders>
            <w:shd w:val="clear" w:color="auto" w:fill="auto"/>
          </w:tcPr>
          <w:p w14:paraId="49D5847B"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1335F76D"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10A551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6. vietējo kanalizācijas sistēmu ar attīrīšanas iekārtām ar jaudu līdz 5 m³ notekūdeņu diennaktī vai izvedamām notekūdeņu </w:t>
            </w:r>
            <w:proofErr w:type="spellStart"/>
            <w:r w:rsidRPr="00E46553">
              <w:rPr>
                <w:rFonts w:ascii="Calibri" w:eastAsia="Calibri" w:hAnsi="Calibri" w:cs="Times New Roman"/>
                <w:sz w:val="20"/>
                <w:szCs w:val="20"/>
              </w:rPr>
              <w:t>krājtvertnēm</w:t>
            </w:r>
            <w:proofErr w:type="spellEnd"/>
            <w:r w:rsidRPr="00E46553">
              <w:rPr>
                <w:rFonts w:ascii="Calibri" w:eastAsia="Calibri" w:hAnsi="Calibri" w:cs="Times New Roman"/>
                <w:sz w:val="20"/>
                <w:szCs w:val="20"/>
              </w:rPr>
              <w:t xml:space="preserve"> katrā zemesgabalā (ar iespēju pieslēgties centralizētiem kanalizācijas tīkliem pēc to izbūves);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6E5061"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vMerge/>
            <w:tcBorders>
              <w:left w:val="single" w:sz="4" w:space="0" w:color="auto"/>
              <w:right w:val="single" w:sz="4" w:space="0" w:color="auto"/>
            </w:tcBorders>
            <w:shd w:val="clear" w:color="auto" w:fill="auto"/>
          </w:tcPr>
          <w:p w14:paraId="470E85F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5921E250"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861C7E6"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7. kopējo attīrīšanas iekārtu (ar jaudu virs 5 m</w:t>
            </w:r>
            <w:r w:rsidRPr="00E46553">
              <w:rPr>
                <w:rFonts w:ascii="Calibri" w:eastAsia="Calibri" w:hAnsi="Calibri" w:cs="Times New Roman"/>
                <w:sz w:val="20"/>
                <w:szCs w:val="20"/>
                <w:vertAlign w:val="superscript"/>
              </w:rPr>
              <w:t>3</w:t>
            </w:r>
            <w:r w:rsidRPr="00E46553">
              <w:rPr>
                <w:rFonts w:ascii="Calibri" w:eastAsia="Calibri" w:hAnsi="Calibri" w:cs="Times New Roman"/>
                <w:sz w:val="20"/>
                <w:szCs w:val="20"/>
              </w:rPr>
              <w:t xml:space="preserve"> ) ierīkošanas gadījumā aizsargjoslu ap attīrīšanas iekārtām saskaņā ar Aizsargjoslu likuma 28. panta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E77FA"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vMerge/>
            <w:tcBorders>
              <w:left w:val="single" w:sz="4" w:space="0" w:color="auto"/>
              <w:bottom w:val="single" w:sz="4" w:space="0" w:color="auto"/>
              <w:right w:val="single" w:sz="4" w:space="0" w:color="auto"/>
            </w:tcBorders>
            <w:shd w:val="clear" w:color="auto" w:fill="auto"/>
          </w:tcPr>
          <w:p w14:paraId="498D9F37"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0E16930C"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03F3EF08"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8. inženierkomunikācijas tīklu projektēšanu ievērojot Ministru kabineta 2014. gada 30. septembra noteikumus Nr. 574 “Noteikumi par Latvijas būvnormatīvu LBN 008-14 "Inženiertīklu izvietojums";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25C2D3"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3AFE5FB"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12425648"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313E411"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9. teritorijas labiekārtošanu, paredzot autotransporta kustības organizēšanu, automašīnu stāvvietas, gājēju un veloceliņu ierīkošanu.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11632" w14:textId="77777777" w:rsidR="00E46553" w:rsidRPr="00E46553" w:rsidRDefault="00E46553" w:rsidP="00E46553">
            <w:pPr>
              <w:snapToGrid w:val="0"/>
              <w:spacing w:line="276" w:lineRule="auto"/>
              <w:jc w:val="both"/>
              <w:rPr>
                <w:rFonts w:ascii="Calibri" w:eastAsia="Calibri" w:hAnsi="Calibri" w:cs="Times New Roman"/>
                <w:color w:val="000000"/>
                <w:sz w:val="20"/>
                <w:szCs w:val="20"/>
                <w:highlight w:val="yellow"/>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95D7AF1"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Plānotajā “A” ielā paredzēta </w:t>
            </w:r>
            <w:proofErr w:type="spellStart"/>
            <w:r w:rsidRPr="00E46553">
              <w:rPr>
                <w:rFonts w:ascii="Calibri" w:eastAsia="Calibri" w:hAnsi="Calibri" w:cs="Times New Roman"/>
                <w:sz w:val="20"/>
                <w:szCs w:val="20"/>
              </w:rPr>
              <w:t>divvirzienu</w:t>
            </w:r>
            <w:proofErr w:type="spellEnd"/>
            <w:r w:rsidRPr="00E46553">
              <w:rPr>
                <w:rFonts w:ascii="Calibri" w:eastAsia="Calibri" w:hAnsi="Calibri" w:cs="Times New Roman"/>
                <w:sz w:val="20"/>
                <w:szCs w:val="20"/>
              </w:rPr>
              <w:t xml:space="preserve"> brauktuve ar cieto segumu 5,5 m platumā. Projektējamās “A” ielas galā pie Mežu zemēm (M2) tiek projektēts apgriešanās laukums 16 m diametrā.</w:t>
            </w:r>
          </w:p>
        </w:tc>
      </w:tr>
      <w:tr w:rsidR="00E46553" w:rsidRPr="00E46553" w14:paraId="69D67902" w14:textId="77777777" w:rsidTr="004B175B">
        <w:trPr>
          <w:trHeight w:val="1408"/>
        </w:trPr>
        <w:tc>
          <w:tcPr>
            <w:tcW w:w="4786" w:type="dxa"/>
            <w:tcBorders>
              <w:top w:val="single" w:sz="4" w:space="0" w:color="auto"/>
              <w:left w:val="single" w:sz="4" w:space="0" w:color="auto"/>
              <w:bottom w:val="single" w:sz="4" w:space="0" w:color="auto"/>
              <w:right w:val="single" w:sz="4" w:space="0" w:color="auto"/>
            </w:tcBorders>
            <w:shd w:val="clear" w:color="auto" w:fill="auto"/>
          </w:tcPr>
          <w:p w14:paraId="15F4BCD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10. Veselības inspekcija iesaka detālplānojuma risinājumu izvērtēt Sabiedrības veselības departamenta Higiēnas novērtēšanas nodaļā.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FD0574" w14:textId="77777777" w:rsidR="00E46553" w:rsidRPr="00E46553" w:rsidRDefault="00E46553" w:rsidP="00E46553">
            <w:pPr>
              <w:snapToGrid w:val="0"/>
              <w:spacing w:line="276" w:lineRule="auto"/>
              <w:jc w:val="both"/>
              <w:rPr>
                <w:rFonts w:ascii="Calibri" w:eastAsia="Calibri" w:hAnsi="Calibri" w:cs="Times New Roman"/>
                <w:color w:val="000000"/>
                <w:sz w:val="20"/>
                <w:szCs w:val="20"/>
                <w:highlight w:val="yellow"/>
              </w:rPr>
            </w:pP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DC71752"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1B38D07D" w14:textId="77777777" w:rsidTr="004B175B">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3ED21DC" w14:textId="77777777" w:rsidR="00E46553" w:rsidRPr="00E46553" w:rsidRDefault="00E46553" w:rsidP="00E46553">
            <w:pPr>
              <w:snapToGrid w:val="0"/>
              <w:spacing w:line="276" w:lineRule="auto"/>
              <w:jc w:val="both"/>
              <w:rPr>
                <w:rFonts w:ascii="Calibri" w:eastAsia="Calibri" w:hAnsi="Calibri" w:cs="Times New Roman"/>
                <w:b/>
                <w:sz w:val="20"/>
                <w:szCs w:val="20"/>
              </w:rPr>
            </w:pPr>
            <w:r w:rsidRPr="00E46553">
              <w:rPr>
                <w:rFonts w:ascii="Calibri" w:eastAsia="Calibri" w:hAnsi="Calibri" w:cs="Times New Roman"/>
                <w:b/>
                <w:sz w:val="20"/>
                <w:szCs w:val="20"/>
              </w:rPr>
              <w:t>AS „Sadales tīkls” 16.06.2023. nosacījumi Nr. 30AT00-05/TN</w:t>
            </w:r>
            <w:r w:rsidRPr="00E46553">
              <w:rPr>
                <w:rFonts w:ascii="Calibri" w:eastAsia="Calibri" w:hAnsi="Calibri" w:cs="Times New Roman"/>
                <w:szCs w:val="22"/>
              </w:rPr>
              <w:t>-</w:t>
            </w:r>
            <w:r w:rsidRPr="00E46553">
              <w:rPr>
                <w:rFonts w:ascii="Calibri" w:eastAsia="Calibri" w:hAnsi="Calibri" w:cs="Times New Roman"/>
                <w:b/>
                <w:sz w:val="20"/>
                <w:szCs w:val="20"/>
              </w:rPr>
              <w:t>55051</w:t>
            </w:r>
          </w:p>
        </w:tc>
      </w:tr>
      <w:tr w:rsidR="00E46553" w:rsidRPr="00E46553" w14:paraId="5584966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DA2FD89"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 xml:space="preserve">1. </w:t>
            </w:r>
            <w:r w:rsidRPr="00E46553">
              <w:rPr>
                <w:rFonts w:ascii="Calibri" w:eastAsia="Calibri" w:hAnsi="Calibri" w:cs="Times New Roman"/>
                <w:color w:val="000000"/>
                <w:sz w:val="20"/>
                <w:szCs w:val="20"/>
              </w:rPr>
              <w:t xml:space="preserve">Plānojumā jāattēlo esošie un plānotie elektroapgādes objekti ((6-20)/0,4 </w:t>
            </w:r>
            <w:proofErr w:type="spellStart"/>
            <w:r w:rsidRPr="00E46553">
              <w:rPr>
                <w:rFonts w:ascii="Calibri" w:eastAsia="Calibri" w:hAnsi="Calibri" w:cs="Times New Roman"/>
                <w:color w:val="000000"/>
                <w:sz w:val="20"/>
                <w:szCs w:val="20"/>
              </w:rPr>
              <w:t>kV</w:t>
            </w:r>
            <w:proofErr w:type="spellEnd"/>
            <w:r w:rsidRPr="00E46553">
              <w:rPr>
                <w:rFonts w:ascii="Calibri" w:eastAsia="Calibri" w:hAnsi="Calibri" w:cs="Times New Roman"/>
                <w:color w:val="000000"/>
                <w:sz w:val="20"/>
                <w:szCs w:val="20"/>
              </w:rPr>
              <w:t xml:space="preserve"> apakšstacijas, 0,23 </w:t>
            </w:r>
            <w:proofErr w:type="spellStart"/>
            <w:r w:rsidRPr="00E46553">
              <w:rPr>
                <w:rFonts w:ascii="Calibri" w:eastAsia="Calibri" w:hAnsi="Calibri" w:cs="Times New Roman"/>
                <w:color w:val="000000"/>
                <w:sz w:val="20"/>
                <w:szCs w:val="20"/>
              </w:rPr>
              <w:t>kV</w:t>
            </w:r>
            <w:proofErr w:type="spellEnd"/>
            <w:r w:rsidRPr="00E46553">
              <w:rPr>
                <w:rFonts w:ascii="Calibri" w:eastAsia="Calibri" w:hAnsi="Calibri" w:cs="Times New Roman"/>
                <w:color w:val="000000"/>
                <w:sz w:val="20"/>
                <w:szCs w:val="20"/>
              </w:rPr>
              <w:t xml:space="preserve"> līdz 20 </w:t>
            </w:r>
            <w:proofErr w:type="spellStart"/>
            <w:r w:rsidRPr="00E46553">
              <w:rPr>
                <w:rFonts w:ascii="Calibri" w:eastAsia="Calibri" w:hAnsi="Calibri" w:cs="Times New Roman"/>
                <w:color w:val="000000"/>
                <w:sz w:val="20"/>
                <w:szCs w:val="20"/>
              </w:rPr>
              <w:t>kV</w:t>
            </w:r>
            <w:proofErr w:type="spellEnd"/>
            <w:r w:rsidRPr="00E46553">
              <w:rPr>
                <w:rFonts w:ascii="Calibri" w:eastAsia="Calibri" w:hAnsi="Calibri" w:cs="Times New Roman"/>
                <w:color w:val="000000"/>
                <w:sz w:val="20"/>
                <w:szCs w:val="20"/>
              </w:rPr>
              <w:t xml:space="preserve"> elektropārvades līnijas u. c. objekti), inženierkomunikāciju koridorus, kā arī atbilstošās aizsargjoslas, ja iespējams tās attēlot noteiktajā kartes mērogā (pielikumā obligāti jāpievieno grafisko attēlu (*.</w:t>
            </w:r>
            <w:proofErr w:type="spellStart"/>
            <w:r w:rsidRPr="00E46553">
              <w:rPr>
                <w:rFonts w:ascii="Calibri" w:eastAsia="Calibri" w:hAnsi="Calibri" w:cs="Times New Roman"/>
                <w:color w:val="000000"/>
                <w:sz w:val="20"/>
                <w:szCs w:val="20"/>
              </w:rPr>
              <w:t>pdf</w:t>
            </w:r>
            <w:proofErr w:type="spellEnd"/>
            <w:r w:rsidRPr="00E46553">
              <w:rPr>
                <w:rFonts w:ascii="Calibri" w:eastAsia="Calibri" w:hAnsi="Calibri" w:cs="Times New Roman"/>
                <w:color w:val="000000"/>
                <w:sz w:val="20"/>
                <w:szCs w:val="20"/>
              </w:rPr>
              <w:t>, *.</w:t>
            </w:r>
            <w:proofErr w:type="spellStart"/>
            <w:r w:rsidRPr="00E46553">
              <w:rPr>
                <w:rFonts w:ascii="Calibri" w:eastAsia="Calibri" w:hAnsi="Calibri" w:cs="Times New Roman"/>
                <w:color w:val="000000"/>
                <w:sz w:val="20"/>
                <w:szCs w:val="20"/>
              </w:rPr>
              <w:t>dwg</w:t>
            </w:r>
            <w:proofErr w:type="spellEnd"/>
            <w:r w:rsidRPr="00E46553">
              <w:rPr>
                <w:rFonts w:ascii="Calibri" w:eastAsia="Calibri" w:hAnsi="Calibri" w:cs="Times New Roman"/>
                <w:color w:val="000000"/>
                <w:sz w:val="20"/>
                <w:szCs w:val="20"/>
              </w:rPr>
              <w:t>, *.</w:t>
            </w:r>
            <w:proofErr w:type="spellStart"/>
            <w:r w:rsidRPr="00E46553">
              <w:rPr>
                <w:rFonts w:ascii="Calibri" w:eastAsia="Calibri" w:hAnsi="Calibri" w:cs="Times New Roman"/>
                <w:color w:val="000000"/>
                <w:sz w:val="20"/>
                <w:szCs w:val="20"/>
              </w:rPr>
              <w:t>dgn</w:t>
            </w:r>
            <w:proofErr w:type="spellEnd"/>
            <w:r w:rsidRPr="00E46553">
              <w:rPr>
                <w:rFonts w:ascii="Calibri" w:eastAsia="Calibri" w:hAnsi="Calibri" w:cs="Times New Roman"/>
                <w:color w:val="000000"/>
                <w:sz w:val="20"/>
                <w:szCs w:val="20"/>
              </w:rPr>
              <w:t xml:space="preserve"> u. c.) ar esošajiem un plānotajiem energoapgādes objektiem noteiktā kartes mērogā);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E55E77"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A65D21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Projektējamās ielās sarkano līniju robežās starp projektējamo brauktuvi un ielu sarkano līniju paredzēts izbūvēt divas 20 </w:t>
            </w:r>
            <w:proofErr w:type="spellStart"/>
            <w:r w:rsidRPr="00E46553">
              <w:rPr>
                <w:rFonts w:ascii="Calibri" w:eastAsia="Calibri" w:hAnsi="Calibri" w:cs="Times New Roman"/>
                <w:sz w:val="20"/>
                <w:szCs w:val="20"/>
              </w:rPr>
              <w:t>kV</w:t>
            </w:r>
            <w:proofErr w:type="spellEnd"/>
            <w:r w:rsidRPr="00E46553">
              <w:rPr>
                <w:rFonts w:ascii="Calibri" w:eastAsia="Calibri" w:hAnsi="Calibri" w:cs="Times New Roman"/>
                <w:sz w:val="20"/>
                <w:szCs w:val="20"/>
              </w:rPr>
              <w:t xml:space="preserve"> kabeļu līnijas no esošajiem/pārbūvējamiem </w:t>
            </w:r>
            <w:proofErr w:type="spellStart"/>
            <w:r w:rsidRPr="00E46553">
              <w:rPr>
                <w:rFonts w:ascii="Calibri" w:eastAsia="Calibri" w:hAnsi="Calibri" w:cs="Times New Roman"/>
                <w:sz w:val="20"/>
                <w:szCs w:val="20"/>
              </w:rPr>
              <w:t>kabeļbalstiem</w:t>
            </w:r>
            <w:proofErr w:type="spellEnd"/>
            <w:r w:rsidRPr="00E46553">
              <w:rPr>
                <w:rFonts w:ascii="Calibri" w:eastAsia="Calibri" w:hAnsi="Calibri" w:cs="Times New Roman"/>
                <w:sz w:val="20"/>
                <w:szCs w:val="20"/>
              </w:rPr>
              <w:t xml:space="preserve"> Nr.151, 152 uz </w:t>
            </w:r>
            <w:proofErr w:type="spellStart"/>
            <w:r w:rsidRPr="00E46553">
              <w:rPr>
                <w:rFonts w:ascii="Calibri" w:eastAsia="Calibri" w:hAnsi="Calibri" w:cs="Times New Roman"/>
                <w:sz w:val="20"/>
                <w:szCs w:val="20"/>
              </w:rPr>
              <w:t>Garciema</w:t>
            </w:r>
            <w:proofErr w:type="spellEnd"/>
            <w:r w:rsidRPr="00E46553">
              <w:rPr>
                <w:rFonts w:ascii="Calibri" w:eastAsia="Calibri" w:hAnsi="Calibri" w:cs="Times New Roman"/>
                <w:sz w:val="20"/>
                <w:szCs w:val="20"/>
              </w:rPr>
              <w:t xml:space="preserve"> ceļa līdz projektējamam transformatora punktam Detālplānojuma teritorijā. </w:t>
            </w:r>
            <w:proofErr w:type="spellStart"/>
            <w:r w:rsidRPr="00E46553">
              <w:rPr>
                <w:rFonts w:ascii="Calibri" w:eastAsia="Calibri" w:hAnsi="Calibri" w:cs="Times New Roman"/>
                <w:sz w:val="20"/>
                <w:szCs w:val="20"/>
              </w:rPr>
              <w:t>Deatālplānojuma</w:t>
            </w:r>
            <w:proofErr w:type="spellEnd"/>
            <w:r w:rsidRPr="00E46553">
              <w:rPr>
                <w:rFonts w:ascii="Calibri" w:eastAsia="Calibri" w:hAnsi="Calibri" w:cs="Times New Roman"/>
                <w:sz w:val="20"/>
                <w:szCs w:val="20"/>
              </w:rPr>
              <w:t xml:space="preserve"> teritorijā sarkano līniju robežās netālu no </w:t>
            </w:r>
            <w:proofErr w:type="spellStart"/>
            <w:r w:rsidRPr="00E46553">
              <w:rPr>
                <w:rFonts w:ascii="Calibri" w:eastAsia="Calibri" w:hAnsi="Calibri" w:cs="Times New Roman"/>
                <w:sz w:val="20"/>
                <w:szCs w:val="20"/>
              </w:rPr>
              <w:t>Garciema</w:t>
            </w:r>
            <w:proofErr w:type="spellEnd"/>
            <w:r w:rsidRPr="00E46553">
              <w:rPr>
                <w:rFonts w:ascii="Calibri" w:eastAsia="Calibri" w:hAnsi="Calibri" w:cs="Times New Roman"/>
                <w:sz w:val="20"/>
                <w:szCs w:val="20"/>
              </w:rPr>
              <w:t xml:space="preserve"> ceļa paredzēts izbūvēt vienu slēgā tipa kompakto transformatoru 6-20/0,4 </w:t>
            </w:r>
            <w:proofErr w:type="spellStart"/>
            <w:r w:rsidRPr="00E46553">
              <w:rPr>
                <w:rFonts w:ascii="Calibri" w:eastAsia="Calibri" w:hAnsi="Calibri" w:cs="Times New Roman"/>
                <w:sz w:val="20"/>
                <w:szCs w:val="20"/>
              </w:rPr>
              <w:t>kV</w:t>
            </w:r>
            <w:proofErr w:type="spellEnd"/>
            <w:r w:rsidRPr="00E46553">
              <w:rPr>
                <w:rFonts w:ascii="Calibri" w:eastAsia="Calibri" w:hAnsi="Calibri" w:cs="Times New Roman"/>
                <w:sz w:val="20"/>
                <w:szCs w:val="20"/>
              </w:rPr>
              <w:t xml:space="preserve">. No transformatora projektējamās ielās sarkano līniju robežās starp </w:t>
            </w:r>
            <w:r w:rsidRPr="00E46553">
              <w:rPr>
                <w:rFonts w:ascii="Calibri" w:eastAsia="Calibri" w:hAnsi="Calibri" w:cs="Times New Roman"/>
                <w:sz w:val="20"/>
                <w:szCs w:val="20"/>
              </w:rPr>
              <w:lastRenderedPageBreak/>
              <w:t xml:space="preserve">projektējamo brauktuvi un ielu sarkano līniju paredzēts izbūvēt vienu 0,4 </w:t>
            </w:r>
            <w:proofErr w:type="spellStart"/>
            <w:r w:rsidRPr="00E46553">
              <w:rPr>
                <w:rFonts w:ascii="Calibri" w:eastAsia="Calibri" w:hAnsi="Calibri" w:cs="Times New Roman"/>
                <w:sz w:val="20"/>
                <w:szCs w:val="20"/>
              </w:rPr>
              <w:t>kV</w:t>
            </w:r>
            <w:proofErr w:type="spellEnd"/>
            <w:r w:rsidRPr="00E46553">
              <w:rPr>
                <w:rFonts w:ascii="Calibri" w:eastAsia="Calibri" w:hAnsi="Calibri" w:cs="Times New Roman"/>
                <w:sz w:val="20"/>
                <w:szCs w:val="20"/>
              </w:rPr>
              <w:t xml:space="preserve"> elektroapgādes kabeļu </w:t>
            </w:r>
            <w:proofErr w:type="spellStart"/>
            <w:r w:rsidRPr="00E46553">
              <w:rPr>
                <w:rFonts w:ascii="Calibri" w:eastAsia="Calibri" w:hAnsi="Calibri" w:cs="Times New Roman"/>
                <w:sz w:val="20"/>
                <w:szCs w:val="20"/>
              </w:rPr>
              <w:t>līnijau</w:t>
            </w:r>
            <w:proofErr w:type="spellEnd"/>
            <w:r w:rsidRPr="00E46553">
              <w:rPr>
                <w:rFonts w:ascii="Calibri" w:eastAsia="Calibri" w:hAnsi="Calibri" w:cs="Times New Roman"/>
                <w:sz w:val="20"/>
                <w:szCs w:val="20"/>
              </w:rPr>
              <w:t xml:space="preserve"> ar ievadiem līdz katrai zemes vienībai. Zaļajā zonā pie sarkanajām līnijām paredzētas orientējošas vietas elektrosadales skapju novietnēm.</w:t>
            </w:r>
          </w:p>
          <w:p w14:paraId="4F38EA62"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Skatīt Detālplānojuma Grafisko daļu.</w:t>
            </w:r>
          </w:p>
        </w:tc>
      </w:tr>
      <w:tr w:rsidR="00E46553" w:rsidRPr="00E46553" w14:paraId="4BFF70F9"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5A89ECD7"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lastRenderedPageBreak/>
              <w:t xml:space="preserve">2. Izstrādājamā detālplānojuma aptverošajā teritorijā atrodas AS "Sadales tīkls" piederošie elektroapgādes objekti (0,23 –20) </w:t>
            </w:r>
            <w:proofErr w:type="spellStart"/>
            <w:r w:rsidRPr="00E46553">
              <w:rPr>
                <w:rFonts w:ascii="Calibri" w:eastAsia="Calibri" w:hAnsi="Calibri" w:cs="Times New Roman"/>
                <w:sz w:val="20"/>
                <w:szCs w:val="20"/>
              </w:rPr>
              <w:t>kV</w:t>
            </w:r>
            <w:proofErr w:type="spellEnd"/>
            <w:r w:rsidRPr="00E46553">
              <w:rPr>
                <w:rFonts w:ascii="Calibri" w:eastAsia="Calibri" w:hAnsi="Calibri" w:cs="Times New Roman"/>
                <w:sz w:val="20"/>
                <w:szCs w:val="20"/>
              </w:rPr>
              <w:t xml:space="preserve"> elektropārvades līnijas, a./st., TP u .c. elektroietaises);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4FD9A1"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A5CFA6A"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27938BB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19DF0B4"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3. Lai nodrošinātu elektroapgādi īpašumam tā normālai funkcionēšanai atbilstoši noteiktajam/plānotajam lietošanas mērķim, un precizētu pieslēguma vietu nepieciešams aizpildīt pieteikuma veidlapu "Pieteikums elektrotīkla </w:t>
            </w:r>
            <w:proofErr w:type="spellStart"/>
            <w:r w:rsidRPr="00E46553">
              <w:rPr>
                <w:rFonts w:ascii="Calibri" w:eastAsia="Calibri" w:hAnsi="Calibri" w:cs="Times New Roman"/>
                <w:sz w:val="20"/>
                <w:szCs w:val="20"/>
              </w:rPr>
              <w:t>pieslēgumam</w:t>
            </w:r>
            <w:proofErr w:type="spellEnd"/>
            <w:r w:rsidRPr="00E46553">
              <w:rPr>
                <w:rFonts w:ascii="Calibri" w:eastAsia="Calibri" w:hAnsi="Calibri" w:cs="Times New Roman"/>
                <w:sz w:val="20"/>
                <w:szCs w:val="20"/>
              </w:rPr>
              <w:t>/slodzes izmaiņām", norādot nepieciešamo jaudu, spriegumu un citu informāciju, kas prasīta veidlapā. Pieteikumam nepieciešams pievienot detalizētu skici/-es ar plānoto/-</w:t>
            </w:r>
            <w:proofErr w:type="spellStart"/>
            <w:r w:rsidRPr="00E46553">
              <w:rPr>
                <w:rFonts w:ascii="Calibri" w:eastAsia="Calibri" w:hAnsi="Calibri" w:cs="Times New Roman"/>
                <w:sz w:val="20"/>
                <w:szCs w:val="20"/>
              </w:rPr>
              <w:t>ajiem</w:t>
            </w:r>
            <w:proofErr w:type="spellEnd"/>
            <w:r w:rsidRPr="00E46553">
              <w:rPr>
                <w:rFonts w:ascii="Calibri" w:eastAsia="Calibri" w:hAnsi="Calibri" w:cs="Times New Roman"/>
                <w:sz w:val="20"/>
                <w:szCs w:val="20"/>
              </w:rPr>
              <w:t xml:space="preserve"> apbūves risinājumu/-</w:t>
            </w:r>
            <w:proofErr w:type="spellStart"/>
            <w:r w:rsidRPr="00E46553">
              <w:rPr>
                <w:rFonts w:ascii="Calibri" w:eastAsia="Calibri" w:hAnsi="Calibri" w:cs="Times New Roman"/>
                <w:sz w:val="20"/>
                <w:szCs w:val="20"/>
              </w:rPr>
              <w:t>iem</w:t>
            </w:r>
            <w:proofErr w:type="spellEnd"/>
            <w:r w:rsidRPr="00E46553">
              <w:rPr>
                <w:rFonts w:ascii="Calibri" w:eastAsia="Calibri" w:hAnsi="Calibri" w:cs="Times New Roman"/>
                <w:sz w:val="20"/>
                <w:szCs w:val="20"/>
              </w:rPr>
              <w:t xml:space="preserve">, sarkano līniju izvietojumu un paredzēto slodžu sadalījumu. Aizpildīto pieteikumu un pieteikuma veidlapā norādīto dokumentu kopijas var sūtīt uz e-pastu st@sadalestikls.lv, vai arī AS "Sadales tīkls" pa pastu uz adresi </w:t>
            </w:r>
            <w:proofErr w:type="spellStart"/>
            <w:r w:rsidRPr="00E46553">
              <w:rPr>
                <w:rFonts w:ascii="Calibri" w:eastAsia="Calibri" w:hAnsi="Calibri" w:cs="Times New Roman"/>
                <w:sz w:val="20"/>
                <w:szCs w:val="20"/>
              </w:rPr>
              <w:t>Šmerļa</w:t>
            </w:r>
            <w:proofErr w:type="spellEnd"/>
            <w:r w:rsidRPr="00E46553">
              <w:rPr>
                <w:rFonts w:ascii="Calibri" w:eastAsia="Calibri" w:hAnsi="Calibri" w:cs="Times New Roman"/>
                <w:sz w:val="20"/>
                <w:szCs w:val="20"/>
              </w:rPr>
              <w:t xml:space="preserve"> ielā 1, Rīgā, LV-1006, kā arī pieteikumu var aizpildīt AS "Sadales tīkls" klientu apkalpošanas portālā e-st.lv. Pēc pieteikuma saņemšanas tiks izstrādāti tehniskie noteikumi plānotajam objekta slodzes </w:t>
            </w:r>
            <w:proofErr w:type="spellStart"/>
            <w:r w:rsidRPr="00E46553">
              <w:rPr>
                <w:rFonts w:ascii="Calibri" w:eastAsia="Calibri" w:hAnsi="Calibri" w:cs="Times New Roman"/>
                <w:sz w:val="20"/>
                <w:szCs w:val="20"/>
              </w:rPr>
              <w:t>pieslēgumam</w:t>
            </w:r>
            <w:proofErr w:type="spellEnd"/>
            <w:r w:rsidRPr="00E46553">
              <w:rPr>
                <w:rFonts w:ascii="Calibri" w:eastAsia="Calibri" w:hAnsi="Calibri" w:cs="Times New Roman"/>
                <w:sz w:val="20"/>
                <w:szCs w:val="20"/>
              </w:rPr>
              <w:t xml:space="preserve"> un informācija par iespējamajām elektrotīkla pieslēguma ierīkošanas izmaksām;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7E09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BE0BBD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Uz to saņemts AS „Sadales tīkls” 2023.gada 15.augustā izsniegto “Pieslēguma ierīkošanas izmaksu aprēķins” (skatīt detālplānojuma 2.sējuma Pielikumos).</w:t>
            </w:r>
          </w:p>
        </w:tc>
      </w:tr>
      <w:tr w:rsidR="00E46553" w:rsidRPr="00E46553" w14:paraId="52DBD1DA"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263A626"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4. Plānojumā norādīt, ka elektroapgādes projektēšana un būvniecība ir īpaša būvniecība, kura jāveic saskaņā ar MK noteikumiem Nr. 253 "Atsevišķu inženierbūvju būvnoteikumi";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E9E24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5E99F1B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Skatīt detālplānojuma </w:t>
            </w:r>
            <w:proofErr w:type="spellStart"/>
            <w:r w:rsidRPr="00E46553">
              <w:rPr>
                <w:rFonts w:ascii="Calibri" w:eastAsia="Calibri" w:hAnsi="Calibri" w:cs="Times New Roman"/>
                <w:sz w:val="20"/>
                <w:szCs w:val="20"/>
              </w:rPr>
              <w:t>Paskadrojuma</w:t>
            </w:r>
            <w:proofErr w:type="spellEnd"/>
            <w:r w:rsidRPr="00E46553">
              <w:rPr>
                <w:rFonts w:ascii="Calibri" w:eastAsia="Calibri" w:hAnsi="Calibri" w:cs="Times New Roman"/>
                <w:sz w:val="20"/>
                <w:szCs w:val="20"/>
              </w:rPr>
              <w:t xml:space="preserve"> rakstā.</w:t>
            </w:r>
          </w:p>
        </w:tc>
      </w:tr>
      <w:tr w:rsidR="00E46553" w:rsidRPr="00E46553" w14:paraId="078AAB2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560E6B24"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5. Plānojuma teritorijā plānoto inženierkomunikāciju izvietojumam jāatbilst LBN 008-14 "Inženiertīklu izvietojums". Pie esošajiem un plānotajiem energoapgādes objektiem jānodrošina ērta piekļūšana AS "Sadales tīkls" personālam, autotransportam u. c. to tehnikai;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3120D8"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1C5AD00"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4EB5386A"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DD3B819"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6. Plānojumos norādīt noteiktās aizsargjoslas gar elektriskajiem tīkliem, ko nosaka Aizsargjoslu likuma 16. pantā;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4A903D"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D8C696C"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6E5CAA21"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19420EBB"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7. Izstrādājot plānojumu, iekļaut prasības par aprobežojumiem, kas noteikti saskaņā ar Aizsargjoslu likumu (īpaši 35. un 45. panta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3BD5B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108235F5"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 xml:space="preserve">Skatīt detālplānojuma </w:t>
            </w:r>
            <w:proofErr w:type="spellStart"/>
            <w:r w:rsidRPr="00E46553">
              <w:rPr>
                <w:rFonts w:ascii="Calibri" w:eastAsia="Calibri" w:hAnsi="Calibri" w:cs="Times New Roman"/>
                <w:sz w:val="20"/>
                <w:szCs w:val="20"/>
              </w:rPr>
              <w:t>Paskadrojuma</w:t>
            </w:r>
            <w:proofErr w:type="spellEnd"/>
            <w:r w:rsidRPr="00E46553">
              <w:rPr>
                <w:rFonts w:ascii="Calibri" w:eastAsia="Calibri" w:hAnsi="Calibri" w:cs="Times New Roman"/>
                <w:sz w:val="20"/>
                <w:szCs w:val="20"/>
              </w:rPr>
              <w:t xml:space="preserve"> rakstā.</w:t>
            </w:r>
          </w:p>
        </w:tc>
      </w:tr>
      <w:tr w:rsidR="00E46553" w:rsidRPr="00E46553" w14:paraId="408E866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73F7A1AE"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8. Plānojumā ietvert prasības par elektrotīklu ekspluatāciju un drošību, kā arī prasības vides un cilvēku aizsardzībai, ko nosaka MK noteikumi Nr. 982 "Enerģētikas infrastruktūras objektu aizsargjoslu noteikšanas metodika" – 3.,8. – 11. punkts;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028D6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2F8096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Skatīt detālplānojuma </w:t>
            </w:r>
            <w:proofErr w:type="spellStart"/>
            <w:r w:rsidRPr="00E46553">
              <w:rPr>
                <w:rFonts w:ascii="Calibri" w:eastAsia="Calibri" w:hAnsi="Calibri" w:cs="Times New Roman"/>
                <w:sz w:val="20"/>
                <w:szCs w:val="20"/>
              </w:rPr>
              <w:t>Paskadrojuma</w:t>
            </w:r>
            <w:proofErr w:type="spellEnd"/>
            <w:r w:rsidRPr="00E46553">
              <w:rPr>
                <w:rFonts w:ascii="Calibri" w:eastAsia="Calibri" w:hAnsi="Calibri" w:cs="Times New Roman"/>
                <w:sz w:val="20"/>
                <w:szCs w:val="20"/>
              </w:rPr>
              <w:t xml:space="preserve"> rakstā.</w:t>
            </w:r>
          </w:p>
        </w:tc>
      </w:tr>
      <w:tr w:rsidR="00E46553" w:rsidRPr="00E46553" w14:paraId="224456B2"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6C79F52"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lastRenderedPageBreak/>
              <w:t>9. Ja nepieciešama esošo elektroietaišu pārvietošana, tad paredzēt to pārnešanu atbilstoši spēkā esošajiem likumiem, noteikumiem u. c. normatīvajiem aktiem. Lai saņemtu tehniskos noteikumus, jāiesniedz pieteikums elektroietaišu pārvietošanai. Esošo energoapgādes komersantu objektu pārvietošanu pēc pamatotas nekustamā īpašuma īpašnieka prasības veic par viņa līdzekļiem, saskaņā ar Enerģētikas likuma 23. pantu;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37EE93"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3C83274"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1BE7EE58"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2BEBA3D"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10. Elektroenerģijas lietotāju elektroapgādes kārtību, elektroenerģijas tirgotāja un elektroenerģijas sistēmas operatora un lietotāja tiesības un pienākumus elektroenerģijas piegādē un lietošanā nosaka MK noteikumi Nr. 50 "Elektroenerģijas tirdzniecības un lietošanas noteikumi";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FB8C40"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2406824" w14:textId="77777777" w:rsidR="00E46553" w:rsidRPr="00E46553" w:rsidRDefault="00E46553" w:rsidP="00E46553">
            <w:pPr>
              <w:spacing w:line="276" w:lineRule="auto"/>
              <w:jc w:val="both"/>
              <w:rPr>
                <w:rFonts w:ascii="Calibri" w:eastAsia="Calibri" w:hAnsi="Calibri" w:cs="Arial"/>
                <w:sz w:val="20"/>
                <w:szCs w:val="20"/>
              </w:rPr>
            </w:pPr>
          </w:p>
        </w:tc>
      </w:tr>
      <w:tr w:rsidR="00E46553" w:rsidRPr="00E46553" w14:paraId="2056908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BAF6177"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11. Jaunu elektroietaišu pieslēgšana un atļautās slodzes palielināšana AS "Sadales tīkls" notiek saskaņā ar Sabiedrisko pakalpojumu regulēšanas komisijas padomes lēmumu "Sistēmas pieslēguma noteikumiem elektroenerģijas sistēmas dalībniekiem";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3ACE41"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50733AF"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5AFE26C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33F34E41"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12.  Plānojumā ietvert prasības par elektrotīklu, ko nosaka Enerģētikas likuma 19., 191, 23. un 24. pants;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0DEAD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8F6B15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 xml:space="preserve">Skatīt detālplānojuma </w:t>
            </w:r>
            <w:proofErr w:type="spellStart"/>
            <w:r w:rsidRPr="00E46553">
              <w:rPr>
                <w:rFonts w:ascii="Calibri" w:eastAsia="Calibri" w:hAnsi="Calibri" w:cs="Times New Roman"/>
                <w:sz w:val="20"/>
                <w:szCs w:val="20"/>
              </w:rPr>
              <w:t>Paskadrojuma</w:t>
            </w:r>
            <w:proofErr w:type="spellEnd"/>
            <w:r w:rsidRPr="00E46553">
              <w:rPr>
                <w:rFonts w:ascii="Calibri" w:eastAsia="Calibri" w:hAnsi="Calibri" w:cs="Times New Roman"/>
                <w:sz w:val="20"/>
                <w:szCs w:val="20"/>
              </w:rPr>
              <w:t xml:space="preserve"> rakstā.</w:t>
            </w:r>
          </w:p>
        </w:tc>
      </w:tr>
      <w:tr w:rsidR="00E46553" w:rsidRPr="00E46553" w14:paraId="4F8B332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632287C4"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13. Veicot jebkādus darbus/darbības aizsargjoslās, kuru dēļ nepieciešams objektus aizsargāt, tie jāveic pēc saskaņošanas ar attiecīgā objekta īpašnieku;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BF647D"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F7ED3AB"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 xml:space="preserve">Skatīt detālplānojuma </w:t>
            </w:r>
            <w:proofErr w:type="spellStart"/>
            <w:r w:rsidRPr="00E46553">
              <w:rPr>
                <w:rFonts w:ascii="Calibri" w:eastAsia="Calibri" w:hAnsi="Calibri" w:cs="Times New Roman"/>
                <w:sz w:val="20"/>
                <w:szCs w:val="20"/>
              </w:rPr>
              <w:t>Paskadrojuma</w:t>
            </w:r>
            <w:proofErr w:type="spellEnd"/>
            <w:r w:rsidRPr="00E46553">
              <w:rPr>
                <w:rFonts w:ascii="Calibri" w:eastAsia="Calibri" w:hAnsi="Calibri" w:cs="Times New Roman"/>
                <w:sz w:val="20"/>
                <w:szCs w:val="20"/>
              </w:rPr>
              <w:t xml:space="preserve"> rakstā.</w:t>
            </w:r>
          </w:p>
        </w:tc>
      </w:tr>
      <w:tr w:rsidR="00E46553" w:rsidRPr="00E46553" w14:paraId="43A3A303" w14:textId="77777777" w:rsidTr="004B175B">
        <w:trPr>
          <w:trHeight w:val="58"/>
        </w:trPr>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2A36CF9D"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14. Plānojumu grafiskās daļas kartes mērogi:</w:t>
            </w:r>
          </w:p>
          <w:p w14:paraId="13C78F75"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Detālplānojumu izstrādei izmantot aktualizētu (ne vecāku par gadu) topogrāfisko plānu (LKS 92-TM koordinātu sistēmā) ar mēroga noteiktību 1:500 līdz 1:2000;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D731AD"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F99A032"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16A0E499"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vAlign w:val="center"/>
          </w:tcPr>
          <w:p w14:paraId="77B185E0" w14:textId="77777777" w:rsidR="00E46553" w:rsidRPr="00E46553" w:rsidRDefault="00E46553" w:rsidP="00E46553">
            <w:pPr>
              <w:keepLines/>
              <w:autoSpaceDE w:val="0"/>
              <w:autoSpaceDN w:val="0"/>
              <w:adjustRightIn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15. Pirms plānojuma iesniegšanas publiskajai apspriešanai un tā augšupielādes TAPIS sistēmā, plānojumu ar elektroapgādes tehnisko risinājumu elektroniskā formātā iesniegt portālā saskano.sadalestikls.lv. Plānojuma atzinums tiks sagatavots pēc pieprasījuma iesnieguma saņemšanas;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69CFC5"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65499E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p>
        </w:tc>
      </w:tr>
      <w:tr w:rsidR="00E46553" w:rsidRPr="00E46553" w14:paraId="6C0315CC" w14:textId="77777777" w:rsidTr="00E46553">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56E8578"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b/>
                <w:sz w:val="20"/>
                <w:szCs w:val="20"/>
              </w:rPr>
              <w:t>SIA „</w:t>
            </w:r>
            <w:proofErr w:type="spellStart"/>
            <w:r w:rsidRPr="00E46553">
              <w:rPr>
                <w:rFonts w:ascii="Calibri" w:eastAsia="Calibri" w:hAnsi="Calibri" w:cs="Times New Roman"/>
                <w:b/>
                <w:sz w:val="20"/>
                <w:szCs w:val="20"/>
              </w:rPr>
              <w:t>Tet</w:t>
            </w:r>
            <w:proofErr w:type="spellEnd"/>
            <w:r w:rsidRPr="00E46553">
              <w:rPr>
                <w:rFonts w:ascii="Calibri" w:eastAsia="Calibri" w:hAnsi="Calibri" w:cs="Times New Roman"/>
                <w:b/>
                <w:sz w:val="20"/>
                <w:szCs w:val="20"/>
              </w:rPr>
              <w:t>” 11.05.2023. nosacījumi Nr. PN-254669</w:t>
            </w:r>
          </w:p>
        </w:tc>
      </w:tr>
      <w:tr w:rsidR="00E46553" w:rsidRPr="00E46553" w14:paraId="41429467"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4D681EB5"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 Detālplānojumu izstrādāt uz aktuāla topogrāfiskā materiāla, atbilstoši LR Aizsargjoslu likumam, MK noteikumiem, Latvijas būvnormatīva LBN 008-14 "Inženiertīklu izvietojums" un LR Elektronisko sakaru likuma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ED94D" w14:textId="77777777" w:rsidR="00E46553" w:rsidRPr="00E46553" w:rsidRDefault="00E46553" w:rsidP="00E46553">
            <w:pPr>
              <w:spacing w:after="200" w:line="276" w:lineRule="auto"/>
              <w:jc w:val="both"/>
              <w:rPr>
                <w:rFonts w:ascii="Calibri" w:eastAsia="Calibri" w:hAnsi="Calibri" w:cs="Times New Roman"/>
                <w:szCs w:val="22"/>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D9326C0" w14:textId="77777777" w:rsidR="00E46553" w:rsidRPr="00E46553" w:rsidRDefault="00E46553" w:rsidP="00E46553">
            <w:pPr>
              <w:spacing w:after="200" w:line="276" w:lineRule="auto"/>
              <w:jc w:val="both"/>
              <w:rPr>
                <w:rFonts w:ascii="Calibri" w:eastAsia="Calibri" w:hAnsi="Calibri" w:cs="Times New Roman"/>
                <w:szCs w:val="22"/>
              </w:rPr>
            </w:pPr>
            <w:r w:rsidRPr="00E46553">
              <w:rPr>
                <w:rFonts w:ascii="Calibri" w:eastAsia="Calibri" w:hAnsi="Calibri" w:cs="Times New Roman"/>
                <w:sz w:val="20"/>
                <w:szCs w:val="20"/>
              </w:rPr>
              <w:t>Skatīt detālplānojuma Grafisko daļu.</w:t>
            </w:r>
          </w:p>
        </w:tc>
      </w:tr>
      <w:tr w:rsidR="00E46553" w:rsidRPr="00E46553" w14:paraId="34C7A165"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244089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2. Veidojot īpašuma sadali apbūves gabalos, savrupmāju apbūvei , vienotu ielu tīklu un inženierkomunikāciju struktūru izveidi, ievērot SIA </w:t>
            </w:r>
            <w:proofErr w:type="spellStart"/>
            <w:r w:rsidRPr="00E46553">
              <w:rPr>
                <w:rFonts w:ascii="Calibri" w:eastAsia="Calibri" w:hAnsi="Calibri" w:cs="Times New Roman"/>
                <w:sz w:val="20"/>
                <w:szCs w:val="20"/>
              </w:rPr>
              <w:t>Tet</w:t>
            </w:r>
            <w:proofErr w:type="spellEnd"/>
            <w:r w:rsidRPr="00E46553">
              <w:rPr>
                <w:rFonts w:ascii="Calibri" w:eastAsia="Calibri" w:hAnsi="Calibri" w:cs="Times New Roman"/>
                <w:sz w:val="20"/>
                <w:szCs w:val="20"/>
              </w:rPr>
              <w:t xml:space="preserve"> elektronisko sakaru tīkla attīstības iespēju, paredzot vietu/ inženierkomunikāciju koridoru perspektīvā iespējamam elektronisko sakaru kabeļu kanalizācijas trases izvietojumam, pa projektējamo ielu un </w:t>
            </w:r>
            <w:proofErr w:type="spellStart"/>
            <w:r w:rsidRPr="00E46553">
              <w:rPr>
                <w:rFonts w:ascii="Calibri" w:eastAsia="Calibri" w:hAnsi="Calibri" w:cs="Times New Roman"/>
                <w:sz w:val="20"/>
                <w:szCs w:val="20"/>
              </w:rPr>
              <w:t>pievadceļiem</w:t>
            </w:r>
            <w:proofErr w:type="spellEnd"/>
            <w:r w:rsidRPr="00E46553">
              <w:rPr>
                <w:rFonts w:ascii="Calibri" w:eastAsia="Calibri" w:hAnsi="Calibri" w:cs="Times New Roman"/>
                <w:sz w:val="20"/>
                <w:szCs w:val="20"/>
              </w:rPr>
              <w:t xml:space="preserve"> detālplānojuma teritorijā, uzradot apakšzemes sakaru komunikāciju trašu izvietojumu ielu / pievedceļu griezumos atbilstoši Latvijas Republikas Ministru kabineta Noteikumus Nr. </w:t>
            </w:r>
            <w:r w:rsidRPr="00E46553">
              <w:rPr>
                <w:rFonts w:ascii="Calibri" w:eastAsia="Calibri" w:hAnsi="Calibri" w:cs="Times New Roman"/>
                <w:sz w:val="20"/>
                <w:szCs w:val="20"/>
              </w:rPr>
              <w:lastRenderedPageBreak/>
              <w:t>574 par Latvijas būvnormatīvu LBN 008-14 „ Inženiertīklu izvietojums” prasībām.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0B36A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lastRenderedPageBreak/>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43D0A7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057197F6"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987669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3. Paredzēt vietas sakaru kabeļu kanalizācijas </w:t>
            </w:r>
            <w:proofErr w:type="spellStart"/>
            <w:r w:rsidRPr="00E46553">
              <w:rPr>
                <w:rFonts w:ascii="Calibri" w:eastAsia="Calibri" w:hAnsi="Calibri" w:cs="Times New Roman"/>
                <w:sz w:val="20"/>
                <w:szCs w:val="20"/>
              </w:rPr>
              <w:t>pievadiem</w:t>
            </w:r>
            <w:proofErr w:type="spellEnd"/>
            <w:r w:rsidRPr="00E46553">
              <w:rPr>
                <w:rFonts w:ascii="Calibri" w:eastAsia="Calibri" w:hAnsi="Calibri" w:cs="Times New Roman"/>
                <w:sz w:val="20"/>
                <w:szCs w:val="20"/>
              </w:rPr>
              <w:t xml:space="preserve"> no projektējamās sakaru kabeļu kanalizācijas trases līdz katrai plānotajai zemes vienībai/apbūvei.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76E8C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ECDBA5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2E1317E4"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1DF665F"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4. Projektējamās sakaru komunikāciju trases/ </w:t>
            </w:r>
            <w:proofErr w:type="spellStart"/>
            <w:r w:rsidRPr="00E46553">
              <w:rPr>
                <w:rFonts w:ascii="Calibri" w:eastAsia="Calibri" w:hAnsi="Calibri" w:cs="Times New Roman"/>
                <w:sz w:val="20"/>
                <w:szCs w:val="20"/>
              </w:rPr>
              <w:t>pievadus</w:t>
            </w:r>
            <w:proofErr w:type="spellEnd"/>
            <w:r w:rsidRPr="00E46553">
              <w:rPr>
                <w:rFonts w:ascii="Calibri" w:eastAsia="Calibri" w:hAnsi="Calibri" w:cs="Times New Roman"/>
                <w:sz w:val="20"/>
                <w:szCs w:val="20"/>
              </w:rPr>
              <w:t>/, akas novietojumu paredzēt zaļajā zonā, sarkano līniju robežās, ārpus ielu un piebraucamo ceļu braucamās daļas, uzradot apakšzemes komunikāciju trašu izvietojumu ielu/ceļu šķērsgriezumos. Risinājumus precizēt/saskaņot Būvprojektu izstrādes gaitā.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673895" w14:textId="77777777" w:rsidR="00E46553" w:rsidRPr="00E46553" w:rsidRDefault="00E46553" w:rsidP="00E46553">
            <w:pPr>
              <w:snapToGrid w:val="0"/>
              <w:spacing w:line="276" w:lineRule="auto"/>
              <w:jc w:val="both"/>
              <w:rPr>
                <w:rFonts w:ascii="Calibri" w:eastAsia="Calibri" w:hAnsi="Calibri" w:cs="Times New Roman"/>
                <w:color w:val="000000"/>
                <w:sz w:val="20"/>
                <w:szCs w:val="20"/>
                <w:highlight w:val="yellow"/>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CF27F86" w14:textId="77777777" w:rsidR="00E46553" w:rsidRPr="00E46553" w:rsidRDefault="00E46553" w:rsidP="00E46553">
            <w:pPr>
              <w:snapToGrid w:val="0"/>
              <w:spacing w:line="276" w:lineRule="auto"/>
              <w:jc w:val="both"/>
              <w:rPr>
                <w:rFonts w:ascii="Calibri" w:eastAsia="Calibri" w:hAnsi="Calibri" w:cs="Times New Roman"/>
                <w:color w:val="FF0000"/>
                <w:sz w:val="20"/>
                <w:szCs w:val="20"/>
                <w:highlight w:val="yellow"/>
              </w:rPr>
            </w:pPr>
            <w:r w:rsidRPr="00E46553">
              <w:rPr>
                <w:rFonts w:ascii="Calibri" w:eastAsia="Calibri" w:hAnsi="Calibri" w:cs="Times New Roman"/>
                <w:sz w:val="20"/>
                <w:szCs w:val="20"/>
              </w:rPr>
              <w:t>Skatīt detālplānojuma Grafisko daļu.</w:t>
            </w:r>
          </w:p>
        </w:tc>
      </w:tr>
      <w:tr w:rsidR="00E46553" w:rsidRPr="00E46553" w14:paraId="3D3B102E"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2D8841FF"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5. Ja nepieciešams, paredzēt vietu(</w:t>
            </w:r>
            <w:proofErr w:type="spellStart"/>
            <w:r w:rsidRPr="00E46553">
              <w:rPr>
                <w:rFonts w:ascii="Calibri" w:eastAsia="Calibri" w:hAnsi="Calibri" w:cs="Times New Roman"/>
                <w:sz w:val="20"/>
                <w:szCs w:val="20"/>
              </w:rPr>
              <w:t>as</w:t>
            </w:r>
            <w:proofErr w:type="spellEnd"/>
            <w:r w:rsidRPr="00E46553">
              <w:rPr>
                <w:rFonts w:ascii="Calibri" w:eastAsia="Calibri" w:hAnsi="Calibri" w:cs="Times New Roman"/>
                <w:sz w:val="20"/>
                <w:szCs w:val="20"/>
              </w:rPr>
              <w:t>) sakaru sadales punktu ierīkošanai pie projektējamajām sakaru trasēm ekspluatācijai piemērotā vietā.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58A801" w14:textId="77777777" w:rsidR="00E46553" w:rsidRPr="00E46553" w:rsidRDefault="00E46553" w:rsidP="00E46553">
            <w:pPr>
              <w:snapToGrid w:val="0"/>
              <w:spacing w:line="276" w:lineRule="auto"/>
              <w:jc w:val="both"/>
              <w:rPr>
                <w:rFonts w:ascii="Calibri" w:eastAsia="Calibri" w:hAnsi="Calibri" w:cs="Times New Roman"/>
                <w:color w:val="000000"/>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7321C6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Projektējamās ielās sarkano līniju robežās starp projektējamo brauktuvi un ielu sarkano līniju paredzēta orientējoša novietne projektējamai pazemes elektronisko sakaru kabeļu kanalizācijai, paredzot kabeļu ievadus līdz katrai zemes vienībai un paredzot sadales skapju orientējošas novietnes.</w:t>
            </w:r>
          </w:p>
          <w:p w14:paraId="0879A1A6" w14:textId="77777777" w:rsidR="00E46553" w:rsidRPr="00E46553" w:rsidRDefault="00E46553" w:rsidP="00E46553">
            <w:pPr>
              <w:snapToGrid w:val="0"/>
              <w:spacing w:line="276" w:lineRule="auto"/>
              <w:jc w:val="both"/>
              <w:rPr>
                <w:rFonts w:ascii="Calibri" w:eastAsia="Calibri" w:hAnsi="Calibri" w:cs="Times New Roman"/>
                <w:color w:val="FF0000"/>
                <w:sz w:val="20"/>
                <w:szCs w:val="20"/>
              </w:rPr>
            </w:pPr>
            <w:r w:rsidRPr="00E46553">
              <w:rPr>
                <w:rFonts w:ascii="Calibri" w:eastAsia="Calibri" w:hAnsi="Calibri" w:cs="Times New Roman"/>
                <w:sz w:val="20"/>
                <w:szCs w:val="20"/>
              </w:rPr>
              <w:t>Skatīt detālplānojuma Grafisko daļu.</w:t>
            </w:r>
          </w:p>
        </w:tc>
      </w:tr>
      <w:tr w:rsidR="00E46553" w:rsidRPr="00E46553" w14:paraId="6946BF06"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DE89B5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6. Veicot īpašuma sadali apbūves gabalos, veidojot vienotu ielu tīklu, inženiertehnisko komunikāciju tīklu izveidi, ievērot ka SIA </w:t>
            </w:r>
            <w:proofErr w:type="spellStart"/>
            <w:r w:rsidRPr="00E46553">
              <w:rPr>
                <w:rFonts w:ascii="Calibri" w:eastAsia="Calibri" w:hAnsi="Calibri" w:cs="Times New Roman"/>
                <w:sz w:val="20"/>
                <w:szCs w:val="20"/>
              </w:rPr>
              <w:t>Tet</w:t>
            </w:r>
            <w:proofErr w:type="spellEnd"/>
            <w:r w:rsidRPr="00E46553">
              <w:rPr>
                <w:rFonts w:ascii="Calibri" w:eastAsia="Calibri" w:hAnsi="Calibri" w:cs="Times New Roman"/>
                <w:sz w:val="20"/>
                <w:szCs w:val="20"/>
              </w:rPr>
              <w:t xml:space="preserve"> projektējamās elektronisko sakaru komunikācijas nedrīkst atrasties zem ielas (ceļu), pievedceļu cieta seguma braucamās </w:t>
            </w:r>
            <w:proofErr w:type="spellStart"/>
            <w:r w:rsidRPr="00E46553">
              <w:rPr>
                <w:rFonts w:ascii="Calibri" w:eastAsia="Calibri" w:hAnsi="Calibri" w:cs="Times New Roman"/>
                <w:sz w:val="20"/>
                <w:szCs w:val="20"/>
              </w:rPr>
              <w:t>daļas,bortakments</w:t>
            </w:r>
            <w:proofErr w:type="spellEnd"/>
            <w:r w:rsidRPr="00E46553">
              <w:rPr>
                <w:rFonts w:ascii="Calibri" w:eastAsia="Calibri" w:hAnsi="Calibri" w:cs="Times New Roman"/>
                <w:sz w:val="20"/>
                <w:szCs w:val="20"/>
              </w:rPr>
              <w:t xml:space="preserve"> un grāvi garenvirzienā.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9D12C7"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47E64DE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10F9E3D3"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5A1B46E8"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7. Inženierkomunikāciju trases, būves un citas virszemes / pazemes tīkla, labiekārtošanas elementu konstrukcijas, paredzēt ārpus elektronisko sakaru komunikāciju aizsardzības joslas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7C2A8A"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2D78DE6E"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Skatīt detālplānojuma Grafisko daļu.</w:t>
            </w:r>
          </w:p>
        </w:tc>
      </w:tr>
      <w:tr w:rsidR="00E46553" w:rsidRPr="00E46553" w14:paraId="5FCD25FB"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5DA5E287"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8.</w:t>
            </w:r>
            <w:r w:rsidRPr="00E46553">
              <w:rPr>
                <w:rFonts w:ascii="Calibri" w:eastAsia="Calibri" w:hAnsi="Calibri" w:cs="Times New Roman"/>
                <w:szCs w:val="22"/>
              </w:rPr>
              <w:t xml:space="preserve"> </w:t>
            </w:r>
            <w:r w:rsidRPr="00E46553">
              <w:rPr>
                <w:rFonts w:ascii="Calibri" w:eastAsia="Calibri" w:hAnsi="Calibri" w:cs="Times New Roman"/>
                <w:sz w:val="20"/>
                <w:szCs w:val="20"/>
              </w:rPr>
              <w:t>Projektēt un būvēt elektronisko sakaru tīklu atļauts tikai sertificētajām specialistiem elektronisko sakaru jomā, kas saņēmuši sertifikātu normatīvajos aktos noteiktajā kārtībā.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F03CD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E5A0DB7" w14:textId="77777777" w:rsidR="00E46553" w:rsidRPr="00E46553" w:rsidRDefault="00E46553" w:rsidP="00E46553">
            <w:pPr>
              <w:snapToGrid w:val="0"/>
              <w:spacing w:line="276" w:lineRule="auto"/>
              <w:jc w:val="both"/>
              <w:rPr>
                <w:rFonts w:ascii="Calibri" w:eastAsia="Calibri" w:hAnsi="Calibri" w:cs="Times New Roman"/>
                <w:sz w:val="20"/>
                <w:szCs w:val="20"/>
              </w:rPr>
            </w:pPr>
          </w:p>
        </w:tc>
      </w:tr>
      <w:tr w:rsidR="00E46553" w:rsidRPr="00E46553" w14:paraId="7429293F"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5C36FBCD"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 xml:space="preserve">9. Pirms ēkas, apbūves, ceļu/ ielu tīklu tehniska un inženiertīklu izbūves būvprojektu izstrādes uzsākšanas pieprasīt tehniskos noteikumus no SIA </w:t>
            </w:r>
            <w:proofErr w:type="spellStart"/>
            <w:r w:rsidRPr="00E46553">
              <w:rPr>
                <w:rFonts w:ascii="Calibri" w:eastAsia="Calibri" w:hAnsi="Calibri" w:cs="Times New Roman"/>
                <w:sz w:val="20"/>
                <w:szCs w:val="20"/>
              </w:rPr>
              <w:t>Tet</w:t>
            </w:r>
            <w:proofErr w:type="spellEnd"/>
            <w:r w:rsidRPr="00E46553">
              <w:rPr>
                <w:rFonts w:ascii="Calibri" w:eastAsia="Calibri" w:hAnsi="Calibri"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66DDB6"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9545AB8"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2B7BCDA4"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A203F02" w14:textId="77777777" w:rsidR="00E46553" w:rsidRPr="00E46553" w:rsidRDefault="00E46553" w:rsidP="00E46553">
            <w:pPr>
              <w:snapToGrid w:val="0"/>
              <w:spacing w:line="276" w:lineRule="auto"/>
              <w:jc w:val="both"/>
              <w:rPr>
                <w:rFonts w:ascii="Calibri" w:eastAsia="Calibri" w:hAnsi="Calibri" w:cs="Times New Roman"/>
                <w:sz w:val="20"/>
                <w:szCs w:val="20"/>
              </w:rPr>
            </w:pPr>
            <w:r w:rsidRPr="00E46553">
              <w:rPr>
                <w:rFonts w:ascii="Calibri" w:eastAsia="Calibri" w:hAnsi="Calibri" w:cs="Times New Roman"/>
                <w:sz w:val="20"/>
                <w:szCs w:val="20"/>
              </w:rPr>
              <w:t>10. Lūgums savlaicīgi informēt SIA „</w:t>
            </w:r>
            <w:proofErr w:type="spellStart"/>
            <w:r w:rsidRPr="00E46553">
              <w:rPr>
                <w:rFonts w:ascii="Calibri" w:eastAsia="Calibri" w:hAnsi="Calibri" w:cs="Times New Roman"/>
                <w:sz w:val="20"/>
                <w:szCs w:val="20"/>
              </w:rPr>
              <w:t>Tet</w:t>
            </w:r>
            <w:proofErr w:type="spellEnd"/>
            <w:r w:rsidRPr="00E46553">
              <w:rPr>
                <w:rFonts w:ascii="Calibri" w:eastAsia="Calibri" w:hAnsi="Calibri" w:cs="Times New Roman"/>
                <w:sz w:val="20"/>
                <w:szCs w:val="20"/>
              </w:rPr>
              <w:t>” par paredzamajām izmaiņām teritorijas apbūvē.</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1E29EF"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0A3B997C"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7F4BB843" w14:textId="77777777" w:rsidTr="00E46553">
        <w:tc>
          <w:tcPr>
            <w:tcW w:w="979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478CCAC5" w14:textId="77777777" w:rsidR="00E46553" w:rsidRPr="00E46553" w:rsidRDefault="00E46553" w:rsidP="00E46553">
            <w:pPr>
              <w:snapToGrid w:val="0"/>
              <w:spacing w:line="276" w:lineRule="auto"/>
              <w:jc w:val="both"/>
              <w:rPr>
                <w:rFonts w:ascii="Calibri" w:eastAsia="Calibri" w:hAnsi="Calibri" w:cs="Times New Roman"/>
                <w:b/>
                <w:bCs/>
                <w:sz w:val="20"/>
                <w:szCs w:val="20"/>
              </w:rPr>
            </w:pPr>
            <w:r w:rsidRPr="00E46553">
              <w:rPr>
                <w:rFonts w:ascii="Calibri" w:eastAsia="Calibri" w:hAnsi="Calibri" w:cs="Calibri"/>
                <w:b/>
                <w:bCs/>
                <w:sz w:val="20"/>
                <w:szCs w:val="20"/>
              </w:rPr>
              <w:t>SIA “Baltcom” 04.07.2023. nosacījumi Nr. ATB23070404</w:t>
            </w:r>
          </w:p>
        </w:tc>
      </w:tr>
      <w:tr w:rsidR="00E46553" w:rsidRPr="00E46553" w14:paraId="48F6691C"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16E8D43C"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1. Atbildot uz Jūsu iesniegumu, SIA “Baltcom” paziņo, ka pielikumā uzrādītajā OBJEKTA zonā SIA</w:t>
            </w:r>
          </w:p>
          <w:p w14:paraId="7D22B8DE"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“Baltcom” piederošu komunikāciju nav.</w:t>
            </w:r>
          </w:p>
          <w:p w14:paraId="381B09E5"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Līdz ar to SIA “Baltcom” nosacījumi OBJEKTA projektēšanai un būvniecībai nav nepieciešami.</w:t>
            </w:r>
          </w:p>
          <w:p w14:paraId="005769BE" w14:textId="77777777" w:rsidR="00E46553" w:rsidRPr="00E46553" w:rsidRDefault="00E46553" w:rsidP="00E46553">
            <w:pPr>
              <w:jc w:val="both"/>
              <w:rPr>
                <w:rFonts w:ascii="Calibri" w:eastAsia="Calibri" w:hAnsi="Calibri" w:cs="Times New Roman"/>
                <w:sz w:val="20"/>
                <w:szCs w:val="20"/>
              </w:rPr>
            </w:pPr>
            <w:r w:rsidRPr="00E46553">
              <w:rPr>
                <w:rFonts w:ascii="Calibri" w:eastAsia="Calibri" w:hAnsi="Calibri" w:cs="Times New Roman"/>
                <w:sz w:val="20"/>
                <w:szCs w:val="20"/>
              </w:rPr>
              <w:t>Projekta saskaņošana ar SIA “Baltcom” nav nepieciešama.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803F71"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Times New Roman"/>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70EAC57"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p>
        </w:tc>
      </w:tr>
      <w:tr w:rsidR="00E46553" w:rsidRPr="00E46553" w14:paraId="05460348" w14:textId="77777777" w:rsidTr="00E46553">
        <w:tc>
          <w:tcPr>
            <w:tcW w:w="9799" w:type="dxa"/>
            <w:gridSpan w:val="3"/>
            <w:tcBorders>
              <w:top w:val="single" w:sz="4" w:space="0" w:color="auto"/>
              <w:left w:val="single" w:sz="4" w:space="0" w:color="auto"/>
              <w:bottom w:val="single" w:sz="4" w:space="0" w:color="auto"/>
              <w:right w:val="single" w:sz="4" w:space="0" w:color="auto"/>
            </w:tcBorders>
            <w:shd w:val="clear" w:color="auto" w:fill="F2F2F2"/>
          </w:tcPr>
          <w:p w14:paraId="302B3967" w14:textId="77777777" w:rsidR="00E46553" w:rsidRPr="00E46553" w:rsidRDefault="00E46553" w:rsidP="00E46553">
            <w:pPr>
              <w:snapToGrid w:val="0"/>
              <w:spacing w:line="276" w:lineRule="auto"/>
              <w:jc w:val="both"/>
              <w:rPr>
                <w:rFonts w:ascii="Calibri" w:eastAsia="Calibri" w:hAnsi="Calibri" w:cs="Times New Roman"/>
                <w:sz w:val="20"/>
                <w:szCs w:val="20"/>
                <w:highlight w:val="yellow"/>
              </w:rPr>
            </w:pPr>
            <w:r w:rsidRPr="00E46553">
              <w:rPr>
                <w:rFonts w:ascii="Calibri" w:eastAsia="Calibri" w:hAnsi="Calibri" w:cs="Calibri"/>
                <w:b/>
                <w:bCs/>
                <w:sz w:val="20"/>
                <w:szCs w:val="20"/>
              </w:rPr>
              <w:t>SIA “Ādažu Ūdens” 12.06.2023. nosacījumi Nr. 2306/13/01</w:t>
            </w:r>
          </w:p>
        </w:tc>
      </w:tr>
      <w:tr w:rsidR="00E46553" w:rsidRPr="00E46553" w14:paraId="2B80613A"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69F892FB"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 xml:space="preserve">1. Apbūvi nodrošināt ar </w:t>
            </w:r>
            <w:proofErr w:type="spellStart"/>
            <w:r w:rsidRPr="00E46553">
              <w:rPr>
                <w:rFonts w:ascii="Calibri" w:eastAsia="Calibri" w:hAnsi="Calibri" w:cs="Calibri"/>
                <w:sz w:val="20"/>
                <w:szCs w:val="20"/>
              </w:rPr>
              <w:t>centralizeto</w:t>
            </w:r>
            <w:proofErr w:type="spellEnd"/>
            <w:r w:rsidRPr="00E46553">
              <w:rPr>
                <w:rFonts w:ascii="Calibri" w:eastAsia="Calibri" w:hAnsi="Calibri" w:cs="Calibri"/>
                <w:sz w:val="20"/>
                <w:szCs w:val="20"/>
              </w:rPr>
              <w:t xml:space="preserve"> dzeramo ūdeni iespējams paredzot pieslēgšanos esošajam ūdensvada kolektoram Ataru un </w:t>
            </w:r>
            <w:proofErr w:type="spellStart"/>
            <w:r w:rsidRPr="00E46553">
              <w:rPr>
                <w:rFonts w:ascii="Calibri" w:eastAsia="Calibri" w:hAnsi="Calibri" w:cs="Calibri"/>
                <w:sz w:val="20"/>
                <w:szCs w:val="20"/>
              </w:rPr>
              <w:t>Laveru</w:t>
            </w:r>
            <w:proofErr w:type="spellEnd"/>
            <w:r w:rsidRPr="00E46553">
              <w:rPr>
                <w:rFonts w:ascii="Calibri" w:eastAsia="Calibri" w:hAnsi="Calibri" w:cs="Calibri"/>
                <w:sz w:val="20"/>
                <w:szCs w:val="20"/>
              </w:rPr>
              <w:t xml:space="preserve"> ceļu krustojuma rajonā.</w:t>
            </w:r>
          </w:p>
          <w:p w14:paraId="002B9F5F" w14:textId="77777777" w:rsidR="00E46553" w:rsidRPr="00E46553" w:rsidRDefault="00E46553" w:rsidP="00E46553">
            <w:pPr>
              <w:spacing w:line="276" w:lineRule="auto"/>
              <w:ind w:right="153"/>
              <w:contextualSpacing/>
              <w:jc w:val="both"/>
              <w:rPr>
                <w:rFonts w:ascii="Calibri" w:eastAsia="Calibri" w:hAnsi="Calibri" w:cs="Calibr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8DC07A"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D1DCE4D"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Calibri" w:hAnsi="Calibri" w:cs="Times New Roman"/>
                <w:sz w:val="20"/>
                <w:szCs w:val="20"/>
              </w:rPr>
              <w:t xml:space="preserve">Detālplānojuma teritorijā paredzēts izbūvēt ūdensvadu, veidojot </w:t>
            </w:r>
            <w:proofErr w:type="spellStart"/>
            <w:r w:rsidRPr="00E46553">
              <w:rPr>
                <w:rFonts w:ascii="Calibri" w:eastAsia="Calibri" w:hAnsi="Calibri" w:cs="Times New Roman"/>
                <w:sz w:val="20"/>
                <w:szCs w:val="20"/>
              </w:rPr>
              <w:t>pieslēgumu</w:t>
            </w:r>
            <w:proofErr w:type="spellEnd"/>
            <w:r w:rsidRPr="00E46553">
              <w:rPr>
                <w:rFonts w:ascii="Calibri" w:eastAsia="Calibri" w:hAnsi="Calibri" w:cs="Times New Roman"/>
                <w:sz w:val="20"/>
                <w:szCs w:val="20"/>
              </w:rPr>
              <w:t xml:space="preserve"> pie esošajiem centralizētajiem tīkliem Ataru un </w:t>
            </w:r>
            <w:proofErr w:type="spellStart"/>
            <w:r w:rsidRPr="00E46553">
              <w:rPr>
                <w:rFonts w:ascii="Calibri" w:eastAsia="Calibri" w:hAnsi="Calibri" w:cs="Times New Roman"/>
                <w:sz w:val="20"/>
                <w:szCs w:val="20"/>
              </w:rPr>
              <w:lastRenderedPageBreak/>
              <w:t>Laveru</w:t>
            </w:r>
            <w:proofErr w:type="spellEnd"/>
            <w:r w:rsidRPr="00E46553">
              <w:rPr>
                <w:rFonts w:ascii="Calibri" w:eastAsia="Calibri" w:hAnsi="Calibri" w:cs="Times New Roman"/>
                <w:sz w:val="20"/>
                <w:szCs w:val="20"/>
              </w:rPr>
              <w:t xml:space="preserve"> ceļu krustojuma rajonā.</w:t>
            </w:r>
          </w:p>
        </w:tc>
      </w:tr>
      <w:tr w:rsidR="00E46553" w:rsidRPr="00E46553" w14:paraId="7F0D05E0"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771EAE48"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lastRenderedPageBreak/>
              <w:t xml:space="preserve">2. Ūdensvada tīkla ierīkošanai pieļaujamas PE ūdensvada caurules ar </w:t>
            </w:r>
            <w:proofErr w:type="spellStart"/>
            <w:r w:rsidRPr="00E46553">
              <w:rPr>
                <w:rFonts w:ascii="Calibri" w:eastAsia="Calibri" w:hAnsi="Calibri" w:cs="Calibri"/>
                <w:sz w:val="20"/>
                <w:szCs w:val="20"/>
              </w:rPr>
              <w:t>speidiena</w:t>
            </w:r>
            <w:proofErr w:type="spellEnd"/>
            <w:r w:rsidRPr="00E46553">
              <w:rPr>
                <w:rFonts w:ascii="Calibri" w:eastAsia="Calibri" w:hAnsi="Calibri" w:cs="Calibri"/>
                <w:sz w:val="20"/>
                <w:szCs w:val="20"/>
              </w:rPr>
              <w:t xml:space="preserve"> klase ne mazāku kā PN10. Esošā ūdensvada </w:t>
            </w:r>
            <w:proofErr w:type="spellStart"/>
            <w:r w:rsidRPr="00E46553">
              <w:rPr>
                <w:rFonts w:ascii="Calibri" w:eastAsia="Calibri" w:hAnsi="Calibri" w:cs="Calibri"/>
                <w:sz w:val="20"/>
                <w:szCs w:val="20"/>
              </w:rPr>
              <w:t>koleektora</w:t>
            </w:r>
            <w:proofErr w:type="spellEnd"/>
            <w:r w:rsidRPr="00E46553">
              <w:rPr>
                <w:rFonts w:ascii="Calibri" w:eastAsia="Calibri" w:hAnsi="Calibri" w:cs="Calibri"/>
                <w:sz w:val="20"/>
                <w:szCs w:val="20"/>
              </w:rPr>
              <w:t xml:space="preserve"> diametrs 100mm. Ūdensvada diametrs jāizvēlas ievērojot ārējās ugunsdzēsības prasības. Ūdensvada abonentu </w:t>
            </w:r>
            <w:proofErr w:type="spellStart"/>
            <w:r w:rsidRPr="00E46553">
              <w:rPr>
                <w:rFonts w:ascii="Calibri" w:eastAsia="Calibri" w:hAnsi="Calibri" w:cs="Calibri"/>
                <w:sz w:val="20"/>
                <w:szCs w:val="20"/>
              </w:rPr>
              <w:t>pievadatzaru</w:t>
            </w:r>
            <w:proofErr w:type="spellEnd"/>
            <w:r w:rsidRPr="00E46553">
              <w:rPr>
                <w:rFonts w:ascii="Calibri" w:eastAsia="Calibri" w:hAnsi="Calibri" w:cs="Calibri"/>
                <w:sz w:val="20"/>
                <w:szCs w:val="20"/>
              </w:rPr>
              <w:t xml:space="preserve"> diametrs jāparedz ne mazāku kā 32mm. Pievienošanās vietā kolektoram uz abonenta </w:t>
            </w:r>
            <w:proofErr w:type="spellStart"/>
            <w:r w:rsidRPr="00E46553">
              <w:rPr>
                <w:rFonts w:ascii="Calibri" w:eastAsia="Calibri" w:hAnsi="Calibri" w:cs="Calibri"/>
                <w:sz w:val="20"/>
                <w:szCs w:val="20"/>
              </w:rPr>
              <w:t>pievadatzara</w:t>
            </w:r>
            <w:proofErr w:type="spellEnd"/>
            <w:r w:rsidRPr="00E46553">
              <w:rPr>
                <w:rFonts w:ascii="Calibri" w:eastAsia="Calibri" w:hAnsi="Calibri" w:cs="Calibri"/>
                <w:sz w:val="20"/>
                <w:szCs w:val="20"/>
              </w:rPr>
              <w:t xml:space="preserve"> jāparedz </w:t>
            </w:r>
            <w:proofErr w:type="spellStart"/>
            <w:r w:rsidRPr="00E46553">
              <w:rPr>
                <w:rFonts w:ascii="Calibri" w:eastAsia="Calibri" w:hAnsi="Calibri" w:cs="Calibri"/>
                <w:sz w:val="20"/>
                <w:szCs w:val="20"/>
              </w:rPr>
              <w:t>atblistoša</w:t>
            </w:r>
            <w:proofErr w:type="spellEnd"/>
            <w:r w:rsidRPr="00E46553">
              <w:rPr>
                <w:rFonts w:ascii="Calibri" w:eastAsia="Calibri" w:hAnsi="Calibri" w:cs="Calibri"/>
                <w:sz w:val="20"/>
                <w:szCs w:val="20"/>
              </w:rPr>
              <w:t xml:space="preserve"> diametra, pazemes tipa </w:t>
            </w:r>
            <w:proofErr w:type="spellStart"/>
            <w:r w:rsidRPr="00E46553">
              <w:rPr>
                <w:rFonts w:ascii="Calibri" w:eastAsia="Calibri" w:hAnsi="Calibri" w:cs="Calibri"/>
                <w:sz w:val="20"/>
                <w:szCs w:val="20"/>
              </w:rPr>
              <w:t>noslēgarmatūra</w:t>
            </w:r>
            <w:proofErr w:type="spellEnd"/>
            <w:r w:rsidRPr="00E46553">
              <w:rPr>
                <w:rFonts w:ascii="Calibri" w:eastAsia="Calibri" w:hAnsi="Calibri" w:cs="Calibri"/>
                <w:sz w:val="20"/>
                <w:szCs w:val="20"/>
              </w:rPr>
              <w:t>. Apbūves gabala sarkanās līnijas rajonā, jāparedz ūdens mērīšanas mezgls siltinātā, polimēra materiāla akā.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10F38B"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785C1135"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Arial" w:hAnsi="Calibri" w:cs="Arial"/>
                <w:sz w:val="20"/>
                <w:szCs w:val="20"/>
              </w:rPr>
              <w:t>Ūdens vada izbūvei izstrādājams tehniskais projekts, kas atbilstoši normatīvo aktu prasībām saskaņots ar visām ieinteresētajām institūcijām.</w:t>
            </w:r>
          </w:p>
        </w:tc>
      </w:tr>
      <w:tr w:rsidR="00E46553" w:rsidRPr="00E46553" w14:paraId="15EA086F"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1A76AAC"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 xml:space="preserve">3. Kanalizācijas notekūdeņu iespējam aizvadīt paredzot pieslēgšanos esošajam kanalizācijas kolektoram Ataru un </w:t>
            </w:r>
            <w:proofErr w:type="spellStart"/>
            <w:r w:rsidRPr="00E46553">
              <w:rPr>
                <w:rFonts w:ascii="Calibri" w:eastAsia="Calibri" w:hAnsi="Calibri" w:cs="Calibri"/>
                <w:sz w:val="20"/>
                <w:szCs w:val="20"/>
              </w:rPr>
              <w:t>Laveru</w:t>
            </w:r>
            <w:proofErr w:type="spellEnd"/>
            <w:r w:rsidRPr="00E46553">
              <w:rPr>
                <w:rFonts w:ascii="Calibri" w:eastAsia="Calibri" w:hAnsi="Calibri" w:cs="Calibri"/>
                <w:sz w:val="20"/>
                <w:szCs w:val="20"/>
              </w:rPr>
              <w:t xml:space="preserve"> ceļu </w:t>
            </w:r>
            <w:proofErr w:type="spellStart"/>
            <w:r w:rsidRPr="00E46553">
              <w:rPr>
                <w:rFonts w:ascii="Calibri" w:eastAsia="Calibri" w:hAnsi="Calibri" w:cs="Calibri"/>
                <w:sz w:val="20"/>
                <w:szCs w:val="20"/>
              </w:rPr>
              <w:t>krostojumu</w:t>
            </w:r>
            <w:proofErr w:type="spellEnd"/>
            <w:r w:rsidRPr="00E46553">
              <w:rPr>
                <w:rFonts w:ascii="Calibri" w:eastAsia="Calibri" w:hAnsi="Calibri" w:cs="Calibri"/>
                <w:sz w:val="20"/>
                <w:szCs w:val="20"/>
              </w:rPr>
              <w:t xml:space="preserve"> rajonā.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B40B8B"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5C2BC323"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Calibri" w:hAnsi="Calibri" w:cs="Times New Roman"/>
                <w:sz w:val="20"/>
                <w:szCs w:val="20"/>
              </w:rPr>
              <w:t xml:space="preserve">Detālplānojuma teritorijā paredzēts izbūvēt sadzīves notekūdeņu kanalizāciju, veidojot </w:t>
            </w:r>
            <w:proofErr w:type="spellStart"/>
            <w:r w:rsidRPr="00E46553">
              <w:rPr>
                <w:rFonts w:ascii="Calibri" w:eastAsia="Calibri" w:hAnsi="Calibri" w:cs="Times New Roman"/>
                <w:sz w:val="20"/>
                <w:szCs w:val="20"/>
              </w:rPr>
              <w:t>pieslēgumu</w:t>
            </w:r>
            <w:proofErr w:type="spellEnd"/>
            <w:r w:rsidRPr="00E46553">
              <w:rPr>
                <w:rFonts w:ascii="Calibri" w:eastAsia="Calibri" w:hAnsi="Calibri" w:cs="Times New Roman"/>
                <w:sz w:val="20"/>
                <w:szCs w:val="20"/>
              </w:rPr>
              <w:t xml:space="preserve"> pie esošajiem centralizētajiem tīkliem Ataru un </w:t>
            </w:r>
            <w:proofErr w:type="spellStart"/>
            <w:r w:rsidRPr="00E46553">
              <w:rPr>
                <w:rFonts w:ascii="Calibri" w:eastAsia="Calibri" w:hAnsi="Calibri" w:cs="Times New Roman"/>
                <w:sz w:val="20"/>
                <w:szCs w:val="20"/>
              </w:rPr>
              <w:t>Laveru</w:t>
            </w:r>
            <w:proofErr w:type="spellEnd"/>
            <w:r w:rsidRPr="00E46553">
              <w:rPr>
                <w:rFonts w:ascii="Calibri" w:eastAsia="Calibri" w:hAnsi="Calibri" w:cs="Times New Roman"/>
                <w:sz w:val="20"/>
                <w:szCs w:val="20"/>
              </w:rPr>
              <w:t xml:space="preserve"> ceļu krustojuma rajonā.</w:t>
            </w:r>
          </w:p>
        </w:tc>
      </w:tr>
      <w:tr w:rsidR="00E46553" w:rsidRPr="00E46553" w14:paraId="450A5222"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4E524152"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 xml:space="preserve">4. Esošā kolektora diametrs 200mm. Ārējā pašteces kanalizācijas cauruļvadu minimālais diametrs 150 mm, </w:t>
            </w:r>
            <w:proofErr w:type="spellStart"/>
            <w:r w:rsidRPr="00E46553">
              <w:rPr>
                <w:rFonts w:ascii="Calibri" w:eastAsia="Calibri" w:hAnsi="Calibri" w:cs="Calibri"/>
                <w:sz w:val="20"/>
                <w:szCs w:val="20"/>
              </w:rPr>
              <w:t>singruma</w:t>
            </w:r>
            <w:proofErr w:type="spellEnd"/>
            <w:r w:rsidRPr="00E46553">
              <w:rPr>
                <w:rFonts w:ascii="Calibri" w:eastAsia="Calibri" w:hAnsi="Calibri" w:cs="Calibri"/>
                <w:sz w:val="20"/>
                <w:szCs w:val="20"/>
              </w:rPr>
              <w:t xml:space="preserve"> klase ne mazāka kā SN8. Pieļaujams </w:t>
            </w:r>
            <w:proofErr w:type="spellStart"/>
            <w:r w:rsidRPr="00E46553">
              <w:rPr>
                <w:rFonts w:ascii="Calibri" w:eastAsia="Calibri" w:hAnsi="Calibri" w:cs="Calibri"/>
                <w:sz w:val="20"/>
                <w:szCs w:val="20"/>
              </w:rPr>
              <w:t>spiedkanalizācijas</w:t>
            </w:r>
            <w:proofErr w:type="spellEnd"/>
            <w:r w:rsidRPr="00E46553">
              <w:rPr>
                <w:rFonts w:ascii="Calibri" w:eastAsia="Calibri" w:hAnsi="Calibri" w:cs="Calibri"/>
                <w:sz w:val="20"/>
                <w:szCs w:val="20"/>
              </w:rPr>
              <w:t xml:space="preserve"> risinājums.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A0CD11"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Tiks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67E7DCB1"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Arial" w:hAnsi="Calibri" w:cs="Arial"/>
                <w:sz w:val="20"/>
                <w:szCs w:val="20"/>
              </w:rPr>
              <w:t>Kanalizācijas vada izbūvei izstrādājams tehniskais projekts, kas atbilstoši normatīvo aktu prasībām saskaņots ar visām ieinteresētajām institūcijām.</w:t>
            </w:r>
          </w:p>
        </w:tc>
      </w:tr>
      <w:tr w:rsidR="00E46553" w:rsidRPr="00E46553" w14:paraId="2B22419C" w14:textId="77777777" w:rsidTr="004B175B">
        <w:tc>
          <w:tcPr>
            <w:tcW w:w="4786" w:type="dxa"/>
            <w:tcBorders>
              <w:top w:val="single" w:sz="4" w:space="0" w:color="auto"/>
              <w:left w:val="single" w:sz="4" w:space="0" w:color="auto"/>
              <w:bottom w:val="single" w:sz="4" w:space="0" w:color="auto"/>
              <w:right w:val="single" w:sz="4" w:space="0" w:color="auto"/>
            </w:tcBorders>
            <w:shd w:val="clear" w:color="auto" w:fill="auto"/>
          </w:tcPr>
          <w:p w14:paraId="37FDC868" w14:textId="77777777" w:rsidR="00E46553" w:rsidRPr="00E46553" w:rsidRDefault="00E46553" w:rsidP="00E46553">
            <w:pPr>
              <w:spacing w:line="276" w:lineRule="auto"/>
              <w:ind w:right="153"/>
              <w:contextualSpacing/>
              <w:jc w:val="both"/>
              <w:rPr>
                <w:rFonts w:ascii="Calibri" w:eastAsia="Calibri" w:hAnsi="Calibri" w:cs="Calibri"/>
                <w:sz w:val="20"/>
                <w:szCs w:val="20"/>
              </w:rPr>
            </w:pPr>
            <w:r w:rsidRPr="00E46553">
              <w:rPr>
                <w:rFonts w:ascii="Calibri" w:eastAsia="Calibri" w:hAnsi="Calibri" w:cs="Calibri"/>
                <w:sz w:val="20"/>
                <w:szCs w:val="20"/>
              </w:rPr>
              <w:t xml:space="preserve">5. Ūdensapgādes/kanalizācijas projekta </w:t>
            </w:r>
            <w:proofErr w:type="spellStart"/>
            <w:r w:rsidRPr="00E46553">
              <w:rPr>
                <w:rFonts w:ascii="Calibri" w:eastAsia="Calibri" w:hAnsi="Calibri" w:cs="Calibri"/>
                <w:sz w:val="20"/>
                <w:szCs w:val="20"/>
              </w:rPr>
              <w:t>risinajumi</w:t>
            </w:r>
            <w:proofErr w:type="spellEnd"/>
            <w:r w:rsidRPr="00E46553">
              <w:rPr>
                <w:rFonts w:ascii="Calibri" w:eastAsia="Calibri" w:hAnsi="Calibri" w:cs="Calibri"/>
                <w:sz w:val="20"/>
                <w:szCs w:val="20"/>
              </w:rPr>
              <w:t xml:space="preserve"> būtu saprātīgi izstrādāt ievērojot </w:t>
            </w:r>
            <w:proofErr w:type="spellStart"/>
            <w:r w:rsidRPr="00E46553">
              <w:rPr>
                <w:rFonts w:ascii="Calibri" w:eastAsia="Calibri" w:hAnsi="Calibri" w:cs="Calibri"/>
                <w:sz w:val="20"/>
                <w:szCs w:val="20"/>
              </w:rPr>
              <w:t>ceimata</w:t>
            </w:r>
            <w:proofErr w:type="spellEnd"/>
            <w:r w:rsidRPr="00E46553">
              <w:rPr>
                <w:rFonts w:ascii="Calibri" w:eastAsia="Calibri" w:hAnsi="Calibri" w:cs="Calibri"/>
                <w:sz w:val="20"/>
                <w:szCs w:val="20"/>
              </w:rPr>
              <w:t xml:space="preserve"> “Pūcītes” maģistrālo komunikāciju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FE0065" w14:textId="77777777" w:rsidR="00E46553" w:rsidRPr="00E46553" w:rsidRDefault="00E46553" w:rsidP="00E46553">
            <w:pPr>
              <w:snapToGrid w:val="0"/>
              <w:spacing w:line="276" w:lineRule="auto"/>
              <w:jc w:val="both"/>
              <w:rPr>
                <w:rFonts w:ascii="Calibri" w:eastAsia="Calibri" w:hAnsi="Calibri" w:cs="Calibri"/>
                <w:color w:val="000000"/>
                <w:sz w:val="20"/>
                <w:szCs w:val="20"/>
              </w:rPr>
            </w:pPr>
            <w:r w:rsidRPr="00E46553">
              <w:rPr>
                <w:rFonts w:ascii="Calibri" w:eastAsia="Calibri" w:hAnsi="Calibri" w:cs="Calibri"/>
                <w:color w:val="000000"/>
                <w:sz w:val="20"/>
                <w:szCs w:val="20"/>
              </w:rPr>
              <w:t>Nav ņemts vērā</w:t>
            </w:r>
          </w:p>
        </w:tc>
        <w:tc>
          <w:tcPr>
            <w:tcW w:w="3312" w:type="dxa"/>
            <w:tcBorders>
              <w:top w:val="single" w:sz="4" w:space="0" w:color="auto"/>
              <w:left w:val="single" w:sz="4" w:space="0" w:color="auto"/>
              <w:bottom w:val="single" w:sz="4" w:space="0" w:color="auto"/>
              <w:right w:val="single" w:sz="4" w:space="0" w:color="auto"/>
            </w:tcBorders>
            <w:shd w:val="clear" w:color="auto" w:fill="auto"/>
          </w:tcPr>
          <w:p w14:paraId="3461E887" w14:textId="77777777" w:rsidR="00E46553" w:rsidRPr="00E46553" w:rsidRDefault="00E46553" w:rsidP="00E46553">
            <w:pPr>
              <w:widowControl w:val="0"/>
              <w:suppressAutoHyphens/>
              <w:spacing w:line="276" w:lineRule="auto"/>
              <w:jc w:val="both"/>
              <w:rPr>
                <w:rFonts w:ascii="Calibri" w:eastAsia="Arial" w:hAnsi="Calibri" w:cs="Arial"/>
                <w:sz w:val="20"/>
                <w:szCs w:val="20"/>
              </w:rPr>
            </w:pPr>
            <w:r w:rsidRPr="00E46553">
              <w:rPr>
                <w:rFonts w:ascii="Calibri" w:eastAsia="Arial" w:hAnsi="Calibri" w:cs="Arial"/>
                <w:sz w:val="20"/>
                <w:szCs w:val="20"/>
              </w:rPr>
              <w:t xml:space="preserve">Nav ņemts vērā, jo Detālplānojums nekustamajam īpašumam “Mēnessgaismas” (Pūcītes ielā 8) atrodas </w:t>
            </w:r>
            <w:proofErr w:type="spellStart"/>
            <w:r w:rsidRPr="00E46553">
              <w:rPr>
                <w:rFonts w:ascii="Calibri" w:eastAsia="Arial" w:hAnsi="Calibri" w:cs="Arial"/>
                <w:sz w:val="20"/>
                <w:szCs w:val="20"/>
              </w:rPr>
              <w:t>aizcitiem</w:t>
            </w:r>
            <w:proofErr w:type="spellEnd"/>
            <w:r w:rsidRPr="00E46553">
              <w:rPr>
                <w:rFonts w:ascii="Calibri" w:eastAsia="Arial" w:hAnsi="Calibri" w:cs="Arial"/>
                <w:sz w:val="20"/>
                <w:szCs w:val="20"/>
              </w:rPr>
              <w:t xml:space="preserve"> nekustamajiem īpašumiem.</w:t>
            </w:r>
          </w:p>
        </w:tc>
      </w:tr>
    </w:tbl>
    <w:p w14:paraId="0448C114" w14:textId="4A733351" w:rsidR="003D3BE9" w:rsidRDefault="003D3BE9" w:rsidP="0020155D">
      <w:pPr>
        <w:jc w:val="both"/>
        <w:rPr>
          <w:rFonts w:ascii="Times New Roman" w:hAnsi="Times New Roman" w:cs="Times New Roman"/>
        </w:rPr>
      </w:pPr>
    </w:p>
    <w:p w14:paraId="40847BCC" w14:textId="77777777" w:rsidR="003D3BE9" w:rsidRDefault="003D3BE9">
      <w:pPr>
        <w:rPr>
          <w:rFonts w:ascii="Times New Roman" w:hAnsi="Times New Roman" w:cs="Times New Roman"/>
        </w:rPr>
      </w:pPr>
      <w:r>
        <w:rPr>
          <w:rFonts w:ascii="Times New Roman" w:hAnsi="Times New Roman" w:cs="Times New Roman"/>
        </w:rPr>
        <w:br w:type="page"/>
      </w:r>
    </w:p>
    <w:p w14:paraId="5DC43006" w14:textId="5EC9AA30" w:rsidR="003A061A" w:rsidRDefault="003D3BE9" w:rsidP="003D3BE9">
      <w:pPr>
        <w:jc w:val="right"/>
        <w:rPr>
          <w:rFonts w:ascii="Times New Roman" w:hAnsi="Times New Roman" w:cs="Times New Roman"/>
        </w:rPr>
      </w:pPr>
      <w:r>
        <w:rPr>
          <w:rFonts w:ascii="Times New Roman" w:hAnsi="Times New Roman" w:cs="Times New Roman"/>
        </w:rPr>
        <w:lastRenderedPageBreak/>
        <w:t>Pielikums 2</w:t>
      </w:r>
    </w:p>
    <w:p w14:paraId="71B5F074" w14:textId="338D1EFE" w:rsidR="003D3BE9" w:rsidRDefault="003D3BE9" w:rsidP="003D3BE9">
      <w:pPr>
        <w:jc w:val="right"/>
        <w:rPr>
          <w:rFonts w:ascii="Times New Roman" w:hAnsi="Times New Roman" w:cs="Times New Roman"/>
        </w:rPr>
      </w:pPr>
    </w:p>
    <w:p w14:paraId="00111714" w14:textId="4A545CE9" w:rsidR="003D3BE9" w:rsidRDefault="003D3BE9" w:rsidP="003D3BE9">
      <w:pPr>
        <w:jc w:val="center"/>
        <w:rPr>
          <w:rFonts w:ascii="Times New Roman" w:hAnsi="Times New Roman" w:cs="Times New Roman"/>
        </w:rPr>
      </w:pPr>
      <w:r>
        <w:rPr>
          <w:noProof/>
        </w:rPr>
        <w:drawing>
          <wp:anchor distT="0" distB="0" distL="114300" distR="114300" simplePos="0" relativeHeight="251659264" behindDoc="1" locked="0" layoutInCell="1" allowOverlap="1" wp14:anchorId="1B92FD92" wp14:editId="6FF03883">
            <wp:simplePos x="0" y="0"/>
            <wp:positionH relativeFrom="page">
              <wp:posOffset>472440</wp:posOffset>
            </wp:positionH>
            <wp:positionV relativeFrom="paragraph">
              <wp:posOffset>234950</wp:posOffset>
            </wp:positionV>
            <wp:extent cx="6065520" cy="8582660"/>
            <wp:effectExtent l="0" t="0" r="0" b="8890"/>
            <wp:wrapTight wrapText="bothSides">
              <wp:wrapPolygon edited="0">
                <wp:start x="0" y="0"/>
                <wp:lineTo x="0" y="21574"/>
                <wp:lineTo x="21505" y="21574"/>
                <wp:lineTo x="21505" y="0"/>
                <wp:lineTo x="0" y="0"/>
              </wp:wrapPolygon>
            </wp:wrapTight>
            <wp:docPr id="1977745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45469" name="Picture 19777454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5520" cy="8582660"/>
                    </a:xfrm>
                    <a:prstGeom prst="rect">
                      <a:avLst/>
                    </a:prstGeom>
                  </pic:spPr>
                </pic:pic>
              </a:graphicData>
            </a:graphic>
            <wp14:sizeRelH relativeFrom="margin">
              <wp14:pctWidth>0</wp14:pctWidth>
            </wp14:sizeRelH>
            <wp14:sizeRelV relativeFrom="margin">
              <wp14:pctHeight>0</wp14:pctHeight>
            </wp14:sizeRelV>
          </wp:anchor>
        </w:drawing>
      </w:r>
    </w:p>
    <w:p w14:paraId="196F9B09" w14:textId="5E2ABD80" w:rsidR="003D3BE9" w:rsidRDefault="003D3BE9">
      <w:pPr>
        <w:rPr>
          <w:rFonts w:ascii="Times New Roman" w:hAnsi="Times New Roman" w:cs="Times New Roman"/>
        </w:rPr>
      </w:pPr>
      <w:r>
        <w:rPr>
          <w:rFonts w:ascii="Times New Roman" w:hAnsi="Times New Roman" w:cs="Times New Roman"/>
        </w:rPr>
        <w:lastRenderedPageBreak/>
        <w:br w:type="page"/>
      </w:r>
      <w:r>
        <w:rPr>
          <w:noProof/>
        </w:rPr>
        <w:drawing>
          <wp:anchor distT="0" distB="0" distL="114300" distR="114300" simplePos="0" relativeHeight="251661312" behindDoc="1" locked="0" layoutInCell="1" allowOverlap="1" wp14:anchorId="28B4BFBA" wp14:editId="021EBAC8">
            <wp:simplePos x="0" y="0"/>
            <wp:positionH relativeFrom="column">
              <wp:posOffset>0</wp:posOffset>
            </wp:positionH>
            <wp:positionV relativeFrom="paragraph">
              <wp:posOffset>156845</wp:posOffset>
            </wp:positionV>
            <wp:extent cx="6120130" cy="8660130"/>
            <wp:effectExtent l="0" t="0" r="0" b="7620"/>
            <wp:wrapTight wrapText="bothSides">
              <wp:wrapPolygon edited="0">
                <wp:start x="0" y="0"/>
                <wp:lineTo x="0" y="21571"/>
                <wp:lineTo x="21515" y="21571"/>
                <wp:lineTo x="21515" y="0"/>
                <wp:lineTo x="0" y="0"/>
              </wp:wrapPolygon>
            </wp:wrapTight>
            <wp:docPr id="1093148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48095" name="Picture 10931480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8660130"/>
                    </a:xfrm>
                    <a:prstGeom prst="rect">
                      <a:avLst/>
                    </a:prstGeom>
                  </pic:spPr>
                </pic:pic>
              </a:graphicData>
            </a:graphic>
          </wp:anchor>
        </w:drawing>
      </w:r>
    </w:p>
    <w:p w14:paraId="08F3165D" w14:textId="14458658" w:rsidR="003D3BE9" w:rsidRDefault="003D3BE9" w:rsidP="003D3BE9">
      <w:pPr>
        <w:jc w:val="center"/>
        <w:rPr>
          <w:rFonts w:ascii="Times New Roman" w:hAnsi="Times New Roman" w:cs="Times New Roman"/>
        </w:rPr>
      </w:pPr>
    </w:p>
    <w:p w14:paraId="4FABBD8A" w14:textId="6FA82C7B" w:rsidR="003D3BE9" w:rsidRDefault="003D3BE9">
      <w:pPr>
        <w:rPr>
          <w:rFonts w:ascii="Times New Roman" w:hAnsi="Times New Roman" w:cs="Times New Roman"/>
        </w:rPr>
      </w:pPr>
      <w:r>
        <w:rPr>
          <w:rFonts w:ascii="Times New Roman" w:hAnsi="Times New Roman" w:cs="Times New Roman"/>
        </w:rPr>
        <w:br w:type="page"/>
      </w:r>
      <w:r>
        <w:rPr>
          <w:noProof/>
        </w:rPr>
        <w:drawing>
          <wp:anchor distT="0" distB="0" distL="114300" distR="114300" simplePos="0" relativeHeight="251663360" behindDoc="1" locked="0" layoutInCell="1" allowOverlap="1" wp14:anchorId="21BF674B" wp14:editId="41CD756D">
            <wp:simplePos x="0" y="0"/>
            <wp:positionH relativeFrom="column">
              <wp:posOffset>0</wp:posOffset>
            </wp:positionH>
            <wp:positionV relativeFrom="paragraph">
              <wp:posOffset>188595</wp:posOffset>
            </wp:positionV>
            <wp:extent cx="6120130" cy="8660130"/>
            <wp:effectExtent l="0" t="0" r="0" b="7620"/>
            <wp:wrapTight wrapText="bothSides">
              <wp:wrapPolygon edited="0">
                <wp:start x="0" y="0"/>
                <wp:lineTo x="0" y="21571"/>
                <wp:lineTo x="21515" y="21571"/>
                <wp:lineTo x="21515" y="0"/>
                <wp:lineTo x="0" y="0"/>
              </wp:wrapPolygon>
            </wp:wrapTight>
            <wp:docPr id="11124243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4363" name="Picture 111242436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8660130"/>
                    </a:xfrm>
                    <a:prstGeom prst="rect">
                      <a:avLst/>
                    </a:prstGeom>
                  </pic:spPr>
                </pic:pic>
              </a:graphicData>
            </a:graphic>
          </wp:anchor>
        </w:drawing>
      </w:r>
    </w:p>
    <w:p w14:paraId="4A5AA2AF" w14:textId="76DD259B" w:rsidR="003D3BE9" w:rsidRDefault="003D3BE9" w:rsidP="003D3BE9">
      <w:pPr>
        <w:jc w:val="center"/>
        <w:rPr>
          <w:rFonts w:ascii="Times New Roman" w:hAnsi="Times New Roman" w:cs="Times New Roman"/>
        </w:rPr>
      </w:pPr>
    </w:p>
    <w:p w14:paraId="2285229C" w14:textId="2D1C3700" w:rsidR="003D3BE9" w:rsidRPr="003A061A" w:rsidRDefault="003D3BE9" w:rsidP="003D3BE9">
      <w:pPr>
        <w:rPr>
          <w:rFonts w:ascii="Times New Roman" w:hAnsi="Times New Roman" w:cs="Times New Roman"/>
        </w:rPr>
      </w:pPr>
      <w:r>
        <w:rPr>
          <w:noProof/>
        </w:rPr>
        <w:drawing>
          <wp:anchor distT="0" distB="0" distL="114300" distR="114300" simplePos="0" relativeHeight="251665408" behindDoc="1" locked="0" layoutInCell="1" allowOverlap="1" wp14:anchorId="370932F7" wp14:editId="2AF2DB22">
            <wp:simplePos x="0" y="0"/>
            <wp:positionH relativeFrom="column">
              <wp:posOffset>0</wp:posOffset>
            </wp:positionH>
            <wp:positionV relativeFrom="paragraph">
              <wp:posOffset>188595</wp:posOffset>
            </wp:positionV>
            <wp:extent cx="6120130" cy="8660130"/>
            <wp:effectExtent l="0" t="0" r="0" b="7620"/>
            <wp:wrapTight wrapText="bothSides">
              <wp:wrapPolygon edited="0">
                <wp:start x="0" y="0"/>
                <wp:lineTo x="0" y="21571"/>
                <wp:lineTo x="21515" y="21571"/>
                <wp:lineTo x="21515" y="0"/>
                <wp:lineTo x="0" y="0"/>
              </wp:wrapPolygon>
            </wp:wrapTight>
            <wp:docPr id="18682088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08892" name="Picture 186820889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130" cy="8660130"/>
                    </a:xfrm>
                    <a:prstGeom prst="rect">
                      <a:avLst/>
                    </a:prstGeom>
                  </pic:spPr>
                </pic:pic>
              </a:graphicData>
            </a:graphic>
          </wp:anchor>
        </w:drawing>
      </w:r>
    </w:p>
    <w:sectPr w:rsidR="003D3BE9" w:rsidRPr="003A061A"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858E" w14:textId="77777777" w:rsidR="008B7D4B" w:rsidRDefault="003C3245">
      <w:r>
        <w:separator/>
      </w:r>
    </w:p>
  </w:endnote>
  <w:endnote w:type="continuationSeparator" w:id="0">
    <w:p w14:paraId="3953DD4C" w14:textId="77777777" w:rsidR="008B7D4B" w:rsidRDefault="003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8B030" w14:textId="77777777" w:rsidR="008B7D4B" w:rsidRDefault="003C3245">
      <w:r>
        <w:separator/>
      </w:r>
    </w:p>
  </w:footnote>
  <w:footnote w:type="continuationSeparator" w:id="0">
    <w:p w14:paraId="342B1E5E" w14:textId="77777777" w:rsidR="008B7D4B" w:rsidRDefault="003C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07BA"/>
    <w:rsid w:val="00195A73"/>
    <w:rsid w:val="0020155D"/>
    <w:rsid w:val="0025391B"/>
    <w:rsid w:val="00297558"/>
    <w:rsid w:val="00344E83"/>
    <w:rsid w:val="00351D48"/>
    <w:rsid w:val="00361B60"/>
    <w:rsid w:val="003A061A"/>
    <w:rsid w:val="003C3245"/>
    <w:rsid w:val="003D3BE9"/>
    <w:rsid w:val="004D516C"/>
    <w:rsid w:val="0053073B"/>
    <w:rsid w:val="00543508"/>
    <w:rsid w:val="00564CA6"/>
    <w:rsid w:val="005C7FA1"/>
    <w:rsid w:val="00617AAC"/>
    <w:rsid w:val="00693F05"/>
    <w:rsid w:val="006A4E6A"/>
    <w:rsid w:val="006D3451"/>
    <w:rsid w:val="0074092B"/>
    <w:rsid w:val="007B4DDB"/>
    <w:rsid w:val="00804F2A"/>
    <w:rsid w:val="008257F8"/>
    <w:rsid w:val="008537CB"/>
    <w:rsid w:val="00892DCA"/>
    <w:rsid w:val="008B7D4B"/>
    <w:rsid w:val="009139A1"/>
    <w:rsid w:val="00931140"/>
    <w:rsid w:val="00996740"/>
    <w:rsid w:val="00A431BF"/>
    <w:rsid w:val="00A46C4E"/>
    <w:rsid w:val="00A52B04"/>
    <w:rsid w:val="00A9794E"/>
    <w:rsid w:val="00AD3964"/>
    <w:rsid w:val="00B36CD4"/>
    <w:rsid w:val="00B93FE6"/>
    <w:rsid w:val="00BB16A4"/>
    <w:rsid w:val="00C9477C"/>
    <w:rsid w:val="00CD140C"/>
    <w:rsid w:val="00D86969"/>
    <w:rsid w:val="00E46553"/>
    <w:rsid w:val="00E52DA2"/>
    <w:rsid w:val="00E75D8D"/>
    <w:rsid w:val="00E976B6"/>
    <w:rsid w:val="00F3626E"/>
    <w:rsid w:val="00F54F4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CommentReference">
    <w:name w:val="annotation reference"/>
    <w:basedOn w:val="DefaultParagraphFont"/>
    <w:uiPriority w:val="99"/>
    <w:semiHidden/>
    <w:unhideWhenUsed/>
    <w:rsid w:val="00A431BF"/>
    <w:rPr>
      <w:sz w:val="16"/>
      <w:szCs w:val="16"/>
    </w:rPr>
  </w:style>
  <w:style w:type="paragraph" w:styleId="CommentText">
    <w:name w:val="annotation text"/>
    <w:basedOn w:val="Normal"/>
    <w:link w:val="CommentTextChar"/>
    <w:uiPriority w:val="99"/>
    <w:unhideWhenUsed/>
    <w:rsid w:val="00A431BF"/>
    <w:rPr>
      <w:sz w:val="20"/>
      <w:szCs w:val="20"/>
    </w:rPr>
  </w:style>
  <w:style w:type="character" w:customStyle="1" w:styleId="CommentTextChar">
    <w:name w:val="Comment Text Char"/>
    <w:basedOn w:val="DefaultParagraphFont"/>
    <w:link w:val="CommentText"/>
    <w:uiPriority w:val="99"/>
    <w:rsid w:val="00A431BF"/>
    <w:rPr>
      <w:sz w:val="20"/>
      <w:szCs w:val="20"/>
    </w:rPr>
  </w:style>
  <w:style w:type="paragraph" w:styleId="CommentSubject">
    <w:name w:val="annotation subject"/>
    <w:basedOn w:val="CommentText"/>
    <w:next w:val="CommentText"/>
    <w:link w:val="CommentSubjectChar"/>
    <w:uiPriority w:val="99"/>
    <w:semiHidden/>
    <w:unhideWhenUsed/>
    <w:rsid w:val="00A431BF"/>
    <w:rPr>
      <w:b/>
      <w:bCs/>
    </w:rPr>
  </w:style>
  <w:style w:type="character" w:customStyle="1" w:styleId="CommentSubjectChar">
    <w:name w:val="Comment Subject Char"/>
    <w:basedOn w:val="CommentTextChar"/>
    <w:link w:val="CommentSubject"/>
    <w:uiPriority w:val="99"/>
    <w:semiHidden/>
    <w:rsid w:val="00A431BF"/>
    <w:rPr>
      <w:b/>
      <w:bCs/>
      <w:sz w:val="20"/>
      <w:szCs w:val="20"/>
    </w:rPr>
  </w:style>
  <w:style w:type="character" w:styleId="Hyperlink">
    <w:name w:val="Hyperlink"/>
    <w:basedOn w:val="DefaultParagraphFont"/>
    <w:uiPriority w:val="99"/>
    <w:unhideWhenUsed/>
    <w:rsid w:val="00A431BF"/>
    <w:rPr>
      <w:color w:val="0563C1" w:themeColor="hyperlink"/>
      <w:u w:val="single"/>
    </w:rPr>
  </w:style>
  <w:style w:type="character" w:styleId="UnresolvedMention">
    <w:name w:val="Unresolved Mention"/>
    <w:basedOn w:val="DefaultParagraphFont"/>
    <w:uiPriority w:val="99"/>
    <w:semiHidden/>
    <w:unhideWhenUsed/>
    <w:rsid w:val="00A431BF"/>
    <w:rPr>
      <w:color w:val="605E5C"/>
      <w:shd w:val="clear" w:color="auto" w:fill="E1DFDD"/>
    </w:rPr>
  </w:style>
  <w:style w:type="paragraph" w:styleId="Revision">
    <w:name w:val="Revision"/>
    <w:hidden/>
    <w:uiPriority w:val="99"/>
    <w:semiHidden/>
    <w:rsid w:val="00E9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zunovads.lv/lv/lokalplanojumi-detalplanojumi/pazinojums-par-detalplanojuma-ipasumam-jaunzarini-eimuros-nodosanu-publiskajai-apspriesana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olatvija.lv/geo/tapis" TargetMode="Externa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12936</Words>
  <Characters>7374</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2024-05-31T08:11:00Z</dcterms:created>
  <dcterms:modified xsi:type="dcterms:W3CDTF">2024-05-31T08:11:00Z</dcterms:modified>
</cp:coreProperties>
</file>