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1FB3A2" w14:textId="77777777" w:rsidR="004D516C" w:rsidRDefault="008B6F83" w:rsidP="00564CA6">
      <w:r>
        <w:rPr>
          <w:noProof/>
        </w:rPr>
        <w:drawing>
          <wp:inline distT="0" distB="0" distL="0" distR="0" wp14:anchorId="488AF3CA" wp14:editId="7FB28EE8">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E3AF424" w14:textId="77777777" w:rsidR="005C7FA1" w:rsidRDefault="005C7FA1" w:rsidP="00564CA6"/>
    <w:p w14:paraId="46B4DBF3" w14:textId="77777777" w:rsidR="00564CA6" w:rsidRPr="00564CA6" w:rsidRDefault="008B6F83"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00FA6872">
        <w:rPr>
          <w:rFonts w:ascii="Times New Roman" w:hAnsi="Times New Roman" w:cs="Times New Roman"/>
          <w:noProof/>
        </w:rPr>
        <w:t>07.05.2024.</w:t>
      </w:r>
    </w:p>
    <w:p w14:paraId="2366CF13" w14:textId="77777777" w:rsidR="00564CA6" w:rsidRPr="00564CA6" w:rsidRDefault="00564CA6" w:rsidP="00564CA6">
      <w:pPr>
        <w:jc w:val="right"/>
        <w:rPr>
          <w:rFonts w:ascii="Times New Roman" w:hAnsi="Times New Roman" w:cs="Times New Roman"/>
          <w:noProof/>
          <w:color w:val="FF0000"/>
        </w:rPr>
      </w:pPr>
    </w:p>
    <w:p w14:paraId="3A22BE8E" w14:textId="77777777" w:rsidR="00564CA6" w:rsidRPr="00FA6872" w:rsidRDefault="008B6F83" w:rsidP="00564CA6">
      <w:pPr>
        <w:jc w:val="right"/>
        <w:rPr>
          <w:rFonts w:ascii="Times New Roman" w:hAnsi="Times New Roman" w:cs="Times New Roman"/>
          <w:noProof/>
        </w:rPr>
      </w:pPr>
      <w:r w:rsidRPr="00564CA6">
        <w:rPr>
          <w:rFonts w:ascii="Times New Roman" w:hAnsi="Times New Roman" w:cs="Times New Roman"/>
          <w:noProof/>
        </w:rPr>
        <w:t xml:space="preserve">vēlamais datums izskatīšanai: </w:t>
      </w:r>
      <w:r w:rsidR="00FA6872">
        <w:rPr>
          <w:rFonts w:ascii="Times New Roman" w:hAnsi="Times New Roman" w:cs="Times New Roman"/>
          <w:noProof/>
        </w:rPr>
        <w:t>Finanšu komitejā</w:t>
      </w:r>
      <w:r w:rsidRPr="00564CA6">
        <w:rPr>
          <w:rFonts w:ascii="Times New Roman" w:hAnsi="Times New Roman" w:cs="Times New Roman"/>
          <w:noProof/>
          <w:color w:val="FF0000"/>
        </w:rPr>
        <w:t xml:space="preserve"> </w:t>
      </w:r>
      <w:r w:rsidR="00FA6872" w:rsidRPr="00FA6872">
        <w:rPr>
          <w:rFonts w:ascii="Times New Roman" w:hAnsi="Times New Roman" w:cs="Times New Roman"/>
          <w:noProof/>
        </w:rPr>
        <w:t>22.05.2024.</w:t>
      </w:r>
    </w:p>
    <w:p w14:paraId="61F51F55" w14:textId="77777777" w:rsidR="00564CA6" w:rsidRPr="00FA6872" w:rsidRDefault="008B6F83" w:rsidP="00564CA6">
      <w:pPr>
        <w:jc w:val="right"/>
        <w:rPr>
          <w:rFonts w:ascii="Times New Roman" w:hAnsi="Times New Roman" w:cs="Times New Roman"/>
          <w:noProof/>
        </w:rPr>
      </w:pPr>
      <w:r w:rsidRPr="00FA6872">
        <w:rPr>
          <w:rFonts w:ascii="Times New Roman" w:hAnsi="Times New Roman" w:cs="Times New Roman"/>
          <w:noProof/>
        </w:rPr>
        <w:t xml:space="preserve">domē: </w:t>
      </w:r>
      <w:r w:rsidR="00FA6872">
        <w:rPr>
          <w:rFonts w:ascii="Times New Roman" w:hAnsi="Times New Roman" w:cs="Times New Roman"/>
          <w:noProof/>
        </w:rPr>
        <w:t>30</w:t>
      </w:r>
      <w:r w:rsidRPr="00FA6872">
        <w:rPr>
          <w:rFonts w:ascii="Times New Roman" w:hAnsi="Times New Roman" w:cs="Times New Roman"/>
          <w:noProof/>
        </w:rPr>
        <w:t>.0</w:t>
      </w:r>
      <w:r w:rsidR="00FA6872">
        <w:rPr>
          <w:rFonts w:ascii="Times New Roman" w:hAnsi="Times New Roman" w:cs="Times New Roman"/>
          <w:noProof/>
        </w:rPr>
        <w:t>5</w:t>
      </w:r>
      <w:r w:rsidRPr="00FA6872">
        <w:rPr>
          <w:rFonts w:ascii="Times New Roman" w:hAnsi="Times New Roman" w:cs="Times New Roman"/>
          <w:noProof/>
        </w:rPr>
        <w:t>.</w:t>
      </w:r>
      <w:r w:rsidR="00FA6872">
        <w:rPr>
          <w:rFonts w:ascii="Times New Roman" w:hAnsi="Times New Roman" w:cs="Times New Roman"/>
          <w:noProof/>
        </w:rPr>
        <w:t>2024</w:t>
      </w:r>
      <w:r w:rsidRPr="00FA6872">
        <w:rPr>
          <w:rFonts w:ascii="Times New Roman" w:hAnsi="Times New Roman" w:cs="Times New Roman"/>
          <w:noProof/>
        </w:rPr>
        <w:t>.</w:t>
      </w:r>
    </w:p>
    <w:p w14:paraId="13BFE03D" w14:textId="77777777" w:rsidR="00564CA6" w:rsidRPr="00FA6872" w:rsidRDefault="008B6F83" w:rsidP="00564CA6">
      <w:pPr>
        <w:jc w:val="right"/>
        <w:rPr>
          <w:rFonts w:ascii="Times New Roman" w:hAnsi="Times New Roman" w:cs="Times New Roman"/>
          <w:noProof/>
        </w:rPr>
      </w:pPr>
      <w:r w:rsidRPr="00FA6872">
        <w:rPr>
          <w:rFonts w:ascii="Times New Roman" w:hAnsi="Times New Roman" w:cs="Times New Roman"/>
          <w:noProof/>
        </w:rPr>
        <w:t xml:space="preserve">sagatavotājs: </w:t>
      </w:r>
      <w:r w:rsidR="00FA6872">
        <w:rPr>
          <w:rFonts w:ascii="Times New Roman" w:hAnsi="Times New Roman" w:cs="Times New Roman"/>
          <w:noProof/>
        </w:rPr>
        <w:t>Ilona Gotharde</w:t>
      </w:r>
    </w:p>
    <w:p w14:paraId="430A4E44" w14:textId="77777777" w:rsidR="00564CA6" w:rsidRPr="00564CA6" w:rsidRDefault="008B6F83" w:rsidP="00564CA6">
      <w:pPr>
        <w:jc w:val="right"/>
        <w:rPr>
          <w:rFonts w:ascii="Times New Roman" w:hAnsi="Times New Roman" w:cs="Times New Roman"/>
          <w:noProof/>
          <w:color w:val="FF0000"/>
        </w:rPr>
      </w:pPr>
      <w:r w:rsidRPr="00FA6872">
        <w:rPr>
          <w:rFonts w:ascii="Times New Roman" w:hAnsi="Times New Roman" w:cs="Times New Roman"/>
          <w:noProof/>
        </w:rPr>
        <w:t xml:space="preserve">ziņotājs: </w:t>
      </w:r>
      <w:r w:rsidR="00FA6872">
        <w:rPr>
          <w:rFonts w:ascii="Times New Roman" w:hAnsi="Times New Roman" w:cs="Times New Roman"/>
          <w:noProof/>
        </w:rPr>
        <w:t>Ilona Gotharde</w:t>
      </w:r>
    </w:p>
    <w:p w14:paraId="7D6952D4" w14:textId="77777777" w:rsidR="00564CA6" w:rsidRPr="00564CA6" w:rsidRDefault="00564CA6" w:rsidP="00564CA6">
      <w:pPr>
        <w:jc w:val="right"/>
        <w:rPr>
          <w:rFonts w:ascii="Times New Roman" w:hAnsi="Times New Roman" w:cs="Times New Roman"/>
          <w:noProof/>
        </w:rPr>
      </w:pPr>
    </w:p>
    <w:p w14:paraId="4C9B7DD6" w14:textId="77777777" w:rsidR="00564CA6" w:rsidRPr="00564CA6" w:rsidRDefault="008B6F83"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04374719" w14:textId="77777777" w:rsidR="00564CA6" w:rsidRPr="00564CA6" w:rsidRDefault="008B6F83"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57AF4114" w14:textId="77777777" w:rsidR="00564CA6" w:rsidRPr="00564CA6" w:rsidRDefault="008B6F83"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7960828A" w14:textId="77777777" w:rsidR="00564CA6" w:rsidRPr="00564CA6" w:rsidRDefault="00592CFE" w:rsidP="00564CA6">
      <w:pPr>
        <w:rPr>
          <w:rFonts w:ascii="Times New Roman" w:hAnsi="Times New Roman" w:cs="Times New Roman"/>
        </w:rPr>
      </w:pPr>
      <w:r w:rsidRPr="00592CFE">
        <w:rPr>
          <w:rFonts w:ascii="Times New Roman" w:hAnsi="Times New Roman" w:cs="Times New Roman"/>
        </w:rPr>
        <w:t>2024</w:t>
      </w:r>
      <w:r w:rsidR="008B6F83" w:rsidRPr="00564CA6">
        <w:rPr>
          <w:rFonts w:ascii="Times New Roman" w:hAnsi="Times New Roman" w:cs="Times New Roman"/>
        </w:rPr>
        <w:t xml:space="preserve">.gada </w:t>
      </w:r>
      <w:r>
        <w:rPr>
          <w:rFonts w:ascii="Times New Roman" w:hAnsi="Times New Roman" w:cs="Times New Roman"/>
        </w:rPr>
        <w:t>30.maijā</w:t>
      </w:r>
      <w:r w:rsidR="008B6F83" w:rsidRPr="00564CA6">
        <w:rPr>
          <w:rFonts w:ascii="Times New Roman" w:hAnsi="Times New Roman" w:cs="Times New Roman"/>
        </w:rPr>
        <w:t xml:space="preserve"> </w:t>
      </w:r>
      <w:r w:rsidR="008B6F83" w:rsidRPr="00564CA6">
        <w:rPr>
          <w:rFonts w:ascii="Times New Roman" w:hAnsi="Times New Roman" w:cs="Times New Roman"/>
        </w:rPr>
        <w:tab/>
      </w:r>
      <w:r w:rsidR="008B6F83" w:rsidRPr="00564CA6">
        <w:rPr>
          <w:rFonts w:ascii="Times New Roman" w:hAnsi="Times New Roman" w:cs="Times New Roman"/>
        </w:rPr>
        <w:tab/>
      </w:r>
      <w:r w:rsidR="008B6F83" w:rsidRPr="00564CA6">
        <w:rPr>
          <w:rFonts w:ascii="Times New Roman" w:hAnsi="Times New Roman" w:cs="Times New Roman"/>
        </w:rPr>
        <w:tab/>
      </w:r>
      <w:r w:rsidR="008B6F83" w:rsidRPr="00564CA6">
        <w:rPr>
          <w:rFonts w:ascii="Times New Roman" w:hAnsi="Times New Roman" w:cs="Times New Roman"/>
        </w:rPr>
        <w:tab/>
      </w:r>
      <w:r w:rsidR="008B6F83" w:rsidRPr="00564CA6">
        <w:rPr>
          <w:rFonts w:ascii="Times New Roman" w:hAnsi="Times New Roman" w:cs="Times New Roman"/>
        </w:rPr>
        <w:tab/>
      </w:r>
      <w:r w:rsidR="008B6F83" w:rsidRPr="00564CA6">
        <w:rPr>
          <w:rFonts w:ascii="Times New Roman" w:hAnsi="Times New Roman" w:cs="Times New Roman"/>
        </w:rPr>
        <w:tab/>
      </w:r>
      <w:proofErr w:type="spellStart"/>
      <w:r w:rsidR="008B6F83" w:rsidRPr="00564CA6">
        <w:rPr>
          <w:rFonts w:ascii="Times New Roman" w:hAnsi="Times New Roman" w:cs="Times New Roman"/>
          <w:b/>
        </w:rPr>
        <w:t>Nr</w:t>
      </w:r>
      <w:proofErr w:type="spellEnd"/>
      <w:r w:rsidR="008B6F83" w:rsidRPr="00564CA6">
        <w:rPr>
          <w:rFonts w:ascii="Times New Roman" w:hAnsi="Times New Roman" w:cs="Times New Roman"/>
          <w:b/>
        </w:rPr>
        <w:t>.</w:t>
      </w:r>
      <w:r w:rsidR="008B6F83" w:rsidRPr="00564CA6">
        <w:rPr>
          <w:rFonts w:ascii="Times New Roman" w:hAnsi="Times New Roman" w:cs="Times New Roman"/>
          <w:noProof/>
        </w:rPr>
        <w:fldChar w:fldCharType="begin"/>
      </w:r>
      <w:r w:rsidR="008B6F83" w:rsidRPr="00564CA6">
        <w:rPr>
          <w:rFonts w:ascii="Times New Roman" w:hAnsi="Times New Roman" w:cs="Times New Roman"/>
          <w:noProof/>
        </w:rPr>
        <w:instrText>MERGEFIELD DOKREGNUMURS</w:instrText>
      </w:r>
      <w:r w:rsidR="008B6F83" w:rsidRPr="00564CA6">
        <w:rPr>
          <w:rFonts w:ascii="Times New Roman" w:hAnsi="Times New Roman" w:cs="Times New Roman"/>
          <w:noProof/>
        </w:rPr>
        <w:fldChar w:fldCharType="separate"/>
      </w:r>
      <w:r w:rsidR="008B6F83" w:rsidRPr="00564CA6">
        <w:rPr>
          <w:rFonts w:ascii="Times New Roman" w:hAnsi="Times New Roman" w:cs="Times New Roman"/>
          <w:noProof/>
        </w:rPr>
        <w:t>«DOKREGNUMURS»</w:t>
      </w:r>
      <w:r w:rsidR="008B6F83" w:rsidRPr="00564CA6">
        <w:rPr>
          <w:rFonts w:ascii="Times New Roman" w:hAnsi="Times New Roman" w:cs="Times New Roman"/>
          <w:noProof/>
        </w:rPr>
        <w:fldChar w:fldCharType="end"/>
      </w:r>
      <w:r w:rsidR="008B6F83" w:rsidRPr="00564CA6">
        <w:rPr>
          <w:rFonts w:ascii="Times New Roman" w:hAnsi="Times New Roman" w:cs="Times New Roman"/>
        </w:rPr>
        <w:tab/>
      </w:r>
    </w:p>
    <w:p w14:paraId="067CE604" w14:textId="77777777" w:rsidR="00564CA6" w:rsidRPr="00564CA6" w:rsidRDefault="00564CA6" w:rsidP="00564CA6">
      <w:pPr>
        <w:rPr>
          <w:rFonts w:ascii="Times New Roman" w:hAnsi="Times New Roman" w:cs="Times New Roman"/>
          <w:b/>
        </w:rPr>
      </w:pPr>
    </w:p>
    <w:p w14:paraId="0090E0ED" w14:textId="77777777" w:rsidR="00564CA6" w:rsidRPr="00564CA6" w:rsidRDefault="00564CA6" w:rsidP="00564CA6">
      <w:pPr>
        <w:rPr>
          <w:rFonts w:ascii="Times New Roman" w:hAnsi="Times New Roman" w:cs="Times New Roman"/>
        </w:rPr>
      </w:pPr>
    </w:p>
    <w:p w14:paraId="5111A3C9" w14:textId="77777777" w:rsidR="00592CFE" w:rsidRDefault="00592CFE" w:rsidP="00592CFE">
      <w:pPr>
        <w:pStyle w:val="ListParagraph"/>
        <w:ind w:left="0" w:right="-1"/>
        <w:contextualSpacing w:val="0"/>
        <w:jc w:val="center"/>
        <w:rPr>
          <w:b/>
          <w:bCs/>
          <w:color w:val="000000"/>
          <w:sz w:val="24"/>
          <w:szCs w:val="24"/>
          <w:lang w:val="lv-LV"/>
        </w:rPr>
      </w:pPr>
      <w:r w:rsidRPr="00694099">
        <w:rPr>
          <w:b/>
          <w:bCs/>
          <w:color w:val="000000"/>
          <w:sz w:val="24"/>
          <w:szCs w:val="24"/>
          <w:lang w:val="lv-LV"/>
        </w:rPr>
        <w:t>Par atļauju savienot amatu</w:t>
      </w:r>
      <w:r>
        <w:rPr>
          <w:b/>
          <w:bCs/>
          <w:color w:val="000000"/>
          <w:sz w:val="24"/>
          <w:szCs w:val="24"/>
          <w:lang w:val="lv-LV"/>
        </w:rPr>
        <w:t xml:space="preserve"> </w:t>
      </w:r>
      <w:proofErr w:type="spellStart"/>
      <w:r>
        <w:rPr>
          <w:b/>
          <w:bCs/>
          <w:color w:val="000000"/>
          <w:sz w:val="24"/>
          <w:szCs w:val="24"/>
          <w:lang w:val="lv-LV"/>
        </w:rPr>
        <w:t>A</w:t>
      </w:r>
      <w:r w:rsidRPr="00694099">
        <w:rPr>
          <w:b/>
          <w:bCs/>
          <w:color w:val="000000"/>
          <w:sz w:val="24"/>
          <w:szCs w:val="24"/>
          <w:lang w:val="lv-LV"/>
        </w:rPr>
        <w:t>.</w:t>
      </w:r>
      <w:r>
        <w:rPr>
          <w:b/>
          <w:bCs/>
          <w:color w:val="000000"/>
          <w:sz w:val="24"/>
          <w:szCs w:val="24"/>
          <w:lang w:val="lv-LV"/>
        </w:rPr>
        <w:t>Grīnvaldam</w:t>
      </w:r>
      <w:proofErr w:type="spellEnd"/>
      <w:r w:rsidRPr="00694099">
        <w:rPr>
          <w:b/>
          <w:bCs/>
          <w:color w:val="000000"/>
          <w:sz w:val="24"/>
          <w:szCs w:val="24"/>
          <w:lang w:val="lv-LV"/>
        </w:rPr>
        <w:t xml:space="preserve"> </w:t>
      </w:r>
    </w:p>
    <w:p w14:paraId="2CC53EFF" w14:textId="77777777" w:rsidR="00564CA6" w:rsidRPr="00564CA6" w:rsidRDefault="00564CA6" w:rsidP="00564CA6">
      <w:pPr>
        <w:rPr>
          <w:rFonts w:ascii="Times New Roman" w:hAnsi="Times New Roman" w:cs="Times New Roman"/>
          <w:b/>
          <w:i/>
          <w:color w:val="FF0000"/>
        </w:rPr>
      </w:pPr>
    </w:p>
    <w:p w14:paraId="260E8DF0" w14:textId="77777777" w:rsidR="00592CFE" w:rsidRPr="00592CFE" w:rsidRDefault="00592CFE" w:rsidP="00592CFE">
      <w:pPr>
        <w:spacing w:before="120" w:after="120"/>
        <w:ind w:right="-1"/>
        <w:jc w:val="both"/>
        <w:rPr>
          <w:rFonts w:ascii="Times New Roman" w:eastAsia="Times New Roman" w:hAnsi="Times New Roman" w:cs="Times New Roman"/>
          <w:color w:val="000000"/>
          <w:lang w:eastAsia="lv-LV"/>
        </w:rPr>
      </w:pPr>
      <w:r w:rsidRPr="00592CFE">
        <w:rPr>
          <w:rFonts w:ascii="Times New Roman" w:eastAsia="Times New Roman" w:hAnsi="Times New Roman" w:cs="Times New Roman"/>
          <w:color w:val="000000"/>
          <w:lang w:eastAsia="lv-LV"/>
        </w:rPr>
        <w:t>Ādažu novada pašvaldības dome izskatīja pašvaldības Centrālās pārvaldes Juridiskās un iepirkumu nodaļas (turpmāk – JIN) jurista Agra Grīnvalda 2024. gada 2. maija iesniegumu (</w:t>
      </w:r>
      <w:proofErr w:type="spellStart"/>
      <w:r w:rsidRPr="00592CFE">
        <w:rPr>
          <w:rFonts w:ascii="Times New Roman" w:eastAsia="Times New Roman" w:hAnsi="Times New Roman" w:cs="Times New Roman"/>
          <w:color w:val="000000"/>
          <w:lang w:eastAsia="lv-LV"/>
        </w:rPr>
        <w:t>reģ</w:t>
      </w:r>
      <w:proofErr w:type="spellEnd"/>
      <w:r w:rsidRPr="00592CFE">
        <w:rPr>
          <w:rFonts w:ascii="Times New Roman" w:eastAsia="Times New Roman" w:hAnsi="Times New Roman" w:cs="Times New Roman"/>
          <w:color w:val="000000"/>
          <w:lang w:eastAsia="lv-LV"/>
        </w:rPr>
        <w:t>. Nr. </w:t>
      </w:r>
      <w:r w:rsidRPr="00592CFE">
        <w:rPr>
          <w:rFonts w:ascii="Times New Roman" w:eastAsia="Times New Roman" w:hAnsi="Times New Roman" w:cs="Times New Roman"/>
          <w:color w:val="000000"/>
          <w:kern w:val="36"/>
          <w:lang w:eastAsia="lv-LV"/>
        </w:rPr>
        <w:t xml:space="preserve">ĀNP/1-21-2/24/50 </w:t>
      </w:r>
      <w:r w:rsidRPr="00592CFE">
        <w:rPr>
          <w:rFonts w:ascii="Times New Roman" w:eastAsia="Times New Roman" w:hAnsi="Times New Roman" w:cs="Times New Roman"/>
          <w:color w:val="000000"/>
          <w:lang w:eastAsia="lv-LV"/>
        </w:rPr>
        <w:t xml:space="preserve">(turpmāk – iesniegums)), ar lūgumu atļaut savienot </w:t>
      </w:r>
      <w:r w:rsidRPr="00592CFE">
        <w:rPr>
          <w:rFonts w:ascii="Times New Roman" w:eastAsia="Arial Unicode MS" w:hAnsi="Times New Roman" w:cs="Times New Roman"/>
          <w:color w:val="000000"/>
          <w:lang w:eastAsia="lv-LV"/>
        </w:rPr>
        <w:t xml:space="preserve">Pašvaldības mantas iznomāšanas un atsavināšanas komisijas locekļa amatu un Ētikas komisijas priekšsēdētāja vietnieka amatu ar </w:t>
      </w:r>
      <w:r w:rsidRPr="00592CFE">
        <w:rPr>
          <w:rFonts w:ascii="Times New Roman" w:eastAsia="Times New Roman" w:hAnsi="Times New Roman" w:cs="Times New Roman"/>
          <w:color w:val="000000"/>
          <w:lang w:eastAsia="lv-LV"/>
        </w:rPr>
        <w:t xml:space="preserve">2024. gada Eiropas parlamenta </w:t>
      </w:r>
      <w:r w:rsidRPr="00592CFE">
        <w:rPr>
          <w:rFonts w:ascii="Times New Roman" w:eastAsia="Arial Unicode MS" w:hAnsi="Times New Roman" w:cs="Times New Roman"/>
          <w:color w:val="000000"/>
          <w:lang w:eastAsia="lv-LV"/>
        </w:rPr>
        <w:t>vēlēšanu iecirkņa Nr. 779  komisijas priekšsēdētāja amatu,</w:t>
      </w:r>
      <w:r w:rsidRPr="00592CFE">
        <w:rPr>
          <w:rFonts w:ascii="Times New Roman" w:eastAsia="Times New Roman" w:hAnsi="Times New Roman" w:cs="Times New Roman"/>
          <w:color w:val="000000"/>
          <w:lang w:eastAsia="lv-LV"/>
        </w:rPr>
        <w:t xml:space="preserve"> un konstatēja:</w:t>
      </w:r>
    </w:p>
    <w:p w14:paraId="1767E6BD" w14:textId="77777777" w:rsidR="00592CFE" w:rsidRPr="00592CFE" w:rsidRDefault="00592CFE" w:rsidP="00592CFE">
      <w:pPr>
        <w:numPr>
          <w:ilvl w:val="0"/>
          <w:numId w:val="3"/>
        </w:numPr>
        <w:spacing w:before="120"/>
        <w:ind w:right="-1"/>
        <w:jc w:val="both"/>
        <w:rPr>
          <w:rFonts w:ascii="Times New Roman" w:eastAsia="Times New Roman" w:hAnsi="Times New Roman" w:cs="Times New Roman"/>
          <w:color w:val="000000"/>
          <w:lang w:eastAsia="lv-LV"/>
        </w:rPr>
      </w:pPr>
      <w:r w:rsidRPr="00592CFE">
        <w:rPr>
          <w:rFonts w:ascii="Times New Roman" w:eastAsia="Times New Roman" w:hAnsi="Times New Roman" w:cs="Times New Roman"/>
          <w:color w:val="000000"/>
          <w:lang w:eastAsia="lv-LV"/>
        </w:rPr>
        <w:t xml:space="preserve">Ar domes 2022. gada 10. maija lēmumu Nr. 222 “Par Pašvaldības mantas iznomāšanas un atsavināšanas komisijas sastāva apstiprināšanu” </w:t>
      </w:r>
      <w:proofErr w:type="spellStart"/>
      <w:r w:rsidRPr="00592CFE">
        <w:rPr>
          <w:rFonts w:ascii="Times New Roman" w:eastAsia="Times New Roman" w:hAnsi="Times New Roman" w:cs="Times New Roman"/>
          <w:color w:val="000000"/>
          <w:lang w:eastAsia="lv-LV"/>
        </w:rPr>
        <w:t>A.Grīnvalds</w:t>
      </w:r>
      <w:proofErr w:type="spellEnd"/>
      <w:r w:rsidRPr="00592CFE">
        <w:rPr>
          <w:rFonts w:ascii="Times New Roman" w:eastAsia="Times New Roman" w:hAnsi="Times New Roman" w:cs="Times New Roman"/>
          <w:color w:val="000000"/>
          <w:lang w:eastAsia="lv-LV"/>
        </w:rPr>
        <w:t xml:space="preserve"> ievēlēts par Pašvaldības mantas iznomāšanas un atsavināšanas komisijas locekli.</w:t>
      </w:r>
    </w:p>
    <w:p w14:paraId="080B9D22" w14:textId="77777777" w:rsidR="00592CFE" w:rsidRPr="00592CFE" w:rsidRDefault="00592CFE" w:rsidP="00592CFE">
      <w:pPr>
        <w:numPr>
          <w:ilvl w:val="0"/>
          <w:numId w:val="3"/>
        </w:numPr>
        <w:spacing w:before="120" w:after="120"/>
        <w:ind w:right="-1"/>
        <w:jc w:val="both"/>
        <w:rPr>
          <w:rFonts w:ascii="Times New Roman" w:eastAsia="Times New Roman" w:hAnsi="Times New Roman" w:cs="Times New Roman"/>
          <w:lang w:eastAsia="lv-LV"/>
        </w:rPr>
      </w:pPr>
      <w:bookmarkStart w:id="0" w:name="_Hlk64012881"/>
      <w:r w:rsidRPr="00592CFE">
        <w:rPr>
          <w:rFonts w:ascii="Times New Roman" w:eastAsia="Times New Roman" w:hAnsi="Times New Roman" w:cs="Times New Roman"/>
          <w:color w:val="000000"/>
          <w:lang w:eastAsia="lv-LV"/>
        </w:rPr>
        <w:t>Ar</w:t>
      </w:r>
      <w:r w:rsidRPr="00592CFE">
        <w:rPr>
          <w:rFonts w:ascii="Times New Roman" w:eastAsia="Times New Roman" w:hAnsi="Times New Roman" w:cs="Times New Roman"/>
          <w:lang w:eastAsia="lv-LV"/>
        </w:rPr>
        <w:t xml:space="preserve"> domes </w:t>
      </w:r>
      <w:bookmarkStart w:id="1" w:name="_Hlk159922923"/>
      <w:r w:rsidRPr="00592CFE">
        <w:rPr>
          <w:rFonts w:ascii="Times New Roman" w:eastAsia="Times New Roman" w:hAnsi="Times New Roman" w:cs="Times New Roman"/>
          <w:lang w:eastAsia="lv-LV"/>
        </w:rPr>
        <w:t>2022. gada 25. aprīļa lēmumu Nr. 171 “Par Ētikas komisijas izveidošanu”</w:t>
      </w:r>
      <w:bookmarkEnd w:id="1"/>
      <w:r w:rsidRPr="00592CFE">
        <w:rPr>
          <w:rFonts w:ascii="Times New Roman" w:eastAsia="Times New Roman" w:hAnsi="Times New Roman" w:cs="Times New Roman"/>
          <w:lang w:eastAsia="lv-LV"/>
        </w:rPr>
        <w:t xml:space="preserve"> </w:t>
      </w:r>
      <w:proofErr w:type="spellStart"/>
      <w:r w:rsidRPr="00592CFE">
        <w:rPr>
          <w:rFonts w:ascii="Times New Roman" w:eastAsia="Times New Roman" w:hAnsi="Times New Roman" w:cs="Times New Roman"/>
          <w:lang w:eastAsia="lv-LV"/>
        </w:rPr>
        <w:t>A.Grīnvalds</w:t>
      </w:r>
      <w:proofErr w:type="spellEnd"/>
      <w:r w:rsidRPr="00592CFE">
        <w:rPr>
          <w:rFonts w:ascii="Times New Roman" w:eastAsia="Times New Roman" w:hAnsi="Times New Roman" w:cs="Times New Roman"/>
          <w:lang w:eastAsia="lv-LV"/>
        </w:rPr>
        <w:t xml:space="preserve"> ievēlēts Ētikas komisijas sastāvā. Ar Ētikas komisijas 2022. gada 14. jūnija lēmumu Nr. ĀNP/1-7-10-1/22/1 </w:t>
      </w:r>
      <w:proofErr w:type="spellStart"/>
      <w:r w:rsidRPr="00592CFE">
        <w:rPr>
          <w:rFonts w:ascii="Times New Roman" w:eastAsia="Times New Roman" w:hAnsi="Times New Roman" w:cs="Times New Roman"/>
          <w:lang w:eastAsia="lv-LV"/>
        </w:rPr>
        <w:t>A.Grīnvalds</w:t>
      </w:r>
      <w:proofErr w:type="spellEnd"/>
      <w:r w:rsidRPr="00592CFE">
        <w:rPr>
          <w:rFonts w:ascii="Times New Roman" w:eastAsia="Times New Roman" w:hAnsi="Times New Roman" w:cs="Times New Roman"/>
          <w:lang w:eastAsia="lv-LV"/>
        </w:rPr>
        <w:t xml:space="preserve"> iecelts Ētikas komisijas priekšsēdētāja vietnieka amatā.</w:t>
      </w:r>
    </w:p>
    <w:bookmarkEnd w:id="0"/>
    <w:p w14:paraId="4097C4DE" w14:textId="77777777" w:rsidR="00592CFE" w:rsidRPr="00592CFE" w:rsidRDefault="00592CFE" w:rsidP="00592CFE">
      <w:pPr>
        <w:numPr>
          <w:ilvl w:val="0"/>
          <w:numId w:val="3"/>
        </w:numPr>
        <w:spacing w:before="120"/>
        <w:ind w:right="-1"/>
        <w:jc w:val="both"/>
        <w:rPr>
          <w:rFonts w:ascii="Times New Roman" w:eastAsia="Calibri" w:hAnsi="Times New Roman" w:cs="Times New Roman"/>
          <w:noProof/>
          <w:color w:val="000000"/>
        </w:rPr>
      </w:pPr>
      <w:r w:rsidRPr="00592CFE">
        <w:rPr>
          <w:rFonts w:ascii="Times New Roman" w:eastAsia="Calibri" w:hAnsi="Times New Roman" w:cs="Times New Roman"/>
          <w:noProof/>
          <w:color w:val="000000"/>
        </w:rPr>
        <w:t>Pašvaldības mantas iznomāšanas un atsavināšanas komisijas locekļa amats ir valsts amatpersonas amats Likuma 4. panta otrās daļas izpratnē, t.i., par valsts amatpersonām uzskatāmas arī personas, kurām, pildot amata pienākumus publiskas personas institūcijās, saskaņā ar normatīvajiem aktiem ir tiesības izdot administratīvos aktus, veikt uzraudzības, kontroles, izmeklēšanas vai sodīšanas funkcijas attiecībā uz personām, kas neatrodas to tiešā vai netiešā pakļautībā, kā arī pieņemt vai sagatavot lēmumus par publiskas personas mantas iegūšanu, tās nodošanu citu personu īpašumā, lietošanā vai valdījumā, atsavināšanu citām personām vai apgrūtināšanu ar lietu vai saistību tiesībām, kā arī finanšu līdzekļu sadalīšanu.</w:t>
      </w:r>
    </w:p>
    <w:p w14:paraId="1968563D" w14:textId="77777777" w:rsidR="00592CFE" w:rsidRPr="00592CFE" w:rsidRDefault="00592CFE" w:rsidP="00592CFE">
      <w:pPr>
        <w:numPr>
          <w:ilvl w:val="0"/>
          <w:numId w:val="3"/>
        </w:numPr>
        <w:spacing w:before="120"/>
        <w:ind w:right="-1"/>
        <w:jc w:val="both"/>
        <w:rPr>
          <w:rFonts w:ascii="Times New Roman" w:eastAsia="Calibri" w:hAnsi="Times New Roman" w:cs="Times New Roman"/>
          <w:color w:val="000000"/>
        </w:rPr>
      </w:pPr>
      <w:r w:rsidRPr="00592CFE">
        <w:rPr>
          <w:rFonts w:ascii="Times New Roman" w:eastAsia="Calibri" w:hAnsi="Times New Roman" w:cs="Times New Roman"/>
          <w:color w:val="000000"/>
        </w:rPr>
        <w:t>Saskaņā ar likuma “Par interešu konflikta novēršanu valsts amatpersonu darbībā” (turpmāk – Likums) 1. panta pirmo punktu termins „amats” nozīmē arī darbu vai dienestu noteiktu pilnvaru ietvaros valsts vai pašvaldības iestādē, sabiedriskajā, politiskajā vai reliģiskajā organizācijā, kā arī komercsabiedrībā.</w:t>
      </w:r>
    </w:p>
    <w:p w14:paraId="52C1109D" w14:textId="77777777" w:rsidR="00592CFE" w:rsidRPr="00592CFE" w:rsidRDefault="00592CFE" w:rsidP="00592CFE">
      <w:pPr>
        <w:numPr>
          <w:ilvl w:val="0"/>
          <w:numId w:val="3"/>
        </w:numPr>
        <w:spacing w:before="120"/>
        <w:ind w:right="-1"/>
        <w:jc w:val="both"/>
        <w:rPr>
          <w:rFonts w:ascii="Times New Roman" w:eastAsia="Calibri" w:hAnsi="Times New Roman" w:cs="Times New Roman"/>
          <w:i/>
          <w:iCs/>
          <w:color w:val="000000"/>
        </w:rPr>
      </w:pPr>
      <w:r w:rsidRPr="00592CFE">
        <w:rPr>
          <w:rFonts w:ascii="Times New Roman" w:eastAsia="Calibri" w:hAnsi="Times New Roman" w:cs="Times New Roman"/>
          <w:color w:val="000000"/>
        </w:rPr>
        <w:lastRenderedPageBreak/>
        <w:t xml:space="preserve">Saskaņā ar Likuma 6. panta pirmo daļu, valsts amatpersonai ir atļauts savienot valsts amatpersonas amatu ar citu amatu, ja ārējos normatīvajos aktos nav paredzēti valsts amatpersonas amata savienošanas ierobežojumi, savukārt minētā panta otrā daļa noteic, ja Likumā nav noteikti stingrāki ierobežojumi, valsts amatpersonai, ievērojot šā likuma </w:t>
      </w:r>
      <w:hyperlink r:id="rId8" w:anchor="p7" w:history="1">
        <w:r w:rsidRPr="00592CFE">
          <w:rPr>
            <w:rFonts w:ascii="Times New Roman" w:eastAsia="Calibri" w:hAnsi="Times New Roman" w:cs="Times New Roman"/>
            <w:color w:val="000000"/>
          </w:rPr>
          <w:t>7.</w:t>
        </w:r>
      </w:hyperlink>
      <w:r w:rsidRPr="00592CFE">
        <w:rPr>
          <w:rFonts w:ascii="Times New Roman" w:eastAsia="Calibri" w:hAnsi="Times New Roman" w:cs="Times New Roman"/>
          <w:color w:val="000000"/>
        </w:rPr>
        <w:t> panta 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 Šajā daļā minētā amatu savienošana pieļaujama, ja tā nerada interešu konfliktu, nav pretrunā ar valsts amatpersonai saistošām ētikas normām un nekaitē valsts amatpersonas tiešo pienākumu pildīšanai.</w:t>
      </w:r>
    </w:p>
    <w:p w14:paraId="53A7488D" w14:textId="77777777" w:rsidR="00592CFE" w:rsidRPr="00592CFE" w:rsidRDefault="00592CFE" w:rsidP="00592CFE">
      <w:pPr>
        <w:numPr>
          <w:ilvl w:val="0"/>
          <w:numId w:val="3"/>
        </w:numPr>
        <w:spacing w:before="120"/>
        <w:ind w:right="-1"/>
        <w:jc w:val="both"/>
        <w:rPr>
          <w:rFonts w:ascii="Times New Roman" w:eastAsia="Calibri" w:hAnsi="Times New Roman" w:cs="Times New Roman"/>
          <w:i/>
          <w:iCs/>
          <w:color w:val="000000"/>
        </w:rPr>
      </w:pPr>
      <w:r w:rsidRPr="00592CFE">
        <w:rPr>
          <w:rFonts w:ascii="Times New Roman" w:eastAsia="Calibri" w:hAnsi="Times New Roman" w:cs="Times New Roman"/>
          <w:noProof/>
          <w:color w:val="000000"/>
        </w:rPr>
        <w:t>Likuma 7. panta sestajā daļā noteikts, ka 4. panta otrajā daļā minētā amatpersona, kurai šajā pantā vai citā likumā nav noteikti īpaši amata savienošanas nosacījumi, papildus šā likuma 6. panta ceturtajā daļā noteiktajam var savienot valsts amatpersonas amatu tikai ar amatu arodbiedrībā, kā arī citu amatu, uzņēmuma līguma, pilnvarojuma izpildi vai saimniecisko darbību individuālā komersanta statusā vai reģistrējoties Valsts ieņēmumu dienestā kā saimnieciskās darbības veicējam saskaņā ar likumu "Par iedzīvotāju ienākuma nodokli", ja šī savienošana nerada interešu konfliktu un ir saņemta attiecīgās publiskas personas iestādes vadītāja vai viņa pilnvarotas personas rakstveida atļauja.</w:t>
      </w:r>
    </w:p>
    <w:p w14:paraId="53972A2E" w14:textId="77777777" w:rsidR="00592CFE" w:rsidRPr="00592CFE" w:rsidRDefault="00592CFE" w:rsidP="00592CFE">
      <w:pPr>
        <w:numPr>
          <w:ilvl w:val="0"/>
          <w:numId w:val="3"/>
        </w:numPr>
        <w:spacing w:before="120"/>
        <w:ind w:right="-1"/>
        <w:jc w:val="both"/>
        <w:rPr>
          <w:rFonts w:ascii="Times New Roman" w:eastAsia="Calibri" w:hAnsi="Times New Roman" w:cs="Times New Roman"/>
          <w:color w:val="000000"/>
        </w:rPr>
      </w:pPr>
      <w:r w:rsidRPr="00592CFE">
        <w:rPr>
          <w:rFonts w:ascii="Times New Roman" w:eastAsia="Calibri" w:hAnsi="Times New Roman" w:cs="Times New Roman"/>
          <w:noProof/>
          <w:color w:val="000000"/>
        </w:rPr>
        <w:t>Dome ir iecēlusi A.Grīnvaldu Pašvaldības mantas iznomāšanas un atsavināšanas komisijas un Ētikas komisijas locekļa amatā, līdz</w:t>
      </w:r>
      <w:r w:rsidRPr="00592CFE">
        <w:rPr>
          <w:rFonts w:ascii="Times New Roman" w:eastAsia="Calibri" w:hAnsi="Times New Roman" w:cs="Times New Roman"/>
          <w:color w:val="000000"/>
        </w:rPr>
        <w:t xml:space="preserve"> ar to atzīstams, ka dome ir institūcija, kas ir kompetenta sniegt atļauju </w:t>
      </w:r>
      <w:proofErr w:type="spellStart"/>
      <w:r w:rsidRPr="00592CFE">
        <w:rPr>
          <w:rFonts w:ascii="Times New Roman" w:eastAsia="Calibri" w:hAnsi="Times New Roman" w:cs="Times New Roman"/>
          <w:color w:val="000000"/>
        </w:rPr>
        <w:t>A.Grīnvaldam</w:t>
      </w:r>
      <w:proofErr w:type="spellEnd"/>
      <w:r w:rsidRPr="00592CFE">
        <w:rPr>
          <w:rFonts w:ascii="Times New Roman" w:eastAsia="Calibri" w:hAnsi="Times New Roman" w:cs="Times New Roman"/>
          <w:color w:val="000000"/>
        </w:rPr>
        <w:t xml:space="preserve"> savienot amatus. </w:t>
      </w:r>
    </w:p>
    <w:p w14:paraId="693A0232" w14:textId="77777777" w:rsidR="00592CFE" w:rsidRPr="00592CFE" w:rsidRDefault="00592CFE" w:rsidP="00592CFE">
      <w:pPr>
        <w:numPr>
          <w:ilvl w:val="0"/>
          <w:numId w:val="3"/>
        </w:numPr>
        <w:spacing w:before="120"/>
        <w:ind w:right="-1"/>
        <w:jc w:val="both"/>
        <w:rPr>
          <w:rFonts w:ascii="Times New Roman" w:eastAsia="Calibri" w:hAnsi="Times New Roman" w:cs="Times New Roman"/>
          <w:color w:val="000000"/>
        </w:rPr>
      </w:pPr>
      <w:r w:rsidRPr="00592CFE">
        <w:rPr>
          <w:rFonts w:ascii="Times New Roman" w:eastAsia="Calibri" w:hAnsi="Times New Roman" w:cs="Times New Roman"/>
          <w:color w:val="000000"/>
        </w:rPr>
        <w:t>Saskaņā ar Likuma 8.</w:t>
      </w:r>
      <w:r w:rsidRPr="00592CFE">
        <w:rPr>
          <w:rFonts w:ascii="Times New Roman" w:eastAsia="Calibri" w:hAnsi="Times New Roman" w:cs="Times New Roman"/>
          <w:color w:val="000000"/>
          <w:vertAlign w:val="superscript"/>
        </w:rPr>
        <w:t>1 </w:t>
      </w:r>
      <w:r w:rsidRPr="00592CFE">
        <w:rPr>
          <w:rFonts w:ascii="Times New Roman" w:eastAsia="Calibri" w:hAnsi="Times New Roman" w:cs="Times New Roman"/>
          <w:color w:val="000000"/>
        </w:rPr>
        <w:t xml:space="preserve">panta piekto daļu valsts amatpersonai (institūcijai), saņemot lūgumu atļaut valsts amatpersonas amatu savienot ar citu amatu, ir pienākums izvērtēt, vai amatu savienošana neradīs interešu konfliktu, nebūs pretrunā ar valsts amatpersonai saistošām ētikas normām un nekaitēs valsts amatpersonas tiešo pienākumu pildīšanai. </w:t>
      </w:r>
      <w:r w:rsidRPr="00592CFE">
        <w:rPr>
          <w:rFonts w:ascii="Times New Roman" w:eastAsia="Calibri" w:hAnsi="Times New Roman" w:cs="Times New Roman"/>
          <w:noProof/>
          <w:color w:val="000000"/>
        </w:rPr>
        <w:t>Likuma 1. panta 5. punktā noteikts, ka interešu konflikts ir situācija, kurā valsts amatpersonai, pildot valsts amatpersonas pienākumus, jāpieņem lēmums vai jāpiedalās lēmuma pieņemšanā, vai jāveic citas ar valsts amatpersonas statusu saistītas darbības, kas ietekmē vai var ietekmēt šīs valsts amatpersonas, tās radinieku vai darījumu partneru personiskās vai mantiskās intereses.</w:t>
      </w:r>
    </w:p>
    <w:p w14:paraId="7173300C" w14:textId="77777777" w:rsidR="00592CFE" w:rsidRPr="00592CFE" w:rsidRDefault="00592CFE" w:rsidP="00592CFE">
      <w:pPr>
        <w:numPr>
          <w:ilvl w:val="0"/>
          <w:numId w:val="3"/>
        </w:numPr>
        <w:spacing w:before="120"/>
        <w:ind w:right="-1"/>
        <w:jc w:val="both"/>
        <w:rPr>
          <w:rFonts w:ascii="Times New Roman" w:eastAsia="Calibri" w:hAnsi="Times New Roman" w:cs="Times New Roman"/>
          <w:color w:val="000000"/>
        </w:rPr>
      </w:pPr>
      <w:r w:rsidRPr="00592CFE">
        <w:rPr>
          <w:rFonts w:ascii="Times New Roman" w:eastAsia="Calibri" w:hAnsi="Times New Roman" w:cs="Times New Roman"/>
          <w:noProof/>
          <w:color w:val="000000"/>
        </w:rPr>
        <w:t xml:space="preserve">Izvērtējot A.Grīnvalda kā Pašvaldības mantas iznomāšanas un atsavināšanas komisijas locekļa un Ētikas komisijas priekšsēdētāja vietnieka amata pienākumus un kompetenci kopsakarā ar </w:t>
      </w:r>
      <w:r w:rsidRPr="00592CFE">
        <w:rPr>
          <w:rFonts w:ascii="Times New Roman" w:eastAsia="Calibri" w:hAnsi="Times New Roman" w:cs="Times New Roman"/>
          <w:color w:val="000000"/>
        </w:rPr>
        <w:t>Eiropas Parlamenta vēlēšanu likumā un 29.02.2024. instrukcijā Nr. 1 “</w:t>
      </w:r>
      <w:r w:rsidRPr="00592CFE">
        <w:rPr>
          <w:rFonts w:ascii="Times New Roman" w:eastAsia="Calibri" w:hAnsi="Times New Roman" w:cs="Times New Roman"/>
          <w:color w:val="000000"/>
          <w:shd w:val="clear" w:color="auto" w:fill="FFFFFF"/>
        </w:rPr>
        <w:t xml:space="preserve">Eiropas Parlamenta vēlēšanu iecirkņa komisijas darbības instrukcija” </w:t>
      </w:r>
      <w:r w:rsidRPr="00592CFE">
        <w:rPr>
          <w:rFonts w:ascii="Times New Roman" w:eastAsia="Calibri" w:hAnsi="Times New Roman" w:cs="Times New Roman"/>
          <w:noProof/>
          <w:color w:val="000000"/>
        </w:rPr>
        <w:t xml:space="preserve">noteiktās vēlēšanu iecirkņa komisijas funkcijas un kompetenci, secināms, ka šo amatu savienošana ar </w:t>
      </w:r>
      <w:r w:rsidRPr="00592CFE">
        <w:rPr>
          <w:rFonts w:ascii="Times New Roman" w:eastAsia="Calibri" w:hAnsi="Times New Roman" w:cs="Times New Roman"/>
          <w:color w:val="000000"/>
        </w:rPr>
        <w:t>vēlēšanu iecirkņa Nr. 779 komisijas priekšsēdētāja amatu</w:t>
      </w:r>
      <w:r w:rsidRPr="00592CFE">
        <w:rPr>
          <w:rFonts w:ascii="Times New Roman" w:eastAsia="Calibri" w:hAnsi="Times New Roman" w:cs="Times New Roman"/>
          <w:noProof/>
          <w:color w:val="000000"/>
        </w:rPr>
        <w:t xml:space="preserve"> </w:t>
      </w:r>
      <w:r w:rsidRPr="00592CFE">
        <w:rPr>
          <w:rFonts w:ascii="Times New Roman" w:eastAsia="Calibri" w:hAnsi="Times New Roman" w:cs="Times New Roman"/>
          <w:color w:val="000000"/>
        </w:rPr>
        <w:t>2024. gada Eiropas parlamenta vēlēšanu</w:t>
      </w:r>
      <w:r w:rsidRPr="00592CFE">
        <w:rPr>
          <w:rFonts w:ascii="Times New Roman" w:eastAsia="Calibri" w:hAnsi="Times New Roman" w:cs="Times New Roman"/>
          <w:noProof/>
          <w:color w:val="000000"/>
        </w:rPr>
        <w:t xml:space="preserve"> laikā pati par sevi interešu konfliktu nerada, kā arī nav pretrunā ar valsts amatpersonai saistošām ētikas normām un nekaitēs valsts amatpersonas tiešo pienākumu pildīšanai. Arīdzan </w:t>
      </w:r>
      <w:r w:rsidRPr="00592CFE">
        <w:rPr>
          <w:rFonts w:ascii="Times New Roman" w:eastAsia="Calibri" w:hAnsi="Times New Roman" w:cs="Times New Roman"/>
          <w:color w:val="000000"/>
        </w:rPr>
        <w:t xml:space="preserve">iesniegumā </w:t>
      </w:r>
      <w:proofErr w:type="spellStart"/>
      <w:r w:rsidRPr="00592CFE">
        <w:rPr>
          <w:rFonts w:ascii="Times New Roman" w:eastAsia="Calibri" w:hAnsi="Times New Roman" w:cs="Times New Roman"/>
          <w:color w:val="000000"/>
        </w:rPr>
        <w:t>A.Grīnvalds</w:t>
      </w:r>
      <w:proofErr w:type="spellEnd"/>
      <w:r w:rsidRPr="00592CFE">
        <w:rPr>
          <w:rFonts w:ascii="Times New Roman" w:eastAsia="Calibri" w:hAnsi="Times New Roman" w:cs="Times New Roman"/>
          <w:color w:val="000000"/>
        </w:rPr>
        <w:t xml:space="preserve"> apliecina, ka norādīto amatu savienošana neradīs interešu konfliktu, nebūs pretrunā ar amatpersonai saistošām ētikas normām un nekaitēs tiešo amata pienākumu pildīšanai. </w:t>
      </w:r>
    </w:p>
    <w:p w14:paraId="6B072E2C" w14:textId="77777777" w:rsidR="00592CFE" w:rsidRPr="00592CFE" w:rsidRDefault="00592CFE" w:rsidP="00592CFE">
      <w:pPr>
        <w:spacing w:before="120"/>
        <w:ind w:right="-1"/>
        <w:jc w:val="both"/>
        <w:rPr>
          <w:rFonts w:ascii="Times New Roman" w:eastAsia="Calibri" w:hAnsi="Times New Roman" w:cs="Times New Roman"/>
          <w:color w:val="000000"/>
        </w:rPr>
      </w:pPr>
      <w:r w:rsidRPr="00592CFE">
        <w:rPr>
          <w:rFonts w:ascii="Times New Roman" w:eastAsia="Calibri" w:hAnsi="Times New Roman" w:cs="Times New Roman"/>
          <w:color w:val="000000"/>
        </w:rPr>
        <w:t>Tādējādi secināms, ka nepastāv tiesiski šķēršļi amatu savienošanai. Turklāt a</w:t>
      </w:r>
      <w:r w:rsidRPr="00592CFE">
        <w:rPr>
          <w:rFonts w:ascii="Times New Roman" w:eastAsia="Calibri" w:hAnsi="Times New Roman" w:cs="Times New Roman"/>
          <w:noProof/>
          <w:color w:val="000000"/>
        </w:rPr>
        <w:t xml:space="preserve">tbilstoši Likuma regulējumam, valsts amatpersona pati ir atbildīga par interešu konflikta nepieļaušanu. Tāpēc, neraugoties uz kompetentās institūcijas doto atļauju savienot amatus, A.Grīnvaldam ir pienākums jebkurā brīdī izvērtēt interešu konflikta iespējamību, ja, pildot pašvaldības komisiju locekļa amatus </w:t>
      </w:r>
      <w:r w:rsidRPr="00592CFE">
        <w:rPr>
          <w:rFonts w:ascii="Times New Roman" w:eastAsia="Calibri" w:hAnsi="Times New Roman" w:cs="Times New Roman"/>
          <w:color w:val="000000"/>
        </w:rPr>
        <w:t>2024. gada Eiropas Parlamenta vēlēšanu</w:t>
      </w:r>
      <w:r w:rsidRPr="00592CFE">
        <w:rPr>
          <w:rFonts w:ascii="Times New Roman" w:eastAsia="Calibri" w:hAnsi="Times New Roman" w:cs="Times New Roman"/>
          <w:noProof/>
          <w:color w:val="000000"/>
        </w:rPr>
        <w:t xml:space="preserve"> laikā pastāv iespēja, ka viņš var nonākt interešu konflikta situācijā.</w:t>
      </w:r>
    </w:p>
    <w:p w14:paraId="0D834AE5" w14:textId="77777777" w:rsidR="00592CFE" w:rsidRPr="00592CFE" w:rsidRDefault="00592CFE" w:rsidP="00592CFE">
      <w:pPr>
        <w:spacing w:before="120"/>
        <w:ind w:right="-1"/>
        <w:jc w:val="both"/>
        <w:outlineLvl w:val="0"/>
        <w:rPr>
          <w:rFonts w:ascii="Times New Roman" w:eastAsia="Calibri" w:hAnsi="Times New Roman" w:cs="Times New Roman"/>
          <w:color w:val="000000"/>
        </w:rPr>
      </w:pPr>
      <w:r w:rsidRPr="00592CFE">
        <w:rPr>
          <w:rFonts w:ascii="Times New Roman" w:eastAsia="Calibri" w:hAnsi="Times New Roman" w:cs="Times New Roman"/>
          <w:color w:val="000000"/>
        </w:rPr>
        <w:t xml:space="preserve">Pamatojoties uz likuma “Par interešu konflikta novēršanu valsts amatpersonu darbībā” 4. panta otro daļu, 6. panta pirmo un otro daļu, </w:t>
      </w:r>
      <w:r w:rsidRPr="00592CFE">
        <w:rPr>
          <w:rFonts w:ascii="Times New Roman" w:eastAsia="Calibri" w:hAnsi="Times New Roman" w:cs="Times New Roman"/>
          <w:noProof/>
          <w:color w:val="000000"/>
        </w:rPr>
        <w:t xml:space="preserve">7. panta sesto daļu, </w:t>
      </w:r>
      <w:r w:rsidRPr="00592CFE">
        <w:rPr>
          <w:rFonts w:ascii="Times New Roman" w:eastAsia="Calibri" w:hAnsi="Times New Roman" w:cs="Times New Roman"/>
          <w:color w:val="000000"/>
        </w:rPr>
        <w:t>8.</w:t>
      </w:r>
      <w:r w:rsidRPr="00592CFE">
        <w:rPr>
          <w:rFonts w:ascii="Times New Roman" w:eastAsia="Calibri" w:hAnsi="Times New Roman" w:cs="Times New Roman"/>
          <w:color w:val="000000"/>
          <w:vertAlign w:val="superscript"/>
        </w:rPr>
        <w:t>1</w:t>
      </w:r>
      <w:r w:rsidRPr="00592CFE">
        <w:rPr>
          <w:rFonts w:ascii="Times New Roman" w:eastAsia="Calibri" w:hAnsi="Times New Roman" w:cs="Times New Roman"/>
          <w:color w:val="000000"/>
        </w:rPr>
        <w:t xml:space="preserve"> panta piekto un septīto daļu, Pašvaldību likuma 10. panta pirmās daļas 21. punktu, kā arī Finanšu komitejas 2024. gada 22. maija atzinumu, Ādažu novada pašvaldības dome </w:t>
      </w:r>
    </w:p>
    <w:p w14:paraId="00DCDEE1" w14:textId="77777777" w:rsidR="00564CA6" w:rsidRPr="00564CA6" w:rsidRDefault="008B6F83" w:rsidP="00BB16A4">
      <w:pPr>
        <w:spacing w:after="120"/>
        <w:jc w:val="center"/>
        <w:rPr>
          <w:rFonts w:ascii="Times New Roman" w:hAnsi="Times New Roman" w:cs="Times New Roman"/>
          <w:b/>
        </w:rPr>
      </w:pPr>
      <w:r w:rsidRPr="00564CA6">
        <w:rPr>
          <w:rFonts w:ascii="Times New Roman" w:hAnsi="Times New Roman" w:cs="Times New Roman"/>
          <w:b/>
        </w:rPr>
        <w:lastRenderedPageBreak/>
        <w:t>NOLEMJ:</w:t>
      </w:r>
    </w:p>
    <w:p w14:paraId="345F0D3E" w14:textId="77777777" w:rsidR="00592CFE" w:rsidRPr="00592CFE" w:rsidRDefault="00592CFE" w:rsidP="00592CFE">
      <w:pPr>
        <w:spacing w:before="120"/>
        <w:jc w:val="both"/>
        <w:rPr>
          <w:rFonts w:ascii="Times New Roman" w:eastAsia="Calibri" w:hAnsi="Times New Roman" w:cs="Times New Roman"/>
          <w:color w:val="000000"/>
        </w:rPr>
      </w:pPr>
      <w:r w:rsidRPr="00592CFE">
        <w:rPr>
          <w:rFonts w:ascii="Times New Roman" w:eastAsia="Calibri" w:hAnsi="Times New Roman" w:cs="Times New Roman"/>
          <w:color w:val="000000"/>
        </w:rPr>
        <w:t>Atļaut Agrim GRĪNVALDAM</w:t>
      </w:r>
      <w:r w:rsidRPr="00592CFE">
        <w:rPr>
          <w:rFonts w:ascii="Times New Roman" w:eastAsia="Calibri" w:hAnsi="Times New Roman" w:cs="Times New Roman"/>
        </w:rPr>
        <w:t xml:space="preserve"> </w:t>
      </w:r>
      <w:r w:rsidRPr="00592CFE">
        <w:rPr>
          <w:rFonts w:ascii="Times New Roman" w:eastAsia="Calibri" w:hAnsi="Times New Roman" w:cs="Times New Roman"/>
          <w:color w:val="000000"/>
        </w:rPr>
        <w:t xml:space="preserve">savienot </w:t>
      </w:r>
      <w:r w:rsidRPr="00592CFE">
        <w:rPr>
          <w:rFonts w:ascii="Times New Roman" w:eastAsia="Calibri" w:hAnsi="Times New Roman" w:cs="Times New Roman"/>
          <w:noProof/>
          <w:color w:val="000000"/>
        </w:rPr>
        <w:t>Pašvaldības mantas iznomāšanas un atsavināšanas komisijas locekļa un pašvaldības Ētikas komisijas priekšsēdētāja vietnieka</w:t>
      </w:r>
      <w:r w:rsidRPr="00592CFE">
        <w:rPr>
          <w:rFonts w:ascii="Times New Roman" w:eastAsia="Calibri" w:hAnsi="Times New Roman" w:cs="Times New Roman"/>
          <w:color w:val="000000"/>
        </w:rPr>
        <w:t xml:space="preserve"> amatus ar 2024. gada Eiropas Parlamenta vēlēšanu iecirkņa Nr. 779 komisijas priekšsēdētāja amatu.</w:t>
      </w:r>
    </w:p>
    <w:p w14:paraId="3D8BE382"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3AA3CB5B" w14:textId="77777777" w:rsidR="00564CA6" w:rsidRDefault="00564CA6" w:rsidP="00BB16A4">
      <w:pPr>
        <w:jc w:val="both"/>
        <w:rPr>
          <w:rFonts w:ascii="Times New Roman" w:hAnsi="Times New Roman" w:cs="Times New Roman"/>
        </w:rPr>
      </w:pPr>
    </w:p>
    <w:p w14:paraId="38BD2B0A" w14:textId="77777777" w:rsidR="00BB16A4" w:rsidRPr="00564CA6" w:rsidRDefault="00BB16A4" w:rsidP="00BB16A4">
      <w:pPr>
        <w:jc w:val="both"/>
        <w:rPr>
          <w:rFonts w:ascii="Times New Roman" w:hAnsi="Times New Roman" w:cs="Times New Roman"/>
        </w:rPr>
      </w:pPr>
    </w:p>
    <w:p w14:paraId="4C28F553" w14:textId="77777777" w:rsidR="00564CA6" w:rsidRDefault="008B6F83"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5A58510F" w14:textId="77777777" w:rsidR="00147221" w:rsidRDefault="00147221" w:rsidP="00BB16A4">
      <w:pPr>
        <w:jc w:val="both"/>
        <w:rPr>
          <w:rFonts w:ascii="Times New Roman" w:hAnsi="Times New Roman" w:cs="Times New Roman"/>
          <w:noProof/>
        </w:rPr>
      </w:pPr>
    </w:p>
    <w:p w14:paraId="092A9979" w14:textId="77777777" w:rsidR="00147221" w:rsidRPr="00147221" w:rsidRDefault="008B6F83"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24E7573" w14:textId="77777777" w:rsidR="00564CA6" w:rsidRPr="00564CA6" w:rsidRDefault="008B6F83" w:rsidP="00564CA6">
      <w:pPr>
        <w:jc w:val="both"/>
        <w:rPr>
          <w:rFonts w:ascii="Times New Roman" w:hAnsi="Times New Roman" w:cs="Times New Roman"/>
        </w:rPr>
      </w:pPr>
      <w:r w:rsidRPr="00564CA6">
        <w:rPr>
          <w:rFonts w:ascii="Times New Roman" w:hAnsi="Times New Roman" w:cs="Times New Roman"/>
        </w:rPr>
        <w:t>__________________________</w:t>
      </w:r>
    </w:p>
    <w:p w14:paraId="56FC82FC" w14:textId="77777777" w:rsidR="00564CA6" w:rsidRPr="00564CA6" w:rsidRDefault="008B6F83"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3039DEF4" w14:textId="77777777" w:rsidR="00592CFE" w:rsidRPr="008B6F83" w:rsidRDefault="00592CFE" w:rsidP="00564CA6">
      <w:pPr>
        <w:jc w:val="both"/>
        <w:rPr>
          <w:rFonts w:ascii="Times New Roman" w:hAnsi="Times New Roman" w:cs="Times New Roman"/>
        </w:rPr>
      </w:pPr>
      <w:proofErr w:type="spellStart"/>
      <w:r w:rsidRPr="008B6F83">
        <w:rPr>
          <w:rFonts w:ascii="Times New Roman" w:hAnsi="Times New Roman" w:cs="Times New Roman"/>
        </w:rPr>
        <w:t>A.Grīnvalds</w:t>
      </w:r>
      <w:proofErr w:type="spellEnd"/>
      <w:r w:rsidRPr="008B6F83">
        <w:rPr>
          <w:rFonts w:ascii="Times New Roman" w:hAnsi="Times New Roman" w:cs="Times New Roman"/>
        </w:rPr>
        <w:t>, PN - @</w:t>
      </w:r>
    </w:p>
    <w:p w14:paraId="372B1593" w14:textId="77777777" w:rsidR="00564CA6" w:rsidRPr="008B6F83" w:rsidRDefault="00564CA6" w:rsidP="00564CA6">
      <w:pPr>
        <w:jc w:val="both"/>
        <w:rPr>
          <w:rFonts w:ascii="Times New Roman" w:hAnsi="Times New Roman" w:cs="Times New Roman"/>
        </w:rPr>
      </w:pPr>
    </w:p>
    <w:p w14:paraId="0AE78791" w14:textId="77777777" w:rsidR="00564CA6" w:rsidRPr="008B6F83" w:rsidRDefault="008B6F83" w:rsidP="00564CA6">
      <w:pPr>
        <w:jc w:val="both"/>
        <w:rPr>
          <w:rFonts w:ascii="Times New Roman" w:eastAsia="Times New Roman" w:hAnsi="Times New Roman" w:cs="Times New Roman"/>
          <w:b/>
          <w:bCs/>
          <w:lang w:eastAsia="lv-LV"/>
        </w:rPr>
      </w:pPr>
      <w:proofErr w:type="spellStart"/>
      <w:r>
        <w:rPr>
          <w:rFonts w:ascii="Times New Roman" w:hAnsi="Times New Roman" w:cs="Times New Roman"/>
          <w:sz w:val="20"/>
          <w:szCs w:val="20"/>
        </w:rPr>
        <w:t>I</w:t>
      </w:r>
      <w:r w:rsidRPr="008B6F83">
        <w:rPr>
          <w:rFonts w:ascii="Times New Roman" w:hAnsi="Times New Roman" w:cs="Times New Roman"/>
          <w:sz w:val="20"/>
          <w:szCs w:val="20"/>
        </w:rPr>
        <w:t>.</w:t>
      </w:r>
      <w:r>
        <w:rPr>
          <w:rFonts w:ascii="Times New Roman" w:hAnsi="Times New Roman" w:cs="Times New Roman"/>
          <w:sz w:val="20"/>
          <w:szCs w:val="20"/>
        </w:rPr>
        <w:t>Gotharde</w:t>
      </w:r>
      <w:proofErr w:type="spellEnd"/>
      <w:r w:rsidRPr="008B6F83">
        <w:rPr>
          <w:rFonts w:ascii="Times New Roman" w:hAnsi="Times New Roman" w:cs="Times New Roman"/>
          <w:sz w:val="20"/>
          <w:szCs w:val="20"/>
        </w:rPr>
        <w:t xml:space="preserve">, </w:t>
      </w:r>
      <w:r>
        <w:rPr>
          <w:rFonts w:ascii="Times New Roman" w:hAnsi="Times New Roman" w:cs="Times New Roman"/>
          <w:sz w:val="20"/>
          <w:szCs w:val="20"/>
        </w:rPr>
        <w:t>22032341</w:t>
      </w:r>
    </w:p>
    <w:p w14:paraId="6F486D03" w14:textId="77777777" w:rsidR="00564CA6" w:rsidRPr="008B6F83" w:rsidRDefault="00564CA6" w:rsidP="00564CA6">
      <w:pPr>
        <w:rPr>
          <w:rFonts w:ascii="Times New Roman" w:hAnsi="Times New Roman" w:cs="Times New Roman"/>
        </w:rPr>
      </w:pPr>
    </w:p>
    <w:sectPr w:rsidR="00564CA6" w:rsidRPr="008B6F83"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D4E25D" w14:textId="77777777" w:rsidR="00580856" w:rsidRDefault="00580856">
      <w:r>
        <w:separator/>
      </w:r>
    </w:p>
  </w:endnote>
  <w:endnote w:type="continuationSeparator" w:id="0">
    <w:p w14:paraId="0DB599D2" w14:textId="77777777" w:rsidR="00580856" w:rsidRDefault="00580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9818514"/>
      <w:docPartObj>
        <w:docPartGallery w:val="Page Numbers (Bottom of Page)"/>
        <w:docPartUnique/>
      </w:docPartObj>
    </w:sdtPr>
    <w:sdtEndPr>
      <w:rPr>
        <w:rFonts w:ascii="Times New Roman" w:hAnsi="Times New Roman" w:cs="Times New Roman"/>
        <w:noProof/>
      </w:rPr>
    </w:sdtEndPr>
    <w:sdtContent>
      <w:p w14:paraId="0DA5787D" w14:textId="77777777" w:rsidR="005C7FA1" w:rsidRPr="005C7FA1" w:rsidRDefault="008B6F83">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200C01DE"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B2E54C" w14:textId="77777777" w:rsidR="005C7FA1" w:rsidRPr="005C7FA1" w:rsidRDefault="005C7FA1">
    <w:pPr>
      <w:pStyle w:val="Footer"/>
      <w:jc w:val="right"/>
      <w:rPr>
        <w:rFonts w:ascii="Times New Roman" w:hAnsi="Times New Roman" w:cs="Times New Roman"/>
      </w:rPr>
    </w:pPr>
  </w:p>
  <w:p w14:paraId="3C13866D"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310FF8" w14:textId="77777777" w:rsidR="00580856" w:rsidRDefault="00580856">
      <w:r>
        <w:separator/>
      </w:r>
    </w:p>
  </w:footnote>
  <w:footnote w:type="continuationSeparator" w:id="0">
    <w:p w14:paraId="58A6EFA1" w14:textId="77777777" w:rsidR="00580856" w:rsidRDefault="005808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9DC71"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AD56F"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752F3"/>
    <w:multiLevelType w:val="hybridMultilevel"/>
    <w:tmpl w:val="63841CA0"/>
    <w:lvl w:ilvl="0" w:tplc="38100D66">
      <w:start w:val="1"/>
      <w:numFmt w:val="decimal"/>
      <w:lvlText w:val="%1."/>
      <w:lvlJc w:val="left"/>
      <w:pPr>
        <w:ind w:left="720" w:hanging="360"/>
      </w:pPr>
      <w:rPr>
        <w:rFonts w:hint="default"/>
      </w:rPr>
    </w:lvl>
    <w:lvl w:ilvl="1" w:tplc="6F9AED1E" w:tentative="1">
      <w:start w:val="1"/>
      <w:numFmt w:val="lowerLetter"/>
      <w:lvlText w:val="%2."/>
      <w:lvlJc w:val="left"/>
      <w:pPr>
        <w:ind w:left="1440" w:hanging="360"/>
      </w:pPr>
    </w:lvl>
    <w:lvl w:ilvl="2" w:tplc="3B26A7F4" w:tentative="1">
      <w:start w:val="1"/>
      <w:numFmt w:val="lowerRoman"/>
      <w:lvlText w:val="%3."/>
      <w:lvlJc w:val="right"/>
      <w:pPr>
        <w:ind w:left="2160" w:hanging="180"/>
      </w:pPr>
    </w:lvl>
    <w:lvl w:ilvl="3" w:tplc="A45273C0" w:tentative="1">
      <w:start w:val="1"/>
      <w:numFmt w:val="decimal"/>
      <w:lvlText w:val="%4."/>
      <w:lvlJc w:val="left"/>
      <w:pPr>
        <w:ind w:left="2880" w:hanging="360"/>
      </w:pPr>
    </w:lvl>
    <w:lvl w:ilvl="4" w:tplc="21CE3964" w:tentative="1">
      <w:start w:val="1"/>
      <w:numFmt w:val="lowerLetter"/>
      <w:lvlText w:val="%5."/>
      <w:lvlJc w:val="left"/>
      <w:pPr>
        <w:ind w:left="3600" w:hanging="360"/>
      </w:pPr>
    </w:lvl>
    <w:lvl w:ilvl="5" w:tplc="15B420B2" w:tentative="1">
      <w:start w:val="1"/>
      <w:numFmt w:val="lowerRoman"/>
      <w:lvlText w:val="%6."/>
      <w:lvlJc w:val="right"/>
      <w:pPr>
        <w:ind w:left="4320" w:hanging="180"/>
      </w:pPr>
    </w:lvl>
    <w:lvl w:ilvl="6" w:tplc="D82C9C48" w:tentative="1">
      <w:start w:val="1"/>
      <w:numFmt w:val="decimal"/>
      <w:lvlText w:val="%7."/>
      <w:lvlJc w:val="left"/>
      <w:pPr>
        <w:ind w:left="5040" w:hanging="360"/>
      </w:pPr>
    </w:lvl>
    <w:lvl w:ilvl="7" w:tplc="09B26958" w:tentative="1">
      <w:start w:val="1"/>
      <w:numFmt w:val="lowerLetter"/>
      <w:lvlText w:val="%8."/>
      <w:lvlJc w:val="left"/>
      <w:pPr>
        <w:ind w:left="5760" w:hanging="360"/>
      </w:pPr>
    </w:lvl>
    <w:lvl w:ilvl="8" w:tplc="D6866B6A" w:tentative="1">
      <w:start w:val="1"/>
      <w:numFmt w:val="lowerRoman"/>
      <w:lvlText w:val="%9."/>
      <w:lvlJc w:val="right"/>
      <w:pPr>
        <w:ind w:left="6480" w:hanging="180"/>
      </w:pPr>
    </w:lvl>
  </w:abstractNum>
  <w:abstractNum w:abstractNumId="1" w15:restartNumberingAfterBreak="0">
    <w:nsid w:val="22DD3F92"/>
    <w:multiLevelType w:val="multilevel"/>
    <w:tmpl w:val="8DF46F8E"/>
    <w:lvl w:ilvl="0">
      <w:start w:val="1"/>
      <w:numFmt w:val="decimal"/>
      <w:lvlText w:val="%1)"/>
      <w:lvlJc w:val="left"/>
      <w:pPr>
        <w:ind w:left="360" w:hanging="360"/>
      </w:pPr>
      <w:rPr>
        <w:rFonts w:ascii="Times New Roman" w:eastAsia="Times New Roman" w:hAnsi="Times New Roman" w:cs="Times New Roman"/>
        <w:b w:val="0"/>
        <w:bCs/>
        <w:i w:val="0"/>
        <w:iCs w:val="0"/>
        <w:sz w:val="24"/>
        <w:szCs w:val="24"/>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933828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147221"/>
    <w:rsid w:val="00195A73"/>
    <w:rsid w:val="0025391B"/>
    <w:rsid w:val="00297558"/>
    <w:rsid w:val="00351D48"/>
    <w:rsid w:val="004A6D72"/>
    <w:rsid w:val="004D516C"/>
    <w:rsid w:val="0053073B"/>
    <w:rsid w:val="00543508"/>
    <w:rsid w:val="00564CA6"/>
    <w:rsid w:val="00580856"/>
    <w:rsid w:val="00592CFE"/>
    <w:rsid w:val="005C7FA1"/>
    <w:rsid w:val="00617AAC"/>
    <w:rsid w:val="00693F05"/>
    <w:rsid w:val="006D3451"/>
    <w:rsid w:val="0074092B"/>
    <w:rsid w:val="007B4DDB"/>
    <w:rsid w:val="00802511"/>
    <w:rsid w:val="008257F8"/>
    <w:rsid w:val="008B6F83"/>
    <w:rsid w:val="009139A1"/>
    <w:rsid w:val="00996740"/>
    <w:rsid w:val="009A3989"/>
    <w:rsid w:val="00A52B04"/>
    <w:rsid w:val="00A64ACA"/>
    <w:rsid w:val="00B36CD4"/>
    <w:rsid w:val="00BB16A4"/>
    <w:rsid w:val="00C9477C"/>
    <w:rsid w:val="00D86969"/>
    <w:rsid w:val="00E52DA2"/>
    <w:rsid w:val="00E75D8D"/>
    <w:rsid w:val="00FA29A3"/>
    <w:rsid w:val="00FA68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B45DE"/>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592CFE"/>
    <w:pPr>
      <w:ind w:left="720"/>
      <w:contextualSpacing/>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191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4507</Words>
  <Characters>2570</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cp:revision>
  <dcterms:created xsi:type="dcterms:W3CDTF">2024-05-24T06:48:00Z</dcterms:created>
  <dcterms:modified xsi:type="dcterms:W3CDTF">2024-05-24T06:48:00Z</dcterms:modified>
</cp:coreProperties>
</file>