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54D2" w14:textId="77777777" w:rsidR="00E00EE9" w:rsidRDefault="00E00EE9" w:rsidP="00E00EE9">
      <w:pPr>
        <w:rPr>
          <w:rFonts w:asciiTheme="minorHAnsi" w:hAnsiTheme="minorHAnsi" w:cstheme="minorBidi"/>
        </w:rPr>
      </w:pPr>
      <w:r>
        <w:t>Iepazinos ar  Atzinumu Nr./5-04/3 par ietekmes uz vidi novērtējum ziņojumu atpūtas un sporta parka “Zibeņi” ierīkošanai Carnikavas novadā, nekustamajā īpašumā Valsts mežs 8052 ( kadastra Nr. 8052 001 0055) zemes vienībā ar kadastra apzīmējumu 8052 005 1149.</w:t>
      </w:r>
    </w:p>
    <w:p w14:paraId="21E4BF5A" w14:textId="77777777" w:rsidR="00E00EE9" w:rsidRDefault="00E00EE9" w:rsidP="00E00EE9"/>
    <w:p w14:paraId="6BEEA676" w14:textId="10B2E57A" w:rsidR="00E00EE9" w:rsidRDefault="00E00EE9" w:rsidP="00E00EE9">
      <w:r>
        <w:rPr>
          <w:noProof/>
        </w:rPr>
        <w:drawing>
          <wp:inline distT="0" distB="0" distL="0" distR="0" wp14:anchorId="30BF4ABF" wp14:editId="7A6EFED5">
            <wp:extent cx="3977640" cy="2829399"/>
            <wp:effectExtent l="0" t="0" r="3810" b="9525"/>
            <wp:docPr id="17831017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123" cy="283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A8F9" w14:textId="77777777" w:rsidR="00E00EE9" w:rsidRDefault="00E00EE9" w:rsidP="00E00EE9">
      <w:r>
        <w:t xml:space="preserve">Šajā atzinumā iet runa par darbībām sporta trašu izveidošanai un par aktivitātēm trasēs. </w:t>
      </w:r>
    </w:p>
    <w:p w14:paraId="58984B05" w14:textId="7CBD3DE4" w:rsidR="00E00EE9" w:rsidRDefault="00E00EE9" w:rsidP="00E00EE9">
      <w:r>
        <w:t xml:space="preserve">Iekopēju fragmentu – kur putnu (ornitofaunas) eksperts nesaskata pretrunu par trases izveidi, ja tā nešķērso mikroliegumu putna – ūpim. </w:t>
      </w:r>
    </w:p>
    <w:p w14:paraId="2513C9F3" w14:textId="034483B7" w:rsidR="00E00EE9" w:rsidRDefault="00E00EE9" w:rsidP="00E00EE9">
      <w:r>
        <w:t>Iecerētā vieta suņu laukumam neatrodas mikkrolieguma teritorijā</w:t>
      </w:r>
    </w:p>
    <w:p w14:paraId="2DDE903F" w14:textId="54F06E41" w:rsidR="00E00EE9" w:rsidRDefault="00E00EE9" w:rsidP="00E00E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8CEE" wp14:editId="69E81F69">
                <wp:simplePos x="0" y="0"/>
                <wp:positionH relativeFrom="column">
                  <wp:posOffset>3019426</wp:posOffset>
                </wp:positionH>
                <wp:positionV relativeFrom="paragraph">
                  <wp:posOffset>1021080</wp:posOffset>
                </wp:positionV>
                <wp:extent cx="198120" cy="137160"/>
                <wp:effectExtent l="38100" t="38100" r="30480" b="34290"/>
                <wp:wrapNone/>
                <wp:docPr id="136058143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2547">
                          <a:off x="0" y="0"/>
                          <a:ext cx="198120" cy="1371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5D86D" id="Rectangle 7" o:spid="_x0000_s1026" style="position:absolute;margin-left:237.75pt;margin-top:80.4pt;width:15.6pt;height:10.8pt;rotation:-838263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" fillcolor="yellow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5AD08112" wp14:editId="2C5ABB34">
            <wp:extent cx="5486400" cy="5043061"/>
            <wp:effectExtent l="0" t="0" r="0" b="5715"/>
            <wp:docPr id="363125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2589" name="Picture 363125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591" cy="504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C064" w14:textId="318D23A9" w:rsidR="00E00EE9" w:rsidRDefault="00E00EE9" w:rsidP="00E00EE9">
      <w:r>
        <w:lastRenderedPageBreak/>
        <w:t>Un fragmentā no dabas datu portāla Ozols redzams, ka attālums no mikrolieguma ārējās malas līdz iespējamajai suņu apmācību laukuma vietai ir vairāk kā 300 m</w:t>
      </w:r>
      <w:r w:rsidR="00056B34">
        <w:t>, kas pārsniedz minimālo buferzonu.</w:t>
      </w:r>
    </w:p>
    <w:p w14:paraId="59D98883" w14:textId="337F77E7" w:rsidR="00056B34" w:rsidRDefault="00056B34" w:rsidP="00E00EE9">
      <w:r>
        <w:rPr>
          <w:noProof/>
        </w:rPr>
        <w:drawing>
          <wp:inline distT="0" distB="0" distL="0" distR="0" wp14:anchorId="05B1CC16" wp14:editId="05DBC63A">
            <wp:extent cx="5242560" cy="4916202"/>
            <wp:effectExtent l="0" t="0" r="0" b="0"/>
            <wp:docPr id="138161107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85" cy="491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34A5" w14:textId="464BC525" w:rsidR="00E00EE9" w:rsidRDefault="00E00EE9" w:rsidP="00E00EE9"/>
    <w:p w14:paraId="762BAE1B" w14:textId="0CB94672" w:rsidR="00FB4920" w:rsidRDefault="00F3317D" w:rsidP="00422624">
      <w:r>
        <w:t>Kopuma iepazīstoties ar šiem materiāliem, es nesaskatu, ka suņu apmācības būtu apdraudējums, jo darbība netiek paredzēta mikrolieguma teritorijā, ne arī buferzonā.</w:t>
      </w:r>
    </w:p>
    <w:p w14:paraId="60ED9977" w14:textId="6D9E65F0" w:rsidR="00F3317D" w:rsidRDefault="00F3317D" w:rsidP="00422624">
      <w:r>
        <w:t>Bez tam suņu apmācība nav saistīta ar paaugstinātiem trokšņiem, bet pašu suņu riešana tomēr ir dabīga skaņa un diez vai traktējama kā paaugstināts troksnis.</w:t>
      </w:r>
    </w:p>
    <w:sectPr w:rsidR="00F3317D" w:rsidSect="00837C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24"/>
    <w:rsid w:val="00056B34"/>
    <w:rsid w:val="0007303D"/>
    <w:rsid w:val="00422624"/>
    <w:rsid w:val="00523C63"/>
    <w:rsid w:val="007D6F22"/>
    <w:rsid w:val="00837C82"/>
    <w:rsid w:val="00DA4269"/>
    <w:rsid w:val="00E00EE9"/>
    <w:rsid w:val="00F3317D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867C4"/>
  <w15:chartTrackingRefBased/>
  <w15:docId w15:val="{040F2EE7-3E25-449C-AC65-5EDB90FE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24"/>
    <w:pPr>
      <w:spacing w:after="0"/>
      <w:jc w:val="left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Dzintars Kronbergs</dc:creator>
  <cp:keywords/>
  <dc:description/>
  <cp:lastModifiedBy>Jevgēnija Sviridenkova</cp:lastModifiedBy>
  <cp:revision>2</cp:revision>
  <dcterms:created xsi:type="dcterms:W3CDTF">2023-12-22T08:53:00Z</dcterms:created>
  <dcterms:modified xsi:type="dcterms:W3CDTF">2023-12-22T08:53:00Z</dcterms:modified>
</cp:coreProperties>
</file>