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C5AA" w14:textId="2C10C891" w:rsidR="00DA1471" w:rsidRPr="000B7E5F" w:rsidRDefault="00C3412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noProof/>
        </w:rPr>
        <w:drawing>
          <wp:inline distT="0" distB="0" distL="0" distR="0" wp14:anchorId="1AEB29A3" wp14:editId="4AA90637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C0E71" w14:textId="10B9DF30" w:rsidR="00952205" w:rsidRPr="00952205" w:rsidRDefault="00952205" w:rsidP="0095220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52205">
        <w:rPr>
          <w:rFonts w:ascii="Times New Roman" w:eastAsia="Calibri" w:hAnsi="Times New Roman" w:cs="Times New Roman"/>
          <w:sz w:val="24"/>
          <w:szCs w:val="24"/>
          <w:lang w:bidi="en-US"/>
        </w:rPr>
        <w:t>PROJEKTS uz 0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3</w:t>
      </w:r>
      <w:r w:rsidRPr="00952205">
        <w:rPr>
          <w:rFonts w:ascii="Times New Roman" w:eastAsia="Calibri" w:hAnsi="Times New Roman" w:cs="Times New Roman"/>
          <w:sz w:val="24"/>
          <w:szCs w:val="24"/>
          <w:lang w:bidi="en-US"/>
        </w:rPr>
        <w:t>.08.2023.</w:t>
      </w:r>
    </w:p>
    <w:p w14:paraId="7782A9C3" w14:textId="77777777" w:rsidR="00952205" w:rsidRPr="00952205" w:rsidRDefault="00952205" w:rsidP="0095220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52205">
        <w:rPr>
          <w:rFonts w:ascii="Times New Roman" w:eastAsia="Calibri" w:hAnsi="Times New Roman" w:cs="Times New Roman"/>
          <w:sz w:val="24"/>
          <w:szCs w:val="24"/>
          <w:lang w:bidi="en-US"/>
        </w:rPr>
        <w:t>Vēlamais izskatīšanas laiks:</w:t>
      </w:r>
    </w:p>
    <w:p w14:paraId="6AB79E31" w14:textId="776DB0A9" w:rsidR="00952205" w:rsidRPr="00952205" w:rsidRDefault="00952205" w:rsidP="0095220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Finanšu</w:t>
      </w:r>
      <w:r w:rsidRPr="0095220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komitejā: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16</w:t>
      </w:r>
      <w:r w:rsidRPr="00952205">
        <w:rPr>
          <w:rFonts w:ascii="Times New Roman" w:eastAsia="Calibri" w:hAnsi="Times New Roman" w:cs="Times New Roman"/>
          <w:sz w:val="24"/>
          <w:szCs w:val="24"/>
          <w:lang w:bidi="en-US"/>
        </w:rPr>
        <w:t>.08.2023.</w:t>
      </w:r>
    </w:p>
    <w:p w14:paraId="213C9D7D" w14:textId="77777777" w:rsidR="00952205" w:rsidRPr="00952205" w:rsidRDefault="00952205" w:rsidP="0095220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52205">
        <w:rPr>
          <w:rFonts w:ascii="Times New Roman" w:eastAsia="Calibri" w:hAnsi="Times New Roman" w:cs="Times New Roman"/>
          <w:sz w:val="24"/>
          <w:szCs w:val="24"/>
          <w:lang w:bidi="en-US"/>
        </w:rPr>
        <w:t>tuvākajā domes sēdē (pēc priekšlikumu</w:t>
      </w:r>
    </w:p>
    <w:p w14:paraId="2D72762A" w14:textId="77777777" w:rsidR="00952205" w:rsidRPr="00952205" w:rsidRDefault="00952205" w:rsidP="00952205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952205">
        <w:rPr>
          <w:rFonts w:ascii="Times New Roman" w:eastAsia="Calibri" w:hAnsi="Times New Roman" w:cs="Times New Roman"/>
          <w:sz w:val="24"/>
          <w:szCs w:val="24"/>
          <w:lang w:bidi="en-US"/>
        </w:rPr>
        <w:t>izteikšanas termiņa)</w:t>
      </w:r>
    </w:p>
    <w:p w14:paraId="3EC18568" w14:textId="77777777" w:rsidR="00952205" w:rsidRDefault="00952205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0E239948" w14:textId="77777777" w:rsidR="00952205" w:rsidRDefault="00952205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14:paraId="7229668B" w14:textId="2127C7AA" w:rsidR="00DA1471" w:rsidRPr="000B7E5F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>APSTIPRINĀTI</w:t>
      </w:r>
    </w:p>
    <w:p w14:paraId="394FD177" w14:textId="77777777" w:rsidR="00DA1471" w:rsidRPr="000B7E5F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Ādažu novada pašvaldības domes sēdē </w:t>
      </w:r>
    </w:p>
    <w:p w14:paraId="46239C85" w14:textId="2DEA0DE8" w:rsidR="00DA1471" w:rsidRPr="00FD66EB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>202</w:t>
      </w:r>
      <w:r w:rsidR="00952205">
        <w:rPr>
          <w:rFonts w:ascii="Times New Roman" w:eastAsia="Calibri" w:hAnsi="Times New Roman" w:cs="Times New Roman"/>
          <w:sz w:val="24"/>
          <w:szCs w:val="24"/>
          <w:lang w:bidi="en-US"/>
        </w:rPr>
        <w:t>3</w:t>
      </w:r>
      <w:r w:rsidRPr="000B7E5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. </w:t>
      </w: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gada </w:t>
      </w:r>
      <w:r w:rsidR="00C34121">
        <w:rPr>
          <w:rFonts w:ascii="Times New Roman" w:eastAsia="Calibri" w:hAnsi="Times New Roman" w:cs="Times New Roman"/>
          <w:sz w:val="24"/>
          <w:szCs w:val="24"/>
          <w:lang w:bidi="en-US"/>
        </w:rPr>
        <w:t>28.</w:t>
      </w: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952205">
        <w:rPr>
          <w:rFonts w:ascii="Times New Roman" w:eastAsia="Calibri" w:hAnsi="Times New Roman" w:cs="Times New Roman"/>
          <w:sz w:val="24"/>
          <w:szCs w:val="24"/>
          <w:lang w:bidi="en-US"/>
        </w:rPr>
        <w:t>septembrī</w:t>
      </w: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</w:p>
    <w:p w14:paraId="5F386F6F" w14:textId="1C273C87" w:rsidR="00DA1471" w:rsidRPr="00FD66EB" w:rsidRDefault="00DA1471" w:rsidP="00DA1471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>(protokols Nr.</w:t>
      </w:r>
      <w:r w:rsidR="00667A38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772864">
        <w:rPr>
          <w:rFonts w:ascii="Times New Roman" w:eastAsia="Calibri" w:hAnsi="Times New Roman" w:cs="Times New Roman"/>
          <w:sz w:val="24"/>
          <w:szCs w:val="24"/>
          <w:lang w:bidi="en-US"/>
        </w:rPr>
        <w:t>__</w:t>
      </w:r>
      <w:r w:rsidR="00667A38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>§</w:t>
      </w:r>
      <w:r w:rsidR="00667A38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="00772864">
        <w:rPr>
          <w:rFonts w:ascii="Times New Roman" w:eastAsia="Calibri" w:hAnsi="Times New Roman" w:cs="Times New Roman"/>
          <w:sz w:val="24"/>
          <w:szCs w:val="24"/>
          <w:lang w:bidi="en-US"/>
        </w:rPr>
        <w:t>__</w:t>
      </w:r>
      <w:r w:rsidRPr="00FD66EB">
        <w:rPr>
          <w:rFonts w:ascii="Times New Roman" w:eastAsia="Calibri" w:hAnsi="Times New Roman" w:cs="Times New Roman"/>
          <w:sz w:val="24"/>
          <w:szCs w:val="24"/>
          <w:lang w:bidi="en-US"/>
        </w:rPr>
        <w:t>)</w:t>
      </w:r>
    </w:p>
    <w:p w14:paraId="1317DC5B" w14:textId="77777777" w:rsidR="00DA1471" w:rsidRPr="00FD66EB" w:rsidRDefault="00DA1471" w:rsidP="00DA14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6D392C" w14:textId="77777777" w:rsidR="00DA1471" w:rsidRPr="00FD66EB" w:rsidRDefault="00DA1471" w:rsidP="00DA14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D66EB">
        <w:rPr>
          <w:rFonts w:ascii="Times New Roman" w:eastAsia="Calibri" w:hAnsi="Times New Roman" w:cs="Times New Roman"/>
          <w:sz w:val="28"/>
          <w:szCs w:val="28"/>
        </w:rPr>
        <w:t>SAISTOŠIE NOTEIKUMI</w:t>
      </w:r>
    </w:p>
    <w:p w14:paraId="1A37039C" w14:textId="4B100D43" w:rsidR="00DA1471" w:rsidRDefault="00DA1471" w:rsidP="00DA14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D66EB">
        <w:rPr>
          <w:rFonts w:ascii="Times New Roman" w:eastAsia="Calibri" w:hAnsi="Times New Roman" w:cs="Times New Roman"/>
          <w:sz w:val="24"/>
          <w:szCs w:val="24"/>
        </w:rPr>
        <w:t>Ādažos, Ādažu novadā</w:t>
      </w:r>
    </w:p>
    <w:p w14:paraId="41D9AFB0" w14:textId="77777777" w:rsidR="00667A38" w:rsidRPr="00FD66EB" w:rsidRDefault="00667A38" w:rsidP="00DA14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B923B1B" w14:textId="7F7C3CAA" w:rsidR="00DA1471" w:rsidRPr="000B7E5F" w:rsidRDefault="00DA1471" w:rsidP="00DA1471">
      <w:pPr>
        <w:tabs>
          <w:tab w:val="left" w:pos="4965"/>
          <w:tab w:val="left" w:pos="5387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6EB">
        <w:rPr>
          <w:rFonts w:ascii="Times New Roman" w:eastAsia="Calibri" w:hAnsi="Times New Roman" w:cs="Times New Roman"/>
          <w:sz w:val="24"/>
          <w:szCs w:val="24"/>
        </w:rPr>
        <w:t>202</w:t>
      </w:r>
      <w:r w:rsidR="00772864">
        <w:rPr>
          <w:rFonts w:ascii="Times New Roman" w:eastAsia="Calibri" w:hAnsi="Times New Roman" w:cs="Times New Roman"/>
          <w:sz w:val="24"/>
          <w:szCs w:val="24"/>
        </w:rPr>
        <w:t>3</w:t>
      </w:r>
      <w:r w:rsidRPr="00FD66EB">
        <w:rPr>
          <w:rFonts w:ascii="Times New Roman" w:eastAsia="Calibri" w:hAnsi="Times New Roman" w:cs="Times New Roman"/>
          <w:sz w:val="24"/>
          <w:szCs w:val="24"/>
        </w:rPr>
        <w:t xml:space="preserve">. gada </w:t>
      </w:r>
      <w:r w:rsidR="00C34121">
        <w:rPr>
          <w:rFonts w:ascii="Times New Roman" w:eastAsia="Calibri" w:hAnsi="Times New Roman" w:cs="Times New Roman"/>
          <w:sz w:val="24"/>
          <w:szCs w:val="24"/>
        </w:rPr>
        <w:t>28</w:t>
      </w:r>
      <w:r w:rsidRPr="00FD66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72864">
        <w:rPr>
          <w:rFonts w:ascii="Times New Roman" w:eastAsia="Calibri" w:hAnsi="Times New Roman" w:cs="Times New Roman"/>
          <w:sz w:val="24"/>
          <w:szCs w:val="24"/>
        </w:rPr>
        <w:t>septembrī</w:t>
      </w:r>
      <w:r w:rsidRPr="00FD66E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</w:t>
      </w:r>
      <w:r w:rsidRPr="00FD66EB">
        <w:rPr>
          <w:rFonts w:ascii="Times New Roman" w:eastAsia="Calibri" w:hAnsi="Times New Roman" w:cs="Times New Roman"/>
          <w:sz w:val="24"/>
          <w:szCs w:val="24"/>
        </w:rPr>
        <w:tab/>
      </w:r>
      <w:r w:rsidRPr="00FD66EB">
        <w:rPr>
          <w:rFonts w:ascii="Times New Roman" w:eastAsia="Calibri" w:hAnsi="Times New Roman" w:cs="Times New Roman"/>
          <w:sz w:val="24"/>
          <w:szCs w:val="24"/>
        </w:rPr>
        <w:tab/>
      </w:r>
      <w:r w:rsidRPr="00FD66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Nr. </w:t>
      </w:r>
      <w:r w:rsidR="00772864">
        <w:rPr>
          <w:rFonts w:ascii="Times New Roman" w:eastAsia="Calibri" w:hAnsi="Times New Roman" w:cs="Times New Roman"/>
          <w:b/>
          <w:bCs/>
          <w:sz w:val="24"/>
          <w:szCs w:val="24"/>
        </w:rPr>
        <w:t>__</w:t>
      </w:r>
      <w:r w:rsidRPr="00FD66E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/202</w:t>
      </w:r>
      <w:r w:rsidR="0077286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3</w:t>
      </w:r>
      <w:r w:rsidRPr="000B7E5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3F266EE" w14:textId="77777777" w:rsidR="00DA1471" w:rsidRPr="000B7E5F" w:rsidRDefault="00DA1471" w:rsidP="00DA1471">
      <w:pPr>
        <w:tabs>
          <w:tab w:val="right" w:pos="94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  <w:r w:rsidRPr="000B7E5F">
        <w:rPr>
          <w:rFonts w:ascii="Times New Roman" w:eastAsia="Calibri" w:hAnsi="Times New Roman" w:cs="Times New Roman"/>
          <w:sz w:val="24"/>
          <w:szCs w:val="24"/>
        </w:rPr>
        <w:tab/>
      </w:r>
    </w:p>
    <w:p w14:paraId="4563966C" w14:textId="6B19CF71" w:rsidR="00DA1471" w:rsidRPr="00DA163F" w:rsidRDefault="00DA163F" w:rsidP="00DA1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A163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Grozījums Ādažu novada pašvaldības </w:t>
      </w:r>
      <w:r w:rsidR="00040EE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domes </w:t>
      </w:r>
      <w:r w:rsidR="00DF380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2022. gada 23. novembra</w:t>
      </w:r>
      <w:r w:rsidR="00040EE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A22A2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</w:t>
      </w:r>
      <w:r w:rsidR="00DF380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aistošajos noteikumos Nr. 80/2022 “</w:t>
      </w:r>
      <w:bookmarkStart w:id="0" w:name="_Hlk142032787"/>
      <w:r w:rsidR="00DA1471" w:rsidRPr="00DA163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Par pašvaldības līdzfinansējumu daudzdzīvokļu dzīvojamām mājām piesaistīto zemesgabalu labiekārtošanai</w:t>
      </w:r>
      <w:bookmarkEnd w:id="0"/>
      <w:r w:rsidR="00DF380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”</w:t>
      </w:r>
    </w:p>
    <w:p w14:paraId="188E7E89" w14:textId="77777777" w:rsidR="00DA1471" w:rsidRPr="000B7E5F" w:rsidRDefault="00DA1471" w:rsidP="00DA147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D313CC3" w14:textId="7D88D717" w:rsidR="009B057B" w:rsidRDefault="00DA1471" w:rsidP="009B057B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iCs/>
          <w:noProof/>
        </w:rPr>
      </w:pPr>
      <w:bookmarkStart w:id="1" w:name="_Hlk505861699"/>
      <w:r w:rsidRPr="000B7E5F">
        <w:rPr>
          <w:rFonts w:ascii="Times New Roman" w:eastAsia="Times New Roman" w:hAnsi="Times New Roman" w:cs="Times New Roman"/>
          <w:i/>
          <w:iCs/>
          <w:noProof/>
        </w:rPr>
        <w:t>Izdoti saskaņā ar</w:t>
      </w:r>
      <w:bookmarkEnd w:id="1"/>
      <w:r w:rsidR="00E77760">
        <w:rPr>
          <w:rFonts w:ascii="Times New Roman" w:eastAsia="Times New Roman" w:hAnsi="Times New Roman" w:cs="Times New Roman"/>
          <w:i/>
          <w:iCs/>
          <w:noProof/>
        </w:rPr>
        <w:t xml:space="preserve"> </w:t>
      </w:r>
      <w:r w:rsidRPr="000B7E5F">
        <w:rPr>
          <w:rFonts w:ascii="Times New Roman" w:eastAsia="Times New Roman" w:hAnsi="Times New Roman" w:cs="Times New Roman"/>
          <w:i/>
          <w:iCs/>
          <w:noProof/>
        </w:rPr>
        <w:t xml:space="preserve">likuma “Par palīdzību dzīvokļa jautājumu risināšanā” </w:t>
      </w:r>
    </w:p>
    <w:p w14:paraId="6B29FFDB" w14:textId="43C6D048" w:rsidR="00DA1471" w:rsidRPr="000B7E5F" w:rsidRDefault="00DA1471" w:rsidP="002D48A4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i/>
          <w:iCs/>
          <w:noProof/>
        </w:rPr>
      </w:pPr>
      <w:r w:rsidRPr="000B7E5F">
        <w:rPr>
          <w:rFonts w:ascii="Times New Roman" w:eastAsia="Times New Roman" w:hAnsi="Times New Roman" w:cs="Times New Roman"/>
          <w:i/>
          <w:iCs/>
          <w:noProof/>
        </w:rPr>
        <w:t>27.</w:t>
      </w:r>
      <w:r w:rsidRPr="000B7E5F">
        <w:rPr>
          <w:rFonts w:ascii="Times New Roman" w:eastAsia="Times New Roman" w:hAnsi="Times New Roman" w:cs="Times New Roman"/>
          <w:i/>
          <w:iCs/>
          <w:noProof/>
          <w:vertAlign w:val="superscript"/>
        </w:rPr>
        <w:t>2</w:t>
      </w:r>
      <w:r w:rsidRPr="000B7E5F">
        <w:rPr>
          <w:rFonts w:ascii="Times New Roman" w:eastAsia="Times New Roman" w:hAnsi="Times New Roman" w:cs="Times New Roman"/>
          <w:i/>
          <w:iCs/>
          <w:noProof/>
        </w:rPr>
        <w:t xml:space="preserve"> panta piekto daļu</w:t>
      </w:r>
    </w:p>
    <w:p w14:paraId="28E12A56" w14:textId="1803F66B" w:rsidR="00DA1471" w:rsidRPr="004302C8" w:rsidRDefault="00DA1471" w:rsidP="00422BC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bookmarkStart w:id="2" w:name="p-627444"/>
      <w:bookmarkStart w:id="3" w:name="p17"/>
      <w:bookmarkStart w:id="4" w:name="p-627445"/>
      <w:bookmarkStart w:id="5" w:name="p18"/>
      <w:bookmarkEnd w:id="2"/>
      <w:bookmarkEnd w:id="3"/>
      <w:bookmarkEnd w:id="4"/>
      <w:bookmarkEnd w:id="5"/>
    </w:p>
    <w:p w14:paraId="37FABFE2" w14:textId="05B08FBC" w:rsidR="00422BCF" w:rsidRDefault="00422BCF" w:rsidP="00422BCF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6" w:name="p1"/>
      <w:bookmarkStart w:id="7" w:name="p-644321"/>
      <w:bookmarkEnd w:id="6"/>
      <w:bookmarkEnd w:id="7"/>
      <w:r w:rsidRPr="00422BCF">
        <w:rPr>
          <w:rFonts w:ascii="Times New Roman" w:eastAsia="Times New Roman" w:hAnsi="Times New Roman" w:cs="Times New Roman"/>
          <w:sz w:val="24"/>
          <w:szCs w:val="24"/>
          <w:lang w:eastAsia="lv-LV"/>
        </w:rPr>
        <w:t>Izdarīt grozījumu Ādažu novada pašvaldības 202</w:t>
      </w:r>
      <w:r w:rsidR="00CD660D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422B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23. </w:t>
      </w:r>
      <w:r w:rsidR="00CD660D">
        <w:rPr>
          <w:rFonts w:ascii="Times New Roman" w:eastAsia="Times New Roman" w:hAnsi="Times New Roman" w:cs="Times New Roman"/>
          <w:sz w:val="24"/>
          <w:szCs w:val="24"/>
          <w:lang w:eastAsia="lv-LV"/>
        </w:rPr>
        <w:t>novembra</w:t>
      </w:r>
      <w:r w:rsidRPr="00422B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saistošajos noteikumos Nr. </w:t>
      </w:r>
      <w:r w:rsidR="00CD660D">
        <w:rPr>
          <w:rFonts w:ascii="Times New Roman" w:eastAsia="Times New Roman" w:hAnsi="Times New Roman" w:cs="Times New Roman"/>
          <w:sz w:val="24"/>
          <w:szCs w:val="24"/>
          <w:lang w:eastAsia="lv-LV"/>
        </w:rPr>
        <w:t>80</w:t>
      </w:r>
      <w:r w:rsidRPr="00422BCF">
        <w:rPr>
          <w:rFonts w:ascii="Times New Roman" w:eastAsia="Times New Roman" w:hAnsi="Times New Roman" w:cs="Times New Roman"/>
          <w:sz w:val="24"/>
          <w:szCs w:val="24"/>
          <w:lang w:eastAsia="lv-LV"/>
        </w:rPr>
        <w:t>/</w:t>
      </w:r>
      <w:r w:rsidRPr="003C361E">
        <w:rPr>
          <w:rFonts w:ascii="Times New Roman" w:eastAsia="Times New Roman" w:hAnsi="Times New Roman" w:cs="Times New Roman"/>
          <w:sz w:val="24"/>
          <w:szCs w:val="24"/>
          <w:lang w:eastAsia="lv-LV"/>
        </w:rPr>
        <w:t>2022 „</w:t>
      </w:r>
      <w:r w:rsidR="00CD660D" w:rsidRPr="003C361E">
        <w:rPr>
          <w:rFonts w:ascii="Times New Roman" w:eastAsia="Times New Roman" w:hAnsi="Times New Roman" w:cs="Times New Roman"/>
          <w:noProof/>
          <w:sz w:val="24"/>
          <w:szCs w:val="24"/>
        </w:rPr>
        <w:t>Par pašvaldības līdzfinansējumu daudzdzīvokļu dzīvojamām mājām piesaistīto zemesgabalu labiekārtošanai</w:t>
      </w:r>
      <w:r w:rsidRPr="003C361E">
        <w:rPr>
          <w:rFonts w:ascii="Times New Roman" w:eastAsia="Times New Roman" w:hAnsi="Times New Roman" w:cs="Times New Roman"/>
          <w:sz w:val="24"/>
          <w:szCs w:val="24"/>
          <w:lang w:eastAsia="lv-LV"/>
        </w:rPr>
        <w:t>" (Latvijas</w:t>
      </w:r>
      <w:r w:rsidRPr="00422B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Vēstnesis, 2022., Nr. </w:t>
      </w:r>
      <w:r w:rsidR="003C361E">
        <w:rPr>
          <w:rFonts w:ascii="Times New Roman" w:eastAsia="Times New Roman" w:hAnsi="Times New Roman" w:cs="Times New Roman"/>
          <w:sz w:val="24"/>
          <w:szCs w:val="24"/>
          <w:lang w:eastAsia="lv-LV"/>
        </w:rPr>
        <w:t>238</w:t>
      </w:r>
      <w:r w:rsidRPr="00422BCF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</w:p>
    <w:p w14:paraId="0947570E" w14:textId="7E9A4BBE" w:rsidR="003C361E" w:rsidRPr="00422BCF" w:rsidRDefault="009D0B4B" w:rsidP="00422BCF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DE5F69">
        <w:rPr>
          <w:rFonts w:ascii="Times New Roman" w:eastAsia="Times New Roman" w:hAnsi="Times New Roman" w:cs="Times New Roman"/>
          <w:sz w:val="24"/>
          <w:szCs w:val="24"/>
          <w:lang w:eastAsia="lv-LV"/>
        </w:rPr>
        <w:t>vītrot no izdošanas tiesiskā pamatojuma atsauci uz likuma “Par pašvaldībām” 15. panta pirmās daļas 2. punktu.</w:t>
      </w:r>
    </w:p>
    <w:p w14:paraId="47A18DB7" w14:textId="0643569E" w:rsidR="00DA1471" w:rsidRDefault="00DA1471" w:rsidP="00DA147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05E9A60" w14:textId="77777777" w:rsidR="00667A38" w:rsidRPr="000B7E5F" w:rsidRDefault="00667A38" w:rsidP="00DA147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BC68E62" w14:textId="7CF099D9" w:rsidR="00DA1471" w:rsidRPr="000B7E5F" w:rsidRDefault="00DA1471" w:rsidP="00DA1471">
      <w:pPr>
        <w:tabs>
          <w:tab w:val="right" w:pos="864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sz w:val="24"/>
          <w:szCs w:val="24"/>
        </w:rPr>
        <w:t>Pašvaldības domes priekšsēdētāj</w:t>
      </w:r>
      <w:r w:rsidR="009C2DF0">
        <w:rPr>
          <w:rFonts w:ascii="Times New Roman" w:eastAsia="Times New Roman" w:hAnsi="Times New Roman" w:cs="Times New Roman"/>
          <w:sz w:val="24"/>
          <w:szCs w:val="24"/>
        </w:rPr>
        <w:t>a                                                                K. Miķelsone</w:t>
      </w:r>
      <w:r w:rsidRPr="000B7E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B510478" w14:textId="77777777" w:rsidR="00DA1471" w:rsidRPr="000B7E5F" w:rsidRDefault="00DA1471" w:rsidP="00DA147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E253247" w14:textId="77777777" w:rsidR="00DA1471" w:rsidRPr="000B7E5F" w:rsidRDefault="00DA1471" w:rsidP="00DA147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06C0F5" w14:textId="77777777" w:rsidR="00DA1471" w:rsidRPr="000B7E5F" w:rsidRDefault="00DA1471" w:rsidP="00DA14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B9C785B" w14:textId="666538EB" w:rsidR="00DA1471" w:rsidRPr="000B7E5F" w:rsidRDefault="00DA1471" w:rsidP="00440ACD">
      <w:pPr>
        <w:shd w:val="clear" w:color="auto" w:fill="FFFFFF"/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B7E5F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4FA8ADC4" w14:textId="77777777" w:rsidR="00705D66" w:rsidRPr="00705D66" w:rsidRDefault="00705D66" w:rsidP="00705D66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5D6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PASKAIDROJUMA RAKSTS</w:t>
      </w:r>
    </w:p>
    <w:p w14:paraId="7300B923" w14:textId="2D7435CF" w:rsidR="00865536" w:rsidRDefault="00705D66" w:rsidP="00865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D66">
        <w:rPr>
          <w:rFonts w:ascii="Times New Roman" w:eastAsia="Times New Roman" w:hAnsi="Times New Roman" w:cs="Times New Roman"/>
          <w:b/>
          <w:sz w:val="24"/>
          <w:szCs w:val="24"/>
        </w:rPr>
        <w:t xml:space="preserve">Ādažu novada pašvaldības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2023. gada ___. septembra</w:t>
      </w:r>
      <w:r w:rsidRPr="00705D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26E2810" w14:textId="25A46117" w:rsidR="009D0B4B" w:rsidRDefault="00705D66" w:rsidP="008655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705D66">
        <w:rPr>
          <w:rFonts w:ascii="Times New Roman" w:eastAsia="Times New Roman" w:hAnsi="Times New Roman" w:cs="Times New Roman"/>
          <w:b/>
          <w:sz w:val="24"/>
          <w:szCs w:val="24"/>
        </w:rPr>
        <w:t>saistošajiem</w:t>
      </w:r>
      <w:r w:rsidRPr="00705D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05D66">
        <w:rPr>
          <w:rFonts w:ascii="Times New Roman" w:eastAsia="Times New Roman" w:hAnsi="Times New Roman" w:cs="Times New Roman"/>
          <w:b/>
          <w:sz w:val="24"/>
          <w:szCs w:val="24"/>
        </w:rPr>
        <w:t>noteikumiem Nr.</w:t>
      </w:r>
      <w:r w:rsidRPr="00705D6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r w:rsidRPr="00705D66">
        <w:rPr>
          <w:rFonts w:ascii="Times New Roman" w:eastAsia="Times New Roman" w:hAnsi="Times New Roman" w:cs="Times New Roman"/>
          <w:b/>
          <w:sz w:val="24"/>
          <w:szCs w:val="24"/>
        </w:rPr>
        <w:t>__/2023</w:t>
      </w:r>
      <w:r w:rsidR="00865536">
        <w:rPr>
          <w:rFonts w:ascii="Times New Roman" w:eastAsia="Times New Roman" w:hAnsi="Times New Roman" w:cs="Times New Roman"/>
          <w:b/>
          <w:sz w:val="24"/>
          <w:szCs w:val="24"/>
        </w:rPr>
        <w:t xml:space="preserve"> “</w:t>
      </w:r>
      <w:r w:rsidR="009D0B4B" w:rsidRPr="00DA163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Grozījums Ādažu novada pašvaldības </w:t>
      </w:r>
      <w:r w:rsidR="009D0B4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2022. gada 23. novembra</w:t>
      </w:r>
      <w:r w:rsidR="008655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9D0B4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saistošajos noteikumos Nr. 80/2022 “</w:t>
      </w:r>
      <w:r w:rsidR="009D0B4B" w:rsidRPr="00DA163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Par pašvaldības līdzfinansējumu daudzdzīvokļu dzīvojamām mājām piesaistīto zemesgabalu labiekārtošanai</w:t>
      </w:r>
      <w:r w:rsidR="009D0B4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”</w:t>
      </w:r>
      <w:r w:rsidR="0086553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”</w:t>
      </w:r>
    </w:p>
    <w:p w14:paraId="2ED3CCED" w14:textId="0E696D0D" w:rsidR="00705D66" w:rsidRDefault="00705D66" w:rsidP="009D0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705D66" w:rsidRPr="00705D66" w14:paraId="1964B61A" w14:textId="77777777" w:rsidTr="00E828AA">
        <w:trPr>
          <w:trHeight w:val="18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0DC3" w14:textId="77777777" w:rsidR="00705D66" w:rsidRPr="00705D66" w:rsidRDefault="00705D66" w:rsidP="00705D6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5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Paskaidrojuma raksta sadaļas un norādāmā informācija</w:t>
            </w:r>
          </w:p>
        </w:tc>
      </w:tr>
      <w:tr w:rsidR="00705D66" w:rsidRPr="00705D66" w14:paraId="4D6D0AD3" w14:textId="77777777" w:rsidTr="00E828AA">
        <w:trPr>
          <w:trHeight w:val="77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C921" w14:textId="77777777" w:rsidR="00705D66" w:rsidRPr="00705D66" w:rsidRDefault="00705D66" w:rsidP="00705D66">
            <w:pPr>
              <w:numPr>
                <w:ilvl w:val="0"/>
                <w:numId w:val="12"/>
              </w:numPr>
              <w:tabs>
                <w:tab w:val="left" w:pos="455"/>
              </w:tabs>
              <w:autoSpaceDE w:val="0"/>
              <w:autoSpaceDN w:val="0"/>
              <w:adjustRightInd w:val="0"/>
              <w:spacing w:before="40" w:after="40" w:line="240" w:lineRule="auto"/>
              <w:ind w:left="455" w:hanging="455"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Mērķis un nepieciešamības pamatojums</w:t>
            </w:r>
          </w:p>
          <w:p w14:paraId="5DFB3AA7" w14:textId="0CEDA8EB" w:rsidR="006411D7" w:rsidRPr="006411D7" w:rsidRDefault="00705D66" w:rsidP="006411D7">
            <w:pPr>
              <w:numPr>
                <w:ilvl w:val="1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Saistošo noteikumu </w:t>
            </w:r>
            <w:r w:rsidR="006D4E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(turpmāk – Noteikumi) </w:t>
            </w:r>
            <w:r w:rsidRPr="00705D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izdošanas mērķis ir </w:t>
            </w:r>
            <w:r w:rsidR="009607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precizēt </w:t>
            </w:r>
            <w:r w:rsidR="0096070E" w:rsidRPr="00422B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Ādažu novada pašvaldības 202</w:t>
            </w:r>
            <w:r w:rsidR="009607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</w:t>
            </w:r>
            <w:r w:rsidR="0096070E" w:rsidRPr="00422B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gada 23. </w:t>
            </w:r>
            <w:r w:rsidR="009607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novembra</w:t>
            </w:r>
            <w:r w:rsidR="0096070E" w:rsidRPr="00422B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saistoš</w:t>
            </w:r>
            <w:r w:rsidR="009607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</w:t>
            </w:r>
            <w:r w:rsidR="0096070E" w:rsidRPr="00422B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noteikum</w:t>
            </w:r>
            <w:r w:rsidR="009607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</w:t>
            </w:r>
            <w:r w:rsidR="0096070E" w:rsidRPr="00422B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</w:t>
            </w:r>
            <w:r w:rsidR="009607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80</w:t>
            </w:r>
            <w:r w:rsidR="0096070E" w:rsidRPr="00422B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  <w:r w:rsidR="0096070E" w:rsidRPr="003C36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2022 „</w:t>
            </w:r>
            <w:r w:rsidR="0096070E" w:rsidRPr="003C361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Par pašvaldības līdzfinansējumu daudzdzīvokļu dzīvojamām mājām piesaistīto zemesgabalu labiekārtošanai</w:t>
            </w:r>
            <w:r w:rsidR="0096070E" w:rsidRPr="003C36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  <w:r w:rsidR="004816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(turpmāk </w:t>
            </w:r>
            <w:r w:rsidR="00AC42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–</w:t>
            </w:r>
            <w:r w:rsidR="0048163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AC424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Nr. 80/2022)</w:t>
            </w:r>
            <w:r w:rsidR="0096070E" w:rsidRPr="003C36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96070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izdošanas tiesisko pamatojumu.</w:t>
            </w:r>
          </w:p>
          <w:p w14:paraId="3341C2A3" w14:textId="77777777" w:rsidR="0034623A" w:rsidRPr="0034623A" w:rsidRDefault="00AC4245" w:rsidP="0034623A">
            <w:pPr>
              <w:numPr>
                <w:ilvl w:val="1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1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Saistošie noteikumi Nr. 80/2022 nosaka kārtību, kādā Ādažu novada pašvaldība piešķir līdzfinansējumu daudzdzīvokļu dzīvojamo māju (turpmāk – mājas) piesaistīto zemesgabalu labiekārtošanai, līdzfinansējuma apmēru un piešķiršanas nosacījumus.</w:t>
            </w:r>
            <w:r w:rsidR="006411D7" w:rsidRPr="006411D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To mērķis ir</w:t>
            </w:r>
            <w:bookmarkStart w:id="8" w:name="p2"/>
            <w:bookmarkStart w:id="9" w:name="p-1159083"/>
            <w:bookmarkEnd w:id="8"/>
            <w:bookmarkEnd w:id="9"/>
            <w:r w:rsidRPr="006411D7">
              <w:rPr>
                <w:rFonts w:ascii="Times New Roman" w:hAnsi="Times New Roman" w:cs="Times New Roman"/>
                <w:sz w:val="24"/>
                <w:szCs w:val="24"/>
              </w:rPr>
              <w:t xml:space="preserve"> veicināt mājām piesaistīto zemesgabalu labiekārtošanas pasākumus iedzīvotāju dzīves vides uzlabošanai.</w:t>
            </w:r>
          </w:p>
          <w:p w14:paraId="49983738" w14:textId="77777777" w:rsidR="0034623A" w:rsidRPr="0034623A" w:rsidRDefault="00867079" w:rsidP="0034623A">
            <w:pPr>
              <w:numPr>
                <w:ilvl w:val="1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62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Likuma “Par palīdzību dzīvokļa jautājumu risināšanā” 27.</w:t>
            </w:r>
            <w:r w:rsidRPr="006D4E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3462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panta otrās daļas</w:t>
            </w:r>
            <w:r w:rsidR="0034623A" w:rsidRPr="0034623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5. punkts nosaka, ka pašvaldība var sniegt palīdzību dzīvojamās mājas īpašniekam (īpašniekiem) vai dzīvokļu īpašniekiem, piešķirot finansējumu dzīvojamai mājai piesaistītā zemesgabala labiekārtošanai.</w:t>
            </w:r>
          </w:p>
          <w:p w14:paraId="310AC8BD" w14:textId="113512E9" w:rsidR="00A55F4C" w:rsidRPr="0085386B" w:rsidRDefault="0034623A" w:rsidP="0034623A">
            <w:pPr>
              <w:numPr>
                <w:ilvl w:val="1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Šī likuma</w:t>
            </w:r>
            <w:r w:rsidR="00A55F4C"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27.</w:t>
            </w:r>
            <w:r w:rsidR="00A55F4C" w:rsidRPr="006D4E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 xml:space="preserve">2 </w:t>
            </w:r>
            <w:r w:rsidR="00A55F4C"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panta piektā</w:t>
            </w:r>
            <w:r w:rsidR="003F1D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="00A55F4C"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daļas izpratnē, kārtību, kādā tiek sniegta šā panta otrajā daļā minētā palīdzība, un palīdzības apmēru nosaka pašvaldība savos saistošajos noteikumos. </w:t>
            </w: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4C32108E" w14:textId="62771A12" w:rsidR="00A5530A" w:rsidRPr="0085386B" w:rsidRDefault="00A5530A" w:rsidP="0034623A">
            <w:pPr>
              <w:numPr>
                <w:ilvl w:val="1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Līdz ar to atsauce </w:t>
            </w:r>
            <w:r w:rsidR="003F1D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aistošo noteikumu</w:t>
            </w:r>
            <w:r w:rsidR="003F1D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 80/2022 </w:t>
            </w: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izdošanas pamatojumā uz likuma “Par palīdzību dzīvokļa jautājumu risināšanā” 27.</w:t>
            </w:r>
            <w:r w:rsidRPr="006D4E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panta otrās daļas 5. punktu ir pietiekoša.</w:t>
            </w:r>
          </w:p>
          <w:p w14:paraId="0E361FC2" w14:textId="64C5D68B" w:rsidR="00705D66" w:rsidRPr="00705D66" w:rsidRDefault="002C0AEC" w:rsidP="00A15696">
            <w:pPr>
              <w:numPr>
                <w:ilvl w:val="1"/>
                <w:numId w:val="1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40" w:after="40" w:line="240" w:lineRule="auto"/>
              <w:ind w:left="453" w:hanging="425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Savukārt, likuma “Par pašvaldībām” 15. panta pirmās daļas 2. punkts</w:t>
            </w:r>
            <w:r w:rsidR="003A1F9F"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paredzēja pašvaldības funkciju, cita starpā,</w:t>
            </w:r>
            <w:r w:rsidRPr="0085386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175F23" w:rsidRPr="00A15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gādāt par savas administratīvās teritorijas labiekārtošanu un sanitāro tīrību</w:t>
            </w:r>
            <w:r w:rsidR="003A1F9F" w:rsidRPr="00A15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</w:t>
            </w:r>
            <w:r w:rsidR="00E135CB" w:rsidRPr="00A15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bet neietvēra deleģējumu pašvaldībai izdot saistošos noteikumu</w:t>
            </w:r>
            <w:r w:rsidR="0085386B" w:rsidRPr="00A15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par finansējumu dzīvojamai mājai piesaistītā zemesgabala labiekārtošanai, turklāt attiecīgais likums ir zaudējis spēku</w:t>
            </w:r>
            <w:r w:rsidR="001E5A8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 Ņemot vērā to, ka pašvaldības pilnvarojumu izdot Saistošos noteikumus</w:t>
            </w:r>
            <w:r w:rsidR="009D2BC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Nr.08/2022 nosaka speciālais likums,</w:t>
            </w:r>
            <w:r w:rsidR="0085386B" w:rsidRPr="00A15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atsauce uz minēto tiesību normu no Saistošo noteikumu Nr. 80/2022 izdošanas tiesiskā pamatojuma ir svītrojama</w:t>
            </w:r>
            <w:r w:rsidR="000821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kā arī tajā nav ietveramas</w:t>
            </w:r>
            <w:r w:rsidR="003F1DD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atsauces uz Pašvaldību likumu</w:t>
            </w:r>
            <w:r w:rsidR="0085386B" w:rsidRPr="00A15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705D66" w:rsidRPr="00705D66" w14:paraId="496EC73D" w14:textId="77777777" w:rsidTr="00E828AA">
        <w:trPr>
          <w:trHeight w:val="670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2714" w14:textId="5367CF77" w:rsidR="00705D66" w:rsidRPr="00A15696" w:rsidRDefault="00705D66" w:rsidP="00A15696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ind w:left="45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56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Fiskālā ietekme uz pašvaldības budžetu </w:t>
            </w:r>
          </w:p>
          <w:p w14:paraId="2BDCDD96" w14:textId="30AACFC8" w:rsidR="00705D66" w:rsidRPr="00687DB3" w:rsidRDefault="00687DB3" w:rsidP="00687DB3">
            <w:pPr>
              <w:pStyle w:val="ListParagraph"/>
              <w:numPr>
                <w:ilvl w:val="1"/>
                <w:numId w:val="12"/>
              </w:numPr>
              <w:spacing w:before="60" w:after="60" w:line="240" w:lineRule="auto"/>
              <w:ind w:left="459" w:right="10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05D66" w:rsidRPr="00687D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</w:t>
            </w:r>
            <w:r w:rsidR="00A15696" w:rsidRPr="00687D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iem nav</w:t>
            </w:r>
            <w:r w:rsidRPr="00687D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705D66" w:rsidRPr="00687DB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fiskālās ietekmes uz pašvaldības budžetu. </w:t>
            </w:r>
          </w:p>
          <w:p w14:paraId="532D91DE" w14:textId="77777777" w:rsidR="00705D66" w:rsidRPr="00705D66" w:rsidRDefault="00705D66" w:rsidP="00A15696">
            <w:pPr>
              <w:numPr>
                <w:ilvl w:val="2"/>
                <w:numId w:val="12"/>
              </w:numPr>
              <w:spacing w:before="60" w:after="60" w:line="240" w:lineRule="auto"/>
              <w:ind w:left="1162" w:right="102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Izdevumu daļa paliek nemainīga.</w:t>
            </w:r>
          </w:p>
          <w:p w14:paraId="1641CB57" w14:textId="77777777" w:rsidR="00705D66" w:rsidRPr="00705D66" w:rsidRDefault="00705D66" w:rsidP="00A15696">
            <w:pPr>
              <w:numPr>
                <w:ilvl w:val="2"/>
                <w:numId w:val="12"/>
              </w:numPr>
              <w:spacing w:before="60" w:after="60" w:line="240" w:lineRule="auto"/>
              <w:ind w:left="1162" w:right="102" w:hanging="709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Noteikumiem nebūs ietekmes uz citām pozīcijām budžeta izdevumu daļā.</w:t>
            </w:r>
          </w:p>
          <w:p w14:paraId="75228C56" w14:textId="317820DA" w:rsidR="00705D66" w:rsidRPr="00705D66" w:rsidRDefault="00705D66" w:rsidP="00A15696">
            <w:pPr>
              <w:numPr>
                <w:ilvl w:val="1"/>
                <w:numId w:val="12"/>
              </w:numPr>
              <w:spacing w:before="60" w:after="60" w:line="240" w:lineRule="auto"/>
              <w:ind w:left="453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Netiks veidotas jaunas institūcijas vai darba vietas</w:t>
            </w:r>
            <w:r w:rsidR="00687DB3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,</w:t>
            </w: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lai nodrošinātu Noteikumu izpildi</w:t>
            </w:r>
            <w:r w:rsidR="001E5A80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705D66" w:rsidRPr="00705D66" w14:paraId="1BA86305" w14:textId="77777777" w:rsidTr="00E828AA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3CB6" w14:textId="77777777" w:rsidR="00705D66" w:rsidRPr="00705D66" w:rsidRDefault="00705D66" w:rsidP="00A1569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60" w:after="60" w:line="240" w:lineRule="auto"/>
              <w:ind w:left="455" w:hanging="455"/>
              <w:jc w:val="both"/>
              <w:rPr>
                <w:rFonts w:ascii="Times New Roman" w:eastAsia="Calibri" w:hAnsi="Times New Roman" w:cs="Times New Roman"/>
                <w:bCs/>
                <w:i/>
                <w:iCs/>
                <w:color w:val="FF0000"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Sociālā ietekme, ietekme uz vidi, iedzīvotāju veselību, uzņēmējdarbības vidi pašvaldības teritorijā, kā arī uz konkurenci</w:t>
            </w:r>
          </w:p>
          <w:p w14:paraId="1DCBEBE2" w14:textId="7DA75BD6" w:rsidR="00705D66" w:rsidRPr="00705D66" w:rsidRDefault="00705D66" w:rsidP="00705D66">
            <w:pPr>
              <w:numPr>
                <w:ilvl w:val="0"/>
                <w:numId w:val="13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Noteikumi</w:t>
            </w:r>
            <w:r w:rsidR="009D2BC4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em nav sociālās ietekmes.</w:t>
            </w: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332507CE" w14:textId="77777777" w:rsidR="00705D66" w:rsidRPr="00705D66" w:rsidRDefault="00705D66" w:rsidP="00705D66">
            <w:pPr>
              <w:numPr>
                <w:ilvl w:val="0"/>
                <w:numId w:val="13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Noteikumiem nav ietekmes uz vidi</w:t>
            </w:r>
            <w:r w:rsidRPr="00705D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  <w:p w14:paraId="2EA94759" w14:textId="77777777" w:rsidR="00705D66" w:rsidRPr="00705D66" w:rsidRDefault="00705D66" w:rsidP="00705D66">
            <w:pPr>
              <w:numPr>
                <w:ilvl w:val="0"/>
                <w:numId w:val="13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Noteikumi neatstās ietekmi uz iedzīvotāju veselību</w:t>
            </w:r>
            <w:r w:rsidRPr="00705D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  <w:p w14:paraId="2F22EF2F" w14:textId="77777777" w:rsidR="00705D66" w:rsidRPr="00705D66" w:rsidRDefault="00705D66" w:rsidP="00705D66">
            <w:pPr>
              <w:numPr>
                <w:ilvl w:val="1"/>
                <w:numId w:val="14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Noteikumiem nav ietekmes uz uzņēmējdarbības vidi.</w:t>
            </w:r>
          </w:p>
          <w:p w14:paraId="6A3EAD59" w14:textId="77777777" w:rsidR="00705D66" w:rsidRPr="00705D66" w:rsidRDefault="00705D66" w:rsidP="00705D66">
            <w:pPr>
              <w:numPr>
                <w:ilvl w:val="1"/>
                <w:numId w:val="14"/>
              </w:numPr>
              <w:autoSpaceDE w:val="0"/>
              <w:autoSpaceDN w:val="0"/>
              <w:adjustRightInd w:val="0"/>
              <w:spacing w:before="60" w:after="60" w:line="240" w:lineRule="auto"/>
              <w:ind w:left="453" w:hanging="453"/>
              <w:jc w:val="both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Noteikumi neradīs ietekmi uz konkurenci.</w:t>
            </w:r>
          </w:p>
          <w:p w14:paraId="018D0FEB" w14:textId="77777777" w:rsidR="00705D66" w:rsidRPr="00705D66" w:rsidRDefault="00705D66" w:rsidP="00705D66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05D66" w:rsidRPr="00705D66" w14:paraId="73776D95" w14:textId="77777777" w:rsidTr="00E828AA">
        <w:trPr>
          <w:trHeight w:val="552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695" w14:textId="77777777" w:rsidR="00705D66" w:rsidRPr="00705D66" w:rsidRDefault="00705D66" w:rsidP="00705D66">
            <w:pPr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before="60" w:after="60" w:line="240" w:lineRule="auto"/>
              <w:ind w:left="455" w:hanging="455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Ietekme uz administratīvajām procedūrām un to izmaksām</w:t>
            </w:r>
          </w:p>
          <w:p w14:paraId="54EE72FA" w14:textId="77777777" w:rsidR="00705D66" w:rsidRPr="00705D66" w:rsidRDefault="00705D66" w:rsidP="00705D66">
            <w:pPr>
              <w:numPr>
                <w:ilvl w:val="0"/>
                <w:numId w:val="15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Noteikumi neskar administratīvās procedūras un nemaina privātpersonām veicamās darbības līdzšinējo kārtību. </w:t>
            </w:r>
          </w:p>
          <w:p w14:paraId="5ABDC692" w14:textId="77777777" w:rsidR="00705D66" w:rsidRPr="00705D66" w:rsidRDefault="00705D66" w:rsidP="00705D66">
            <w:pPr>
              <w:numPr>
                <w:ilvl w:val="0"/>
                <w:numId w:val="15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Noteikumi neparedz administratīvo procedūru izmaksas: </w:t>
            </w:r>
          </w:p>
          <w:p w14:paraId="3D77C281" w14:textId="77777777" w:rsidR="00705D66" w:rsidRPr="00705D66" w:rsidRDefault="00705D66" w:rsidP="00705D66">
            <w:pPr>
              <w:numPr>
                <w:ilvl w:val="0"/>
                <w:numId w:val="16"/>
              </w:numPr>
              <w:spacing w:before="60" w:after="60" w:line="240" w:lineRule="auto"/>
              <w:ind w:left="1020" w:right="102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saimnieciskās darbības veicējiem;   </w:t>
            </w:r>
          </w:p>
          <w:p w14:paraId="366DA52E" w14:textId="77777777" w:rsidR="00705D66" w:rsidRPr="00705D66" w:rsidRDefault="00705D66" w:rsidP="00705D66">
            <w:pPr>
              <w:numPr>
                <w:ilvl w:val="0"/>
                <w:numId w:val="16"/>
              </w:numPr>
              <w:spacing w:before="60" w:after="60" w:line="240" w:lineRule="auto"/>
              <w:ind w:left="1020" w:right="102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fiziskajām personām; </w:t>
            </w:r>
          </w:p>
          <w:p w14:paraId="2766B925" w14:textId="77777777" w:rsidR="00705D66" w:rsidRPr="00705D66" w:rsidRDefault="00705D66" w:rsidP="00705D66">
            <w:pPr>
              <w:numPr>
                <w:ilvl w:val="0"/>
                <w:numId w:val="16"/>
              </w:numPr>
              <w:spacing w:before="60" w:after="60" w:line="240" w:lineRule="auto"/>
              <w:ind w:left="1020" w:right="102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nevalstiskā sektora organizācijām;  </w:t>
            </w:r>
          </w:p>
          <w:p w14:paraId="2AD97558" w14:textId="77777777" w:rsidR="00705D66" w:rsidRPr="00705D66" w:rsidRDefault="00705D66" w:rsidP="00705D66">
            <w:pPr>
              <w:numPr>
                <w:ilvl w:val="0"/>
                <w:numId w:val="16"/>
              </w:numPr>
              <w:spacing w:before="60" w:after="60" w:line="240" w:lineRule="auto"/>
              <w:ind w:left="1020" w:right="102" w:hanging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budžeta finansētām institūcijām. </w:t>
            </w:r>
          </w:p>
        </w:tc>
      </w:tr>
      <w:tr w:rsidR="00705D66" w:rsidRPr="00705D66" w14:paraId="0E1DD0CA" w14:textId="77777777" w:rsidTr="00E828AA">
        <w:trPr>
          <w:trHeight w:val="59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EB4F" w14:textId="77777777" w:rsidR="00705D66" w:rsidRPr="00705D66" w:rsidRDefault="00705D66" w:rsidP="00705D6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60" w:after="60" w:line="240" w:lineRule="auto"/>
              <w:ind w:left="455" w:hanging="4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Ietekme uz pašvaldības funkcijām un cilvēkresursiem</w:t>
            </w:r>
          </w:p>
          <w:p w14:paraId="124F7A91" w14:textId="412748D5" w:rsidR="00705D66" w:rsidRPr="00705D66" w:rsidRDefault="00705D66" w:rsidP="009E2789">
            <w:pPr>
              <w:numPr>
                <w:ilvl w:val="0"/>
                <w:numId w:val="17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Noteikumi</w:t>
            </w:r>
            <w:r w:rsidR="0001217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em nav ietekmes uz pašvaldības funkcijām un cilvēkresursiem.</w:t>
            </w:r>
          </w:p>
        </w:tc>
      </w:tr>
      <w:tr w:rsidR="00705D66" w:rsidRPr="00705D66" w14:paraId="1EC8A375" w14:textId="77777777" w:rsidTr="00E828AA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8D22" w14:textId="77777777" w:rsidR="00705D66" w:rsidRPr="00705D66" w:rsidRDefault="00705D66" w:rsidP="00705D66">
            <w:pPr>
              <w:numPr>
                <w:ilvl w:val="0"/>
                <w:numId w:val="14"/>
              </w:numPr>
              <w:spacing w:before="60" w:after="60" w:line="240" w:lineRule="auto"/>
              <w:ind w:left="453" w:hanging="4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Informācija par izpildes nodrošināšanu</w:t>
            </w:r>
          </w:p>
          <w:p w14:paraId="23360A39" w14:textId="1B21DFBC" w:rsidR="00705D66" w:rsidRPr="00705D66" w:rsidRDefault="00705D66" w:rsidP="00705D66">
            <w:pPr>
              <w:numPr>
                <w:ilvl w:val="1"/>
                <w:numId w:val="18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Nav paredzēta jaunu institūciju izveide, esošo likvidācija vai reorganizācija, netiks veidotas jaunas darba vietas.</w:t>
            </w:r>
          </w:p>
          <w:p w14:paraId="6B330160" w14:textId="30E9225A" w:rsidR="00705D66" w:rsidRPr="00705D66" w:rsidRDefault="00705D66" w:rsidP="00705D66">
            <w:pPr>
              <w:numPr>
                <w:ilvl w:val="1"/>
                <w:numId w:val="18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izpildes nodrošināšanai</w:t>
            </w:r>
            <w:r w:rsidR="009E278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nav</w:t>
            </w: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nepieciešami resursi. </w:t>
            </w:r>
          </w:p>
        </w:tc>
      </w:tr>
      <w:tr w:rsidR="00705D66" w:rsidRPr="00705D66" w14:paraId="0B5ED294" w14:textId="77777777" w:rsidTr="00E828AA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826B" w14:textId="77777777" w:rsidR="00705D66" w:rsidRPr="00705D66" w:rsidRDefault="00705D66" w:rsidP="00705D66">
            <w:pPr>
              <w:numPr>
                <w:ilvl w:val="0"/>
                <w:numId w:val="18"/>
              </w:numPr>
              <w:spacing w:before="60" w:after="60" w:line="240" w:lineRule="auto"/>
              <w:ind w:left="455" w:hanging="4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Prasību un izmaksu samērīgums pret ieguvumiem, ko sniedz mērķa sasniegšana</w:t>
            </w:r>
          </w:p>
          <w:p w14:paraId="5D1EFE36" w14:textId="77777777" w:rsidR="00705D66" w:rsidRPr="00705D66" w:rsidRDefault="00705D66" w:rsidP="00705D66">
            <w:pPr>
              <w:numPr>
                <w:ilvl w:val="0"/>
                <w:numId w:val="19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Noteikumi ir piemēroti iecerētā mērķa sasniegšanas nodrošināšanai un paredz tikai to, kas ir vajadzīgs minētā mērķa sasniegšanai.</w:t>
            </w:r>
          </w:p>
          <w:p w14:paraId="090B586E" w14:textId="77777777" w:rsidR="00705D66" w:rsidRPr="00705D66" w:rsidRDefault="00705D66" w:rsidP="00705D66">
            <w:pPr>
              <w:numPr>
                <w:ilvl w:val="0"/>
                <w:numId w:val="19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Samērīguma tests: </w:t>
            </w:r>
          </w:p>
          <w:p w14:paraId="134C1C47" w14:textId="77777777" w:rsidR="00705D66" w:rsidRPr="00705D66" w:rsidRDefault="00705D66" w:rsidP="00705D66">
            <w:pPr>
              <w:numPr>
                <w:ilvl w:val="0"/>
                <w:numId w:val="20"/>
              </w:numPr>
              <w:spacing w:before="60" w:after="60" w:line="240" w:lineRule="auto"/>
              <w:ind w:left="1020" w:right="102" w:hanging="56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pašvaldības izraudzītie līdzekļi ir piemēroti leģitīmā mērķa sasniegšanai; </w:t>
            </w:r>
          </w:p>
          <w:p w14:paraId="69E578A0" w14:textId="77777777" w:rsidR="00705D66" w:rsidRPr="00705D66" w:rsidRDefault="00705D66" w:rsidP="00705D66">
            <w:pPr>
              <w:numPr>
                <w:ilvl w:val="0"/>
                <w:numId w:val="20"/>
              </w:numPr>
              <w:spacing w:before="60" w:after="60" w:line="240" w:lineRule="auto"/>
              <w:ind w:left="1020" w:right="102" w:hanging="56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nav saudzējošāku līdzekļu leģitīmā mērķa sasniegšanai;</w:t>
            </w:r>
          </w:p>
          <w:p w14:paraId="2351921B" w14:textId="77777777" w:rsidR="00705D66" w:rsidRPr="00705D66" w:rsidRDefault="00705D66" w:rsidP="00705D66">
            <w:pPr>
              <w:numPr>
                <w:ilvl w:val="0"/>
                <w:numId w:val="20"/>
              </w:numPr>
              <w:spacing w:before="60" w:after="60" w:line="240" w:lineRule="auto"/>
              <w:ind w:left="1020" w:right="102" w:hanging="56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pašvaldības rīcība ir atbilstoša. </w:t>
            </w:r>
          </w:p>
        </w:tc>
      </w:tr>
      <w:tr w:rsidR="00705D66" w:rsidRPr="00705D66" w14:paraId="39EBF9DC" w14:textId="77777777" w:rsidTr="00E828AA">
        <w:trPr>
          <w:trHeight w:val="361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3728" w14:textId="77777777" w:rsidR="00705D66" w:rsidRPr="00705D66" w:rsidRDefault="00705D66" w:rsidP="00705D66">
            <w:pPr>
              <w:numPr>
                <w:ilvl w:val="0"/>
                <w:numId w:val="18"/>
              </w:numPr>
              <w:spacing w:before="60" w:after="60" w:line="240" w:lineRule="auto"/>
              <w:ind w:left="455" w:hanging="4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D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Izstrādes gaitā veiktās konsultācijas ar privātpersonām un institūcijām</w:t>
            </w:r>
          </w:p>
          <w:p w14:paraId="426DC6A2" w14:textId="77777777" w:rsidR="00705D66" w:rsidRPr="00705D66" w:rsidRDefault="00705D66" w:rsidP="00705D66">
            <w:pPr>
              <w:numPr>
                <w:ilvl w:val="0"/>
                <w:numId w:val="21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Noteikumu izstrādes procesā nenotika atsevišķas konsultācijas ar sabiedrības pārstāvjiem (tostarp biedrībām, nodibinājumiem, apvienībām, u.tml.).</w:t>
            </w:r>
          </w:p>
          <w:p w14:paraId="086A0B2C" w14:textId="77777777" w:rsidR="00705D66" w:rsidRPr="00705D66" w:rsidRDefault="00705D66" w:rsidP="00705D66">
            <w:pPr>
              <w:numPr>
                <w:ilvl w:val="0"/>
                <w:numId w:val="21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Konsultācijām tika izmantots šāds sabiedrības līdzdalības veids: pēc Noteikumu izskatīšanas domes Finanšu komitejā tie tika publicēti pašvaldības oficiālajā tīmekļvietnē </w:t>
            </w:r>
            <w:hyperlink r:id="rId9" w:history="1">
              <w:r w:rsidRPr="00705D6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www.adazunovads.lv</w:t>
              </w:r>
            </w:hyperlink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, kā arī informācija par projektu tika publicēta sociālajā tīklā - pašvaldības </w:t>
            </w:r>
            <w:r w:rsidRPr="00705D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Facebook</w:t>
            </w: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kontā, lai sasniegtu mērķgrupu, kā arī noskaidrotu pēc iespējas plašākas sabiedrības viedokli.</w:t>
            </w:r>
          </w:p>
          <w:p w14:paraId="673B540D" w14:textId="2C037B86" w:rsidR="00705D66" w:rsidRPr="00705D66" w:rsidRDefault="00705D66" w:rsidP="00705D66">
            <w:pPr>
              <w:numPr>
                <w:ilvl w:val="0"/>
                <w:numId w:val="21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Publikācijā noteiktajā termiņā no 2023. gada </w:t>
            </w:r>
            <w:r w:rsidR="00C341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</w:t>
            </w: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61248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augusta</w:t>
            </w: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līdz 2023. </w:t>
            </w:r>
            <w:r w:rsidR="00C341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  <w:r w:rsidR="00C3412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septembrim</w:t>
            </w: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priekšlikumi netika saņemti.</w:t>
            </w:r>
          </w:p>
          <w:p w14:paraId="6A1451FC" w14:textId="77777777" w:rsidR="00705D66" w:rsidRPr="00705D66" w:rsidRDefault="00705D66" w:rsidP="00705D66">
            <w:pPr>
              <w:numPr>
                <w:ilvl w:val="0"/>
                <w:numId w:val="21"/>
              </w:numPr>
              <w:spacing w:before="60" w:after="60" w:line="240" w:lineRule="auto"/>
              <w:ind w:left="453" w:right="102" w:hanging="45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 institūcijām netika saņemti viedokļi un atzinumi par Noteikumu projektu.</w:t>
            </w:r>
          </w:p>
          <w:p w14:paraId="289A1387" w14:textId="77777777" w:rsidR="00705D66" w:rsidRPr="00705D66" w:rsidRDefault="00705D66" w:rsidP="00705D66">
            <w:pPr>
              <w:numPr>
                <w:ilvl w:val="0"/>
                <w:numId w:val="21"/>
              </w:numPr>
              <w:spacing w:before="60" w:after="60" w:line="240" w:lineRule="auto"/>
              <w:ind w:left="453" w:right="102" w:hanging="4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05D6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veida saziņa un konsultācijas nav notikušas.</w:t>
            </w:r>
          </w:p>
        </w:tc>
      </w:tr>
    </w:tbl>
    <w:p w14:paraId="7D89541A" w14:textId="77777777" w:rsidR="00705D66" w:rsidRPr="00DA163F" w:rsidRDefault="00705D66" w:rsidP="009D0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CC21B58" w14:textId="77777777" w:rsidR="00DA1471" w:rsidRPr="000B7E5F" w:rsidRDefault="00DA1471" w:rsidP="00DA14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D9FC21A" w14:textId="77777777" w:rsidR="00DA1471" w:rsidRPr="000B7E5F" w:rsidRDefault="00DA1471" w:rsidP="00DA14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6560E" w14:textId="37065FEA" w:rsidR="00DA1471" w:rsidRPr="000B7E5F" w:rsidRDefault="00DA1471" w:rsidP="00DA1471">
      <w:pPr>
        <w:tabs>
          <w:tab w:val="right" w:pos="864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E5F">
        <w:rPr>
          <w:rFonts w:ascii="Times New Roman" w:eastAsia="Times New Roman" w:hAnsi="Times New Roman" w:cs="Times New Roman"/>
          <w:sz w:val="24"/>
          <w:szCs w:val="24"/>
        </w:rPr>
        <w:t>Pašvaldības domes priekšsēdētāj</w:t>
      </w:r>
      <w:r w:rsidR="009C2DF0">
        <w:rPr>
          <w:rFonts w:ascii="Times New Roman" w:eastAsia="Times New Roman" w:hAnsi="Times New Roman" w:cs="Times New Roman"/>
          <w:sz w:val="24"/>
          <w:szCs w:val="24"/>
        </w:rPr>
        <w:t>a                                                                K</w:t>
      </w:r>
      <w:r w:rsidR="00667A3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2DF0">
        <w:rPr>
          <w:rFonts w:ascii="Times New Roman" w:eastAsia="Times New Roman" w:hAnsi="Times New Roman" w:cs="Times New Roman"/>
          <w:sz w:val="24"/>
          <w:szCs w:val="24"/>
        </w:rPr>
        <w:t>Miķelsone</w:t>
      </w:r>
      <w:r w:rsidRPr="000B7E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804588" w14:textId="77777777" w:rsidR="00DA1471" w:rsidRPr="000B7E5F" w:rsidRDefault="00DA1471" w:rsidP="00DA147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2BECF4" w14:textId="77777777" w:rsidR="00CF281A" w:rsidRPr="000B7E5F" w:rsidRDefault="00CF281A"/>
    <w:sectPr w:rsidR="00CF281A" w:rsidRPr="000B7E5F">
      <w:footerReference w:type="even" r:id="rId10"/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4C14F" w14:textId="77777777" w:rsidR="00CA40DB" w:rsidRDefault="00CA40DB">
      <w:pPr>
        <w:spacing w:after="0" w:line="240" w:lineRule="auto"/>
      </w:pPr>
      <w:r>
        <w:separator/>
      </w:r>
    </w:p>
  </w:endnote>
  <w:endnote w:type="continuationSeparator" w:id="0">
    <w:p w14:paraId="4A14AD2A" w14:textId="77777777" w:rsidR="00CA40DB" w:rsidRDefault="00CA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0B8F" w14:textId="77777777" w:rsidR="005C16AD" w:rsidRDefault="007661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CA33C2" w14:textId="77777777" w:rsidR="005C16AD" w:rsidRDefault="005C16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82289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7F8CD93" w14:textId="09A6FE09" w:rsidR="00EE4A66" w:rsidRPr="00673A0C" w:rsidRDefault="00EE4A66" w:rsidP="00667A38">
        <w:pPr>
          <w:pStyle w:val="Footer"/>
          <w:jc w:val="right"/>
          <w:rPr>
            <w:sz w:val="24"/>
            <w:szCs w:val="24"/>
          </w:rPr>
        </w:pPr>
        <w:r w:rsidRPr="00673A0C">
          <w:rPr>
            <w:sz w:val="24"/>
            <w:szCs w:val="24"/>
          </w:rPr>
          <w:fldChar w:fldCharType="begin"/>
        </w:r>
        <w:r w:rsidRPr="00673A0C">
          <w:rPr>
            <w:sz w:val="24"/>
            <w:szCs w:val="24"/>
          </w:rPr>
          <w:instrText>PAGE   \* MERGEFORMAT</w:instrText>
        </w:r>
        <w:r w:rsidRPr="00673A0C">
          <w:rPr>
            <w:sz w:val="24"/>
            <w:szCs w:val="24"/>
          </w:rPr>
          <w:fldChar w:fldCharType="separate"/>
        </w:r>
        <w:r w:rsidRPr="00D43672">
          <w:rPr>
            <w:sz w:val="24"/>
            <w:szCs w:val="24"/>
          </w:rPr>
          <w:t>2</w:t>
        </w:r>
        <w:r w:rsidRPr="00673A0C">
          <w:rPr>
            <w:sz w:val="24"/>
            <w:szCs w:val="24"/>
          </w:rPr>
          <w:fldChar w:fldCharType="end"/>
        </w:r>
      </w:p>
    </w:sdtContent>
  </w:sdt>
  <w:p w14:paraId="7F34DA0A" w14:textId="77777777" w:rsidR="005C16AD" w:rsidRDefault="005C16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893F7" w14:textId="77777777" w:rsidR="00CA40DB" w:rsidRDefault="00CA40DB">
      <w:pPr>
        <w:spacing w:after="0" w:line="240" w:lineRule="auto"/>
      </w:pPr>
      <w:r>
        <w:separator/>
      </w:r>
    </w:p>
  </w:footnote>
  <w:footnote w:type="continuationSeparator" w:id="0">
    <w:p w14:paraId="594B7E9E" w14:textId="77777777" w:rsidR="00CA40DB" w:rsidRDefault="00CA4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13C"/>
    <w:multiLevelType w:val="multilevel"/>
    <w:tmpl w:val="A204E8A6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D71C1"/>
    <w:multiLevelType w:val="multilevel"/>
    <w:tmpl w:val="A204E8A6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292E8F"/>
    <w:multiLevelType w:val="multilevel"/>
    <w:tmpl w:val="A204E8A6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390CD8"/>
    <w:multiLevelType w:val="multilevel"/>
    <w:tmpl w:val="F718D6A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E65923"/>
    <w:multiLevelType w:val="multilevel"/>
    <w:tmpl w:val="B12A45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52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4523EF"/>
    <w:multiLevelType w:val="multilevel"/>
    <w:tmpl w:val="A204E8A6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D757D"/>
    <w:multiLevelType w:val="multilevel"/>
    <w:tmpl w:val="EDFA53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99E7E3A"/>
    <w:multiLevelType w:val="multilevel"/>
    <w:tmpl w:val="A204E8A6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24182D"/>
    <w:multiLevelType w:val="hybridMultilevel"/>
    <w:tmpl w:val="1228F3BC"/>
    <w:lvl w:ilvl="0" w:tplc="0426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5" w15:restartNumberingAfterBreak="0">
    <w:nsid w:val="67AA3D88"/>
    <w:multiLevelType w:val="hybridMultilevel"/>
    <w:tmpl w:val="0A363E8C"/>
    <w:lvl w:ilvl="0" w:tplc="C00C0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A7F3D"/>
    <w:multiLevelType w:val="multilevel"/>
    <w:tmpl w:val="F718D6A4"/>
    <w:lvl w:ilvl="0">
      <w:start w:val="1"/>
      <w:numFmt w:val="decimal"/>
      <w:lvlText w:val="%1."/>
      <w:lvlJc w:val="left"/>
      <w:pPr>
        <w:ind w:left="792" w:hanging="432"/>
      </w:pPr>
      <w:rPr>
        <w:rFonts w:hint="default"/>
        <w:b/>
        <w:bCs w:val="0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6603F9"/>
    <w:multiLevelType w:val="multilevel"/>
    <w:tmpl w:val="24229734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740CC7"/>
    <w:multiLevelType w:val="multilevel"/>
    <w:tmpl w:val="A204E8A6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1D43F3"/>
    <w:multiLevelType w:val="multilevel"/>
    <w:tmpl w:val="FAF070A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61059958">
    <w:abstractNumId w:val="8"/>
  </w:num>
  <w:num w:numId="2" w16cid:durableId="219748693">
    <w:abstractNumId w:val="13"/>
  </w:num>
  <w:num w:numId="3" w16cid:durableId="346296623">
    <w:abstractNumId w:val="21"/>
  </w:num>
  <w:num w:numId="4" w16cid:durableId="2050832202">
    <w:abstractNumId w:val="19"/>
  </w:num>
  <w:num w:numId="5" w16cid:durableId="1081104345">
    <w:abstractNumId w:val="4"/>
  </w:num>
  <w:num w:numId="6" w16cid:durableId="1550147957">
    <w:abstractNumId w:val="12"/>
  </w:num>
  <w:num w:numId="7" w16cid:durableId="143206961">
    <w:abstractNumId w:val="3"/>
  </w:num>
  <w:num w:numId="8" w16cid:durableId="1298141306">
    <w:abstractNumId w:val="0"/>
  </w:num>
  <w:num w:numId="9" w16cid:durableId="1128737391">
    <w:abstractNumId w:val="9"/>
  </w:num>
  <w:num w:numId="10" w16cid:durableId="590310573">
    <w:abstractNumId w:val="20"/>
  </w:num>
  <w:num w:numId="11" w16cid:durableId="1759523638">
    <w:abstractNumId w:val="15"/>
  </w:num>
  <w:num w:numId="12" w16cid:durableId="1861771728">
    <w:abstractNumId w:val="5"/>
  </w:num>
  <w:num w:numId="13" w16cid:durableId="1125849802">
    <w:abstractNumId w:val="1"/>
  </w:num>
  <w:num w:numId="14" w16cid:durableId="1694067932">
    <w:abstractNumId w:val="11"/>
  </w:num>
  <w:num w:numId="15" w16cid:durableId="2128427501">
    <w:abstractNumId w:val="10"/>
  </w:num>
  <w:num w:numId="16" w16cid:durableId="84500620">
    <w:abstractNumId w:val="14"/>
  </w:num>
  <w:num w:numId="17" w16cid:durableId="832339215">
    <w:abstractNumId w:val="2"/>
  </w:num>
  <w:num w:numId="18" w16cid:durableId="28648309">
    <w:abstractNumId w:val="6"/>
  </w:num>
  <w:num w:numId="19" w16cid:durableId="88350352">
    <w:abstractNumId w:val="7"/>
  </w:num>
  <w:num w:numId="20" w16cid:durableId="1139374530">
    <w:abstractNumId w:val="18"/>
  </w:num>
  <w:num w:numId="21" w16cid:durableId="1766608824">
    <w:abstractNumId w:val="17"/>
  </w:num>
  <w:num w:numId="22" w16cid:durableId="6804752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71"/>
    <w:rsid w:val="00012171"/>
    <w:rsid w:val="00036AEC"/>
    <w:rsid w:val="00040EE4"/>
    <w:rsid w:val="00044569"/>
    <w:rsid w:val="00053D55"/>
    <w:rsid w:val="00062EA7"/>
    <w:rsid w:val="00071DC6"/>
    <w:rsid w:val="000724E8"/>
    <w:rsid w:val="000821C7"/>
    <w:rsid w:val="000B58DE"/>
    <w:rsid w:val="000B7BDA"/>
    <w:rsid w:val="000B7E5F"/>
    <w:rsid w:val="00126BE0"/>
    <w:rsid w:val="00130F9B"/>
    <w:rsid w:val="00140DDD"/>
    <w:rsid w:val="00175F23"/>
    <w:rsid w:val="0017746E"/>
    <w:rsid w:val="00180C6A"/>
    <w:rsid w:val="00182E8C"/>
    <w:rsid w:val="00196F27"/>
    <w:rsid w:val="001B5E4A"/>
    <w:rsid w:val="001B7857"/>
    <w:rsid w:val="001C46E4"/>
    <w:rsid w:val="001E5A80"/>
    <w:rsid w:val="002337FE"/>
    <w:rsid w:val="002429E0"/>
    <w:rsid w:val="002431C0"/>
    <w:rsid w:val="00263A52"/>
    <w:rsid w:val="00295A5A"/>
    <w:rsid w:val="002971FC"/>
    <w:rsid w:val="002B5C65"/>
    <w:rsid w:val="002C0AEC"/>
    <w:rsid w:val="002D48A4"/>
    <w:rsid w:val="002F31B1"/>
    <w:rsid w:val="00300758"/>
    <w:rsid w:val="0032279C"/>
    <w:rsid w:val="0034623A"/>
    <w:rsid w:val="00372B3E"/>
    <w:rsid w:val="00375618"/>
    <w:rsid w:val="00377D38"/>
    <w:rsid w:val="0039694B"/>
    <w:rsid w:val="003A1F9F"/>
    <w:rsid w:val="003A4CC9"/>
    <w:rsid w:val="003C361E"/>
    <w:rsid w:val="003C59F0"/>
    <w:rsid w:val="003D4FD8"/>
    <w:rsid w:val="003E0748"/>
    <w:rsid w:val="003E4261"/>
    <w:rsid w:val="003F1DD1"/>
    <w:rsid w:val="00402051"/>
    <w:rsid w:val="00414EF7"/>
    <w:rsid w:val="004178A6"/>
    <w:rsid w:val="00422BCF"/>
    <w:rsid w:val="00423BF7"/>
    <w:rsid w:val="004302C8"/>
    <w:rsid w:val="00440ACD"/>
    <w:rsid w:val="004435C0"/>
    <w:rsid w:val="004515DA"/>
    <w:rsid w:val="00455EB5"/>
    <w:rsid w:val="00457A6A"/>
    <w:rsid w:val="00481632"/>
    <w:rsid w:val="004A3364"/>
    <w:rsid w:val="004C3164"/>
    <w:rsid w:val="004D5287"/>
    <w:rsid w:val="00535D10"/>
    <w:rsid w:val="005527AE"/>
    <w:rsid w:val="0055326F"/>
    <w:rsid w:val="00574B74"/>
    <w:rsid w:val="005B23F4"/>
    <w:rsid w:val="005C16AD"/>
    <w:rsid w:val="005D0008"/>
    <w:rsid w:val="005D70B0"/>
    <w:rsid w:val="005E31E7"/>
    <w:rsid w:val="0061248A"/>
    <w:rsid w:val="00632351"/>
    <w:rsid w:val="0063419E"/>
    <w:rsid w:val="006357D8"/>
    <w:rsid w:val="006411D7"/>
    <w:rsid w:val="0065091C"/>
    <w:rsid w:val="00667A38"/>
    <w:rsid w:val="00673A0C"/>
    <w:rsid w:val="00673FE6"/>
    <w:rsid w:val="00687DB3"/>
    <w:rsid w:val="006956F7"/>
    <w:rsid w:val="006A08FA"/>
    <w:rsid w:val="006C4FC4"/>
    <w:rsid w:val="006D4EE0"/>
    <w:rsid w:val="006E5C59"/>
    <w:rsid w:val="00705D66"/>
    <w:rsid w:val="00731B44"/>
    <w:rsid w:val="007661AA"/>
    <w:rsid w:val="00772864"/>
    <w:rsid w:val="00781C31"/>
    <w:rsid w:val="007E4A2D"/>
    <w:rsid w:val="00804746"/>
    <w:rsid w:val="008362CE"/>
    <w:rsid w:val="00842DC8"/>
    <w:rsid w:val="0085386B"/>
    <w:rsid w:val="00856F1C"/>
    <w:rsid w:val="00865536"/>
    <w:rsid w:val="00867079"/>
    <w:rsid w:val="00873B7C"/>
    <w:rsid w:val="00881216"/>
    <w:rsid w:val="00882EF1"/>
    <w:rsid w:val="008907F3"/>
    <w:rsid w:val="008A0982"/>
    <w:rsid w:val="008C1512"/>
    <w:rsid w:val="008C2C4C"/>
    <w:rsid w:val="009142B1"/>
    <w:rsid w:val="00952205"/>
    <w:rsid w:val="0096070E"/>
    <w:rsid w:val="00975B05"/>
    <w:rsid w:val="00977FC3"/>
    <w:rsid w:val="0098506E"/>
    <w:rsid w:val="009A4A64"/>
    <w:rsid w:val="009B057B"/>
    <w:rsid w:val="009C2DF0"/>
    <w:rsid w:val="009D0B4B"/>
    <w:rsid w:val="009D24E7"/>
    <w:rsid w:val="009D2BC4"/>
    <w:rsid w:val="009E2789"/>
    <w:rsid w:val="009F58F1"/>
    <w:rsid w:val="00A15696"/>
    <w:rsid w:val="00A22A2F"/>
    <w:rsid w:val="00A36685"/>
    <w:rsid w:val="00A41C5A"/>
    <w:rsid w:val="00A5530A"/>
    <w:rsid w:val="00A55F4C"/>
    <w:rsid w:val="00A57627"/>
    <w:rsid w:val="00A7098D"/>
    <w:rsid w:val="00A7595D"/>
    <w:rsid w:val="00A81F6A"/>
    <w:rsid w:val="00A931E4"/>
    <w:rsid w:val="00AC4245"/>
    <w:rsid w:val="00AE206A"/>
    <w:rsid w:val="00B0499F"/>
    <w:rsid w:val="00B3143F"/>
    <w:rsid w:val="00B5776D"/>
    <w:rsid w:val="00B81D63"/>
    <w:rsid w:val="00B910A3"/>
    <w:rsid w:val="00BA33DF"/>
    <w:rsid w:val="00BC278C"/>
    <w:rsid w:val="00BC6682"/>
    <w:rsid w:val="00C01A42"/>
    <w:rsid w:val="00C34121"/>
    <w:rsid w:val="00C3629D"/>
    <w:rsid w:val="00C55F30"/>
    <w:rsid w:val="00C73AE1"/>
    <w:rsid w:val="00C95009"/>
    <w:rsid w:val="00CA40DB"/>
    <w:rsid w:val="00CA5CA5"/>
    <w:rsid w:val="00CC1E7F"/>
    <w:rsid w:val="00CD5BC9"/>
    <w:rsid w:val="00CD660D"/>
    <w:rsid w:val="00CF1C27"/>
    <w:rsid w:val="00CF281A"/>
    <w:rsid w:val="00CF2FCC"/>
    <w:rsid w:val="00D10714"/>
    <w:rsid w:val="00D23CF9"/>
    <w:rsid w:val="00D25BCE"/>
    <w:rsid w:val="00D33DBD"/>
    <w:rsid w:val="00D43672"/>
    <w:rsid w:val="00D65553"/>
    <w:rsid w:val="00DA1471"/>
    <w:rsid w:val="00DA163F"/>
    <w:rsid w:val="00DB208F"/>
    <w:rsid w:val="00DD1989"/>
    <w:rsid w:val="00DE5F69"/>
    <w:rsid w:val="00DF3806"/>
    <w:rsid w:val="00DF612E"/>
    <w:rsid w:val="00E135CB"/>
    <w:rsid w:val="00E3413A"/>
    <w:rsid w:val="00E707EA"/>
    <w:rsid w:val="00E73DAC"/>
    <w:rsid w:val="00E77760"/>
    <w:rsid w:val="00E83E80"/>
    <w:rsid w:val="00E906FB"/>
    <w:rsid w:val="00E90BF2"/>
    <w:rsid w:val="00E95EF6"/>
    <w:rsid w:val="00EB3D99"/>
    <w:rsid w:val="00ED59E0"/>
    <w:rsid w:val="00EE4A66"/>
    <w:rsid w:val="00EF017C"/>
    <w:rsid w:val="00EF47A5"/>
    <w:rsid w:val="00F37EA0"/>
    <w:rsid w:val="00F442E7"/>
    <w:rsid w:val="00F75FA3"/>
    <w:rsid w:val="00FC79F8"/>
    <w:rsid w:val="00FD642C"/>
    <w:rsid w:val="00FD66EB"/>
    <w:rsid w:val="00FF1B01"/>
    <w:rsid w:val="00F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F22E9D"/>
  <w15:docId w15:val="{518A784A-66DF-4786-95A7-CC0D1D1B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1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A147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DA1471"/>
  </w:style>
  <w:style w:type="character" w:styleId="CommentReference">
    <w:name w:val="annotation reference"/>
    <w:rsid w:val="00DA14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14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147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906F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4E8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4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0BF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59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9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4A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A66"/>
  </w:style>
  <w:style w:type="paragraph" w:customStyle="1" w:styleId="tv213">
    <w:name w:val="tv213"/>
    <w:basedOn w:val="Normal"/>
    <w:rsid w:val="00AC4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azu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C502-30E2-4A33-805B-C4F4F895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3945</Words>
  <Characters>2250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Gotharde</dc:creator>
  <cp:keywords/>
  <dc:description/>
  <cp:lastModifiedBy>Jevgēnija Sviridenkova</cp:lastModifiedBy>
  <cp:revision>2</cp:revision>
  <dcterms:created xsi:type="dcterms:W3CDTF">2023-09-22T08:54:00Z</dcterms:created>
  <dcterms:modified xsi:type="dcterms:W3CDTF">2023-09-22T08:54:00Z</dcterms:modified>
</cp:coreProperties>
</file>