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7C49F" w14:textId="77777777" w:rsidR="006E65FD" w:rsidRDefault="006E65FD" w:rsidP="006E65FD">
      <w:pPr>
        <w:autoSpaceDE w:val="0"/>
        <w:autoSpaceDN w:val="0"/>
        <w:adjustRightInd w:val="0"/>
        <w:spacing w:after="0"/>
        <w:ind w:left="5385" w:firstLine="279"/>
        <w:jc w:val="right"/>
        <w:rPr>
          <w:b/>
          <w:bCs/>
        </w:rPr>
      </w:pPr>
    </w:p>
    <w:p w14:paraId="109ED025" w14:textId="77777777" w:rsidR="006E65FD" w:rsidRDefault="006E65FD" w:rsidP="006E65FD">
      <w:pPr>
        <w:autoSpaceDE w:val="0"/>
        <w:autoSpaceDN w:val="0"/>
        <w:adjustRightInd w:val="0"/>
        <w:spacing w:after="0"/>
        <w:ind w:left="5385" w:firstLine="279"/>
        <w:jc w:val="right"/>
        <w:rPr>
          <w:b/>
          <w:bCs/>
        </w:rPr>
      </w:pPr>
    </w:p>
    <w:p w14:paraId="37A3E0C0" w14:textId="77777777" w:rsidR="006E65FD" w:rsidRDefault="006E65FD" w:rsidP="006E65FD">
      <w:pPr>
        <w:autoSpaceDE w:val="0"/>
        <w:autoSpaceDN w:val="0"/>
        <w:adjustRightInd w:val="0"/>
        <w:spacing w:after="0"/>
        <w:ind w:left="5385" w:firstLine="279"/>
        <w:jc w:val="right"/>
        <w:rPr>
          <w:b/>
          <w:bCs/>
        </w:rPr>
      </w:pPr>
    </w:p>
    <w:p w14:paraId="24F20044" w14:textId="77777777" w:rsidR="006E65FD" w:rsidRDefault="006E65FD" w:rsidP="006E65FD">
      <w:pPr>
        <w:autoSpaceDE w:val="0"/>
        <w:autoSpaceDN w:val="0"/>
        <w:adjustRightInd w:val="0"/>
        <w:spacing w:after="0"/>
        <w:ind w:left="5385" w:firstLine="279"/>
        <w:jc w:val="right"/>
        <w:rPr>
          <w:b/>
          <w:bCs/>
        </w:rPr>
      </w:pPr>
    </w:p>
    <w:p w14:paraId="7300F45C" w14:textId="77777777" w:rsidR="006E65FD" w:rsidRDefault="006E65FD" w:rsidP="006E65FD">
      <w:pPr>
        <w:autoSpaceDE w:val="0"/>
        <w:autoSpaceDN w:val="0"/>
        <w:adjustRightInd w:val="0"/>
        <w:spacing w:after="0"/>
        <w:ind w:left="5385" w:firstLine="279"/>
        <w:jc w:val="right"/>
        <w:rPr>
          <w:b/>
          <w:bCs/>
        </w:rPr>
      </w:pPr>
    </w:p>
    <w:p w14:paraId="06AB6E74" w14:textId="77777777" w:rsidR="006E65FD" w:rsidRPr="00060B1A" w:rsidRDefault="006E65FD" w:rsidP="006E65FD">
      <w:pPr>
        <w:autoSpaceDE w:val="0"/>
        <w:autoSpaceDN w:val="0"/>
        <w:adjustRightInd w:val="0"/>
        <w:spacing w:after="0"/>
        <w:ind w:left="5385" w:firstLine="279"/>
        <w:jc w:val="right"/>
        <w:rPr>
          <w:b/>
          <w:bCs/>
        </w:rPr>
      </w:pPr>
      <w:r>
        <w:rPr>
          <w:b/>
          <w:bCs/>
        </w:rPr>
        <w:t>APSTIPRINĀTS</w:t>
      </w:r>
      <w:r w:rsidRPr="00060B1A">
        <w:rPr>
          <w:b/>
          <w:bCs/>
        </w:rPr>
        <w:t xml:space="preserve">  </w:t>
      </w:r>
    </w:p>
    <w:p w14:paraId="79B90385" w14:textId="77777777" w:rsidR="006E65FD" w:rsidRPr="00060B1A" w:rsidRDefault="006E65FD" w:rsidP="006E65FD">
      <w:pPr>
        <w:autoSpaceDE w:val="0"/>
        <w:autoSpaceDN w:val="0"/>
        <w:adjustRightInd w:val="0"/>
        <w:spacing w:after="0"/>
        <w:ind w:left="4956" w:firstLine="708"/>
        <w:jc w:val="right"/>
        <w:rPr>
          <w:bCs/>
        </w:rPr>
      </w:pPr>
      <w:r w:rsidRPr="00060B1A">
        <w:rPr>
          <w:bCs/>
        </w:rPr>
        <w:t xml:space="preserve">ar Ādažu novada domes </w:t>
      </w:r>
    </w:p>
    <w:p w14:paraId="49C90C0A" w14:textId="77777777" w:rsidR="006E65FD" w:rsidRPr="00060B1A" w:rsidRDefault="006E65FD" w:rsidP="006E65FD">
      <w:pPr>
        <w:autoSpaceDE w:val="0"/>
        <w:autoSpaceDN w:val="0"/>
        <w:adjustRightInd w:val="0"/>
        <w:spacing w:after="0"/>
        <w:ind w:left="4956" w:firstLine="708"/>
        <w:jc w:val="right"/>
        <w:rPr>
          <w:bCs/>
        </w:rPr>
      </w:pPr>
      <w:r>
        <w:rPr>
          <w:bCs/>
        </w:rPr>
        <w:t xml:space="preserve">  22.08.2017</w:t>
      </w:r>
      <w:r w:rsidRPr="00060B1A">
        <w:rPr>
          <w:bCs/>
        </w:rPr>
        <w:t xml:space="preserve">. sēdes lēmumu </w:t>
      </w:r>
    </w:p>
    <w:p w14:paraId="40DFA5E3" w14:textId="77777777" w:rsidR="006E65FD" w:rsidRPr="00060B1A" w:rsidRDefault="006E65FD" w:rsidP="006E65FD">
      <w:pPr>
        <w:autoSpaceDE w:val="0"/>
        <w:autoSpaceDN w:val="0"/>
        <w:adjustRightInd w:val="0"/>
        <w:spacing w:after="0"/>
        <w:ind w:left="4956" w:firstLine="708"/>
        <w:jc w:val="right"/>
        <w:rPr>
          <w:bCs/>
        </w:rPr>
      </w:pPr>
      <w:r w:rsidRPr="00060B1A">
        <w:rPr>
          <w:bCs/>
        </w:rPr>
        <w:t xml:space="preserve">     (</w:t>
      </w:r>
      <w:smartTag w:uri="schemas-tilde-lv/tildestengine" w:element="veidnes">
        <w:smartTagPr>
          <w:attr w:name="text" w:val="protokols"/>
          <w:attr w:name="id" w:val="-1"/>
          <w:attr w:name="baseform" w:val="protokols"/>
        </w:smartTagPr>
        <w:r w:rsidRPr="00060B1A">
          <w:rPr>
            <w:bCs/>
          </w:rPr>
          <w:t>protokols</w:t>
        </w:r>
      </w:smartTag>
      <w:r>
        <w:rPr>
          <w:bCs/>
        </w:rPr>
        <w:t xml:space="preserve"> Nr.14</w:t>
      </w:r>
      <w:r w:rsidRPr="00060B1A">
        <w:rPr>
          <w:bCs/>
        </w:rPr>
        <w:t xml:space="preserve"> </w:t>
      </w:r>
      <w:r>
        <w:t>§ 16</w:t>
      </w:r>
      <w:bookmarkStart w:id="0" w:name="_GoBack"/>
      <w:bookmarkEnd w:id="0"/>
      <w:r w:rsidRPr="00060B1A">
        <w:rPr>
          <w:bCs/>
        </w:rPr>
        <w:t xml:space="preserve">) </w:t>
      </w:r>
    </w:p>
    <w:p w14:paraId="5EEBCF87" w14:textId="77777777" w:rsidR="006E65FD" w:rsidRDefault="006E65FD" w:rsidP="006E65FD">
      <w:pPr>
        <w:spacing w:after="0"/>
        <w:rPr>
          <w:szCs w:val="28"/>
        </w:rPr>
      </w:pPr>
    </w:p>
    <w:p w14:paraId="1785549F" w14:textId="77777777" w:rsidR="006E65FD" w:rsidRPr="00F34F73" w:rsidRDefault="006E65FD" w:rsidP="006E65FD">
      <w:pPr>
        <w:spacing w:after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NOLIKUMS</w:t>
      </w:r>
    </w:p>
    <w:p w14:paraId="710C24C9" w14:textId="77777777" w:rsidR="006E65FD" w:rsidRPr="00F34F73" w:rsidRDefault="006E65FD" w:rsidP="006E65FD">
      <w:pPr>
        <w:spacing w:after="0"/>
        <w:jc w:val="center"/>
        <w:rPr>
          <w:bCs/>
        </w:rPr>
      </w:pPr>
      <w:r w:rsidRPr="00F34F73">
        <w:rPr>
          <w:bCs/>
        </w:rPr>
        <w:t>Ādažos, Ādažu novadā</w:t>
      </w:r>
    </w:p>
    <w:p w14:paraId="79EC28BB" w14:textId="77777777" w:rsidR="006E65FD" w:rsidRPr="00F34F73" w:rsidRDefault="006E65FD" w:rsidP="006E65FD">
      <w:pPr>
        <w:pStyle w:val="NoSpacing1"/>
        <w:tabs>
          <w:tab w:val="left" w:pos="8080"/>
        </w:tabs>
        <w:rPr>
          <w:bCs/>
          <w:szCs w:val="22"/>
        </w:rPr>
      </w:pPr>
    </w:p>
    <w:p w14:paraId="73E3758E" w14:textId="77777777" w:rsidR="006E65FD" w:rsidRPr="00145407" w:rsidRDefault="006E65FD" w:rsidP="006E65FD">
      <w:pPr>
        <w:pStyle w:val="NoSpacing1"/>
        <w:tabs>
          <w:tab w:val="left" w:pos="8080"/>
        </w:tabs>
        <w:rPr>
          <w:b/>
          <w:bCs/>
          <w:szCs w:val="22"/>
        </w:rPr>
      </w:pPr>
      <w:r>
        <w:rPr>
          <w:bCs/>
          <w:szCs w:val="22"/>
        </w:rPr>
        <w:t>2017.gada 22.augustā</w:t>
      </w:r>
      <w:r w:rsidRPr="00F34F73">
        <w:rPr>
          <w:bCs/>
          <w:szCs w:val="22"/>
        </w:rPr>
        <w:tab/>
      </w:r>
      <w:r>
        <w:rPr>
          <w:b/>
          <w:bCs/>
          <w:szCs w:val="22"/>
        </w:rPr>
        <w:t>Nr.9</w:t>
      </w:r>
    </w:p>
    <w:p w14:paraId="094AFB46" w14:textId="7821D0E1" w:rsidR="006E65FD" w:rsidRDefault="006E65FD" w:rsidP="001C5EE2">
      <w:pPr>
        <w:autoSpaceDE w:val="0"/>
        <w:autoSpaceDN w:val="0"/>
        <w:adjustRightInd w:val="0"/>
        <w:spacing w:after="0"/>
        <w:jc w:val="center"/>
        <w:rPr>
          <w:b/>
          <w:bCs/>
          <w:noProof w:val="0"/>
          <w:color w:val="000000"/>
        </w:rPr>
      </w:pPr>
    </w:p>
    <w:p w14:paraId="094AFB47" w14:textId="77777777" w:rsidR="00F37759" w:rsidRPr="001C11A8" w:rsidRDefault="006E65FD" w:rsidP="001C5EE2">
      <w:pPr>
        <w:autoSpaceDE w:val="0"/>
        <w:autoSpaceDN w:val="0"/>
        <w:adjustRightInd w:val="0"/>
        <w:spacing w:after="0"/>
        <w:jc w:val="center"/>
        <w:rPr>
          <w:b/>
          <w:bCs/>
          <w:noProof w:val="0"/>
          <w:color w:val="000000"/>
        </w:rPr>
      </w:pPr>
      <w:r w:rsidRPr="001C11A8">
        <w:rPr>
          <w:b/>
          <w:bCs/>
          <w:noProof w:val="0"/>
          <w:color w:val="000000"/>
        </w:rPr>
        <w:t>KONKURSA</w:t>
      </w:r>
    </w:p>
    <w:p w14:paraId="094AFB48" w14:textId="77777777" w:rsidR="00F37759" w:rsidRDefault="006E65FD" w:rsidP="001C5EE2">
      <w:pPr>
        <w:autoSpaceDE w:val="0"/>
        <w:autoSpaceDN w:val="0"/>
        <w:adjustRightInd w:val="0"/>
        <w:spacing w:after="0"/>
        <w:jc w:val="center"/>
        <w:rPr>
          <w:b/>
          <w:bCs/>
          <w:noProof w:val="0"/>
          <w:color w:val="000000"/>
        </w:rPr>
      </w:pPr>
      <w:r w:rsidRPr="001C11A8">
        <w:rPr>
          <w:b/>
          <w:bCs/>
          <w:noProof w:val="0"/>
          <w:color w:val="000000"/>
        </w:rPr>
        <w:t xml:space="preserve">„Par tiesībām </w:t>
      </w:r>
      <w:r w:rsidR="001C11A8">
        <w:rPr>
          <w:b/>
          <w:bCs/>
          <w:noProof w:val="0"/>
          <w:color w:val="000000"/>
        </w:rPr>
        <w:t>nomāt daļu no Ādažu novada pašvaldībai piederošā nekustamā īpašuma “Vējpriedes</w:t>
      </w:r>
      <w:r w:rsidR="004A2B62">
        <w:rPr>
          <w:b/>
          <w:bCs/>
          <w:noProof w:val="0"/>
          <w:color w:val="000000"/>
        </w:rPr>
        <w:t>”</w:t>
      </w:r>
      <w:r w:rsidR="001C11A8">
        <w:rPr>
          <w:b/>
          <w:bCs/>
          <w:noProof w:val="0"/>
          <w:color w:val="000000"/>
        </w:rPr>
        <w:t>, Ādaži, Ādažu novads, ar kadastra Nr. 8044</w:t>
      </w:r>
      <w:r w:rsidR="005F2E9A">
        <w:rPr>
          <w:b/>
          <w:bCs/>
          <w:noProof w:val="0"/>
          <w:color w:val="000000"/>
        </w:rPr>
        <w:t xml:space="preserve"> </w:t>
      </w:r>
      <w:r w:rsidR="001C11A8">
        <w:rPr>
          <w:b/>
          <w:bCs/>
          <w:noProof w:val="0"/>
          <w:color w:val="000000"/>
        </w:rPr>
        <w:t>008</w:t>
      </w:r>
      <w:r w:rsidR="005F2E9A">
        <w:rPr>
          <w:b/>
          <w:bCs/>
          <w:noProof w:val="0"/>
          <w:color w:val="000000"/>
        </w:rPr>
        <w:t xml:space="preserve"> </w:t>
      </w:r>
      <w:r w:rsidR="001C11A8">
        <w:rPr>
          <w:b/>
          <w:bCs/>
          <w:noProof w:val="0"/>
          <w:color w:val="000000"/>
        </w:rPr>
        <w:t>0203”</w:t>
      </w:r>
    </w:p>
    <w:p w14:paraId="094AFB49" w14:textId="77777777" w:rsidR="00F37759" w:rsidRDefault="006E65FD" w:rsidP="001C5EE2">
      <w:pPr>
        <w:autoSpaceDE w:val="0"/>
        <w:autoSpaceDN w:val="0"/>
        <w:adjustRightInd w:val="0"/>
        <w:spacing w:after="0"/>
        <w:jc w:val="center"/>
        <w:rPr>
          <w:b/>
          <w:bCs/>
          <w:noProof w:val="0"/>
          <w:color w:val="000000"/>
        </w:rPr>
      </w:pPr>
      <w:r w:rsidRPr="001C11A8">
        <w:rPr>
          <w:b/>
          <w:bCs/>
          <w:noProof w:val="0"/>
          <w:color w:val="000000"/>
        </w:rPr>
        <w:t>NOLIKUMS</w:t>
      </w:r>
    </w:p>
    <w:p w14:paraId="094AFB4A" w14:textId="77777777" w:rsidR="001C11A8" w:rsidRPr="001C11A8" w:rsidRDefault="001C11A8" w:rsidP="007516D1">
      <w:pPr>
        <w:autoSpaceDE w:val="0"/>
        <w:autoSpaceDN w:val="0"/>
        <w:adjustRightInd w:val="0"/>
        <w:spacing w:after="0"/>
        <w:rPr>
          <w:b/>
          <w:bCs/>
          <w:noProof w:val="0"/>
          <w:color w:val="000000"/>
        </w:rPr>
      </w:pPr>
    </w:p>
    <w:p w14:paraId="094AFB4B" w14:textId="77777777" w:rsidR="00F37F64" w:rsidRPr="001C5EE2" w:rsidRDefault="006E65FD" w:rsidP="001C5EE2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center"/>
        <w:rPr>
          <w:b/>
          <w:bCs/>
          <w:noProof w:val="0"/>
        </w:rPr>
      </w:pPr>
      <w:r w:rsidRPr="001C5EE2">
        <w:rPr>
          <w:b/>
          <w:bCs/>
          <w:noProof w:val="0"/>
        </w:rPr>
        <w:t>Vispārīgie noteikumi.</w:t>
      </w:r>
    </w:p>
    <w:p w14:paraId="094AFB4C" w14:textId="77777777" w:rsidR="008D3724" w:rsidRPr="001C5EE2" w:rsidRDefault="006E65FD" w:rsidP="00E81D8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/>
        <w:ind w:left="567" w:hanging="567"/>
        <w:rPr>
          <w:bCs/>
          <w:noProof w:val="0"/>
        </w:rPr>
      </w:pPr>
      <w:r w:rsidRPr="001C5EE2">
        <w:rPr>
          <w:b/>
          <w:bCs/>
          <w:noProof w:val="0"/>
        </w:rPr>
        <w:t xml:space="preserve">Informācija par konkursa </w:t>
      </w:r>
      <w:r w:rsidR="00131D5F">
        <w:rPr>
          <w:b/>
          <w:bCs/>
          <w:noProof w:val="0"/>
        </w:rPr>
        <w:t>rīkotāju</w:t>
      </w:r>
      <w:r w:rsidRPr="001C5EE2">
        <w:rPr>
          <w:noProof w:val="0"/>
        </w:rPr>
        <w:t>:</w:t>
      </w:r>
    </w:p>
    <w:p w14:paraId="094AFB4D" w14:textId="77777777" w:rsidR="008D3724" w:rsidRPr="001C5EE2" w:rsidRDefault="006E65FD" w:rsidP="00B52CEB">
      <w:pPr>
        <w:pStyle w:val="ListParagraph"/>
        <w:autoSpaceDE w:val="0"/>
        <w:autoSpaceDN w:val="0"/>
        <w:adjustRightInd w:val="0"/>
        <w:spacing w:before="120" w:after="0"/>
        <w:ind w:left="936" w:hanging="369"/>
        <w:contextualSpacing w:val="0"/>
        <w:rPr>
          <w:noProof w:val="0"/>
        </w:rPr>
      </w:pPr>
      <w:r w:rsidRPr="001C5EE2">
        <w:rPr>
          <w:noProof w:val="0"/>
        </w:rPr>
        <w:t>Ādažu novada dome,</w:t>
      </w:r>
    </w:p>
    <w:p w14:paraId="094AFB4E" w14:textId="77777777" w:rsidR="008D3724" w:rsidRPr="001C5EE2" w:rsidRDefault="006E65FD" w:rsidP="00B52CEB">
      <w:pPr>
        <w:pStyle w:val="ListParagraph"/>
        <w:autoSpaceDE w:val="0"/>
        <w:autoSpaceDN w:val="0"/>
        <w:adjustRightInd w:val="0"/>
        <w:spacing w:after="0"/>
        <w:ind w:left="938" w:hanging="371"/>
        <w:rPr>
          <w:noProof w:val="0"/>
        </w:rPr>
      </w:pPr>
      <w:r w:rsidRPr="001C5EE2">
        <w:rPr>
          <w:noProof w:val="0"/>
        </w:rPr>
        <w:t>N</w:t>
      </w:r>
      <w:r w:rsidR="00F37759" w:rsidRPr="001C5EE2">
        <w:rPr>
          <w:noProof w:val="0"/>
        </w:rPr>
        <w:t>odokļu maksātāja</w:t>
      </w:r>
      <w:r w:rsidR="001C11A8" w:rsidRPr="001C5EE2">
        <w:rPr>
          <w:noProof w:val="0"/>
        </w:rPr>
        <w:t xml:space="preserve"> reģistrācijas Nr.</w:t>
      </w:r>
      <w:r w:rsidRPr="001C5EE2">
        <w:rPr>
          <w:noProof w:val="0"/>
        </w:rPr>
        <w:t xml:space="preserve"> </w:t>
      </w:r>
      <w:r w:rsidR="001C11A8" w:rsidRPr="001C5EE2">
        <w:rPr>
          <w:noProof w:val="0"/>
        </w:rPr>
        <w:t>LV 90000</w:t>
      </w:r>
      <w:r w:rsidRPr="001C5EE2">
        <w:rPr>
          <w:noProof w:val="0"/>
        </w:rPr>
        <w:t>048472.</w:t>
      </w:r>
    </w:p>
    <w:p w14:paraId="094AFB4F" w14:textId="77777777" w:rsidR="008D3724" w:rsidRPr="001C5EE2" w:rsidRDefault="006E65FD" w:rsidP="00B52CEB">
      <w:pPr>
        <w:pStyle w:val="ListParagraph"/>
        <w:autoSpaceDE w:val="0"/>
        <w:autoSpaceDN w:val="0"/>
        <w:adjustRightInd w:val="0"/>
        <w:spacing w:after="0"/>
        <w:ind w:left="938" w:hanging="371"/>
        <w:rPr>
          <w:noProof w:val="0"/>
        </w:rPr>
      </w:pPr>
      <w:r w:rsidRPr="001C5EE2">
        <w:rPr>
          <w:noProof w:val="0"/>
        </w:rPr>
        <w:t>Adrese: Gaujas iela 33A, Ādaži, Ādažu novads, LV-2164.</w:t>
      </w:r>
    </w:p>
    <w:p w14:paraId="094AFB50" w14:textId="77777777" w:rsidR="00E8688D" w:rsidRPr="001C5EE2" w:rsidRDefault="006E65FD" w:rsidP="00B52CEB">
      <w:pPr>
        <w:pStyle w:val="ListParagraph"/>
        <w:autoSpaceDE w:val="0"/>
        <w:autoSpaceDN w:val="0"/>
        <w:adjustRightInd w:val="0"/>
        <w:spacing w:after="0"/>
        <w:ind w:left="567"/>
        <w:rPr>
          <w:bCs/>
          <w:noProof w:val="0"/>
        </w:rPr>
      </w:pPr>
      <w:r w:rsidRPr="001C5EE2">
        <w:rPr>
          <w:noProof w:val="0"/>
        </w:rPr>
        <w:t xml:space="preserve">Kontaktpersona – </w:t>
      </w:r>
      <w:r w:rsidR="00E25E48">
        <w:rPr>
          <w:noProof w:val="0"/>
        </w:rPr>
        <w:t xml:space="preserve">Saimniecības un infrastruktūras daļas vadītājs Artis Brūvers, t. 67996265, e-pasts </w:t>
      </w:r>
      <w:hyperlink r:id="rId8" w:history="1">
        <w:r w:rsidR="00E25E48" w:rsidRPr="00B63D60">
          <w:rPr>
            <w:rStyle w:val="Hyperlink"/>
            <w:noProof w:val="0"/>
          </w:rPr>
          <w:t>artis.bruvers@adazi.lv</w:t>
        </w:r>
      </w:hyperlink>
      <w:r w:rsidR="00E25E48">
        <w:rPr>
          <w:noProof w:val="0"/>
        </w:rPr>
        <w:t xml:space="preserve">.   </w:t>
      </w:r>
    </w:p>
    <w:p w14:paraId="094AFB51" w14:textId="77777777" w:rsidR="00E81D87" w:rsidRDefault="006E65FD" w:rsidP="004A2B6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bCs/>
          <w:noProof w:val="0"/>
        </w:rPr>
        <w:t>Konkurss „Par tiesībām nomāt daļu no Ādažu novada pašvaldībai piederošā nekustamā īpašuma “Vējpriedes</w:t>
      </w:r>
      <w:r w:rsidR="004A2B62">
        <w:rPr>
          <w:bCs/>
          <w:noProof w:val="0"/>
        </w:rPr>
        <w:t>”</w:t>
      </w:r>
      <w:r w:rsidRPr="001C5EE2">
        <w:rPr>
          <w:bCs/>
          <w:noProof w:val="0"/>
        </w:rPr>
        <w:t>, Ādaži</w:t>
      </w:r>
      <w:r w:rsidR="004A2B62">
        <w:rPr>
          <w:bCs/>
          <w:noProof w:val="0"/>
        </w:rPr>
        <w:t>, Ādažu novads, ar kadastra Nr.</w:t>
      </w:r>
      <w:r w:rsidRPr="001C5EE2">
        <w:rPr>
          <w:bCs/>
          <w:noProof w:val="0"/>
        </w:rPr>
        <w:t xml:space="preserve">80440080203” </w:t>
      </w:r>
      <w:r w:rsidR="00F37759" w:rsidRPr="001C5EE2">
        <w:rPr>
          <w:bCs/>
          <w:noProof w:val="0"/>
        </w:rPr>
        <w:t xml:space="preserve">(turpmāk – Konkurss) </w:t>
      </w:r>
      <w:r w:rsidR="00F37759" w:rsidRPr="001C5EE2">
        <w:rPr>
          <w:noProof w:val="0"/>
        </w:rPr>
        <w:t>tiek organizēts saskaņā ar</w:t>
      </w:r>
      <w:r w:rsidRPr="001C5EE2">
        <w:rPr>
          <w:noProof w:val="0"/>
        </w:rPr>
        <w:t xml:space="preserve"> Ādažu novada domes </w:t>
      </w:r>
      <w:r w:rsidR="004F76F9">
        <w:rPr>
          <w:noProof w:val="0"/>
        </w:rPr>
        <w:t>2017.gada 22.</w:t>
      </w:r>
      <w:r w:rsidR="00E25E48">
        <w:rPr>
          <w:noProof w:val="0"/>
        </w:rPr>
        <w:t>augusta</w:t>
      </w:r>
      <w:r w:rsidRPr="001C5EE2">
        <w:rPr>
          <w:noProof w:val="0"/>
        </w:rPr>
        <w:t xml:space="preserve"> lēmumu </w:t>
      </w:r>
      <w:r w:rsidR="00E25E48" w:rsidRPr="00E25E48">
        <w:rPr>
          <w:noProof w:val="0"/>
          <w:color w:val="FF0000"/>
        </w:rPr>
        <w:t>Nr.</w:t>
      </w:r>
      <w:r w:rsidR="00E25E48">
        <w:rPr>
          <w:noProof w:val="0"/>
        </w:rPr>
        <w:t xml:space="preserve"> </w:t>
      </w:r>
    </w:p>
    <w:p w14:paraId="094AFB52" w14:textId="77777777" w:rsidR="00E81D87" w:rsidRDefault="006E65FD" w:rsidP="00B52CE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E81D87">
        <w:rPr>
          <w:b/>
          <w:bCs/>
          <w:noProof w:val="0"/>
        </w:rPr>
        <w:t xml:space="preserve">Konkursa objekts </w:t>
      </w:r>
      <w:r w:rsidRPr="001C5EE2">
        <w:rPr>
          <w:noProof w:val="0"/>
        </w:rPr>
        <w:t xml:space="preserve">ir </w:t>
      </w:r>
      <w:r w:rsidR="00A85E2E" w:rsidRPr="001C5EE2">
        <w:rPr>
          <w:noProof w:val="0"/>
        </w:rPr>
        <w:t xml:space="preserve">daļa no pašvaldībai </w:t>
      </w:r>
      <w:r w:rsidR="005F2E9A" w:rsidRPr="001C5EE2">
        <w:rPr>
          <w:noProof w:val="0"/>
        </w:rPr>
        <w:t>piederošā nekustamā īpašuma “Vējpriedes”, Ādaži, Ādažu novads ar kadastra Nr.8044 008 0203</w:t>
      </w:r>
      <w:r w:rsidRPr="001C5EE2">
        <w:rPr>
          <w:noProof w:val="0"/>
        </w:rPr>
        <w:t xml:space="preserve"> (turpmāk – </w:t>
      </w:r>
      <w:r w:rsidR="009F3AA9">
        <w:rPr>
          <w:noProof w:val="0"/>
        </w:rPr>
        <w:t>Īpašums</w:t>
      </w:r>
      <w:r w:rsidRPr="001C5EE2">
        <w:rPr>
          <w:noProof w:val="0"/>
        </w:rPr>
        <w:t>).</w:t>
      </w:r>
      <w:r w:rsidR="00B973C6" w:rsidRPr="001C5EE2">
        <w:rPr>
          <w:noProof w:val="0"/>
        </w:rPr>
        <w:t xml:space="preserve"> </w:t>
      </w:r>
      <w:r w:rsidR="009F3AA9">
        <w:rPr>
          <w:noProof w:val="0"/>
        </w:rPr>
        <w:t>Īpašums</w:t>
      </w:r>
      <w:r w:rsidR="006363A7" w:rsidRPr="001C5EE2">
        <w:rPr>
          <w:noProof w:val="0"/>
        </w:rPr>
        <w:t xml:space="preserve"> reģistrēts Ādažu novada </w:t>
      </w:r>
      <w:r w:rsidRPr="001C5EE2">
        <w:rPr>
          <w:noProof w:val="0"/>
        </w:rPr>
        <w:t>zemesgrām</w:t>
      </w:r>
      <w:r w:rsidR="006363A7" w:rsidRPr="001C5EE2">
        <w:rPr>
          <w:noProof w:val="0"/>
        </w:rPr>
        <w:t>atas nodalījumā Nr. 1000 0024 1459</w:t>
      </w:r>
      <w:r w:rsidRPr="001C5EE2">
        <w:rPr>
          <w:noProof w:val="0"/>
        </w:rPr>
        <w:t>.</w:t>
      </w:r>
      <w:r w:rsidR="00B973C6" w:rsidRPr="001C5EE2">
        <w:rPr>
          <w:noProof w:val="0"/>
        </w:rPr>
        <w:t xml:space="preserve"> </w:t>
      </w:r>
      <w:r w:rsidRPr="001C5EE2">
        <w:rPr>
          <w:noProof w:val="0"/>
        </w:rPr>
        <w:t>Īpašuma kadas</w:t>
      </w:r>
      <w:r w:rsidR="006363A7" w:rsidRPr="001C5EE2">
        <w:rPr>
          <w:noProof w:val="0"/>
        </w:rPr>
        <w:t>trālā vērtība</w:t>
      </w:r>
      <w:r w:rsidR="008D3724" w:rsidRPr="001C5EE2">
        <w:rPr>
          <w:noProof w:val="0"/>
        </w:rPr>
        <w:t xml:space="preserve"> uz</w:t>
      </w:r>
      <w:r w:rsidR="006363A7" w:rsidRPr="001C5EE2">
        <w:rPr>
          <w:noProof w:val="0"/>
        </w:rPr>
        <w:t xml:space="preserve"> 01.01.2017. </w:t>
      </w:r>
      <w:r w:rsidR="008D3724" w:rsidRPr="001C5EE2">
        <w:rPr>
          <w:noProof w:val="0"/>
        </w:rPr>
        <w:t>–</w:t>
      </w:r>
      <w:r w:rsidR="006363A7" w:rsidRPr="001C5EE2">
        <w:rPr>
          <w:noProof w:val="0"/>
        </w:rPr>
        <w:t xml:space="preserve"> 87069</w:t>
      </w:r>
      <w:r w:rsidR="008D3724" w:rsidRPr="001C5EE2">
        <w:rPr>
          <w:noProof w:val="0"/>
        </w:rPr>
        <w:t>.00</w:t>
      </w:r>
      <w:r w:rsidRPr="001C5EE2">
        <w:rPr>
          <w:noProof w:val="0"/>
        </w:rPr>
        <w:t xml:space="preserve"> EUR.</w:t>
      </w:r>
      <w:r w:rsidR="008D3724" w:rsidRPr="001C5EE2">
        <w:rPr>
          <w:noProof w:val="0"/>
        </w:rPr>
        <w:t xml:space="preserve"> </w:t>
      </w:r>
      <w:r w:rsidR="006363A7" w:rsidRPr="001C5EE2">
        <w:rPr>
          <w:noProof w:val="0"/>
        </w:rPr>
        <w:t>Iznomāta tiek daļa no zemesgabala</w:t>
      </w:r>
      <w:r w:rsidR="008D3724" w:rsidRPr="001C5EE2">
        <w:rPr>
          <w:noProof w:val="0"/>
        </w:rPr>
        <w:t>,</w:t>
      </w:r>
      <w:r w:rsidR="006363A7" w:rsidRPr="001C5EE2">
        <w:rPr>
          <w:noProof w:val="0"/>
        </w:rPr>
        <w:t xml:space="preserve"> aptuveni 0,7</w:t>
      </w:r>
      <w:r w:rsidR="004F76F9">
        <w:rPr>
          <w:noProof w:val="0"/>
        </w:rPr>
        <w:t xml:space="preserve"> </w:t>
      </w:r>
      <w:r w:rsidR="006363A7" w:rsidRPr="001C5EE2">
        <w:rPr>
          <w:noProof w:val="0"/>
        </w:rPr>
        <w:t xml:space="preserve">ha platībā </w:t>
      </w:r>
      <w:r w:rsidR="009F3AA9">
        <w:rPr>
          <w:noProof w:val="0"/>
        </w:rPr>
        <w:t xml:space="preserve">(turpmāk – Zemesgabals)  </w:t>
      </w:r>
      <w:r w:rsidR="006363A7" w:rsidRPr="001C5EE2">
        <w:rPr>
          <w:noProof w:val="0"/>
        </w:rPr>
        <w:t xml:space="preserve">saskaņā ar </w:t>
      </w:r>
      <w:r w:rsidR="009F3AA9">
        <w:rPr>
          <w:noProof w:val="0"/>
        </w:rPr>
        <w:t>Konkursa n</w:t>
      </w:r>
      <w:r w:rsidR="006363A7" w:rsidRPr="001C5EE2">
        <w:rPr>
          <w:noProof w:val="0"/>
        </w:rPr>
        <w:t xml:space="preserve">olikuma </w:t>
      </w:r>
      <w:r w:rsidR="009F3AA9">
        <w:rPr>
          <w:noProof w:val="0"/>
        </w:rPr>
        <w:t xml:space="preserve">(turpmāk – Nolikums) </w:t>
      </w:r>
      <w:r w:rsidR="006363A7" w:rsidRPr="009E2245">
        <w:rPr>
          <w:noProof w:val="0"/>
        </w:rPr>
        <w:t>pielikumā Nr.1</w:t>
      </w:r>
      <w:r w:rsidR="006363A7" w:rsidRPr="001C5EE2">
        <w:rPr>
          <w:noProof w:val="0"/>
        </w:rPr>
        <w:t xml:space="preserve"> pievienoto shēmu. Zemesgabala platība var tik precizēta atbilstoši </w:t>
      </w:r>
      <w:r w:rsidR="009F3AA9">
        <w:rPr>
          <w:noProof w:val="0"/>
        </w:rPr>
        <w:t>Konkursa p</w:t>
      </w:r>
      <w:r w:rsidR="006363A7" w:rsidRPr="001C5EE2">
        <w:rPr>
          <w:noProof w:val="0"/>
        </w:rPr>
        <w:t>retendentu</w:t>
      </w:r>
      <w:r w:rsidR="009F3AA9">
        <w:rPr>
          <w:noProof w:val="0"/>
        </w:rPr>
        <w:t xml:space="preserve"> (turpmāk – Pretendents) </w:t>
      </w:r>
      <w:r w:rsidR="006363A7" w:rsidRPr="001C5EE2">
        <w:rPr>
          <w:noProof w:val="0"/>
        </w:rPr>
        <w:t>piedāvājumiem.</w:t>
      </w:r>
      <w:r w:rsidR="008D3724" w:rsidRPr="001C5EE2">
        <w:rPr>
          <w:noProof w:val="0"/>
        </w:rPr>
        <w:t xml:space="preserve"> </w:t>
      </w:r>
      <w:r w:rsidR="00C86D67" w:rsidRPr="001C5EE2">
        <w:rPr>
          <w:noProof w:val="0"/>
        </w:rPr>
        <w:t>Zemesgabala</w:t>
      </w:r>
      <w:r w:rsidRPr="001C5EE2">
        <w:rPr>
          <w:noProof w:val="0"/>
        </w:rPr>
        <w:t xml:space="preserve"> nomas maksa </w:t>
      </w:r>
      <w:r w:rsidR="005001A3">
        <w:rPr>
          <w:noProof w:val="0"/>
        </w:rPr>
        <w:t>nevar būt mazāka</w:t>
      </w:r>
      <w:r w:rsidR="004F76F9">
        <w:rPr>
          <w:noProof w:val="0"/>
        </w:rPr>
        <w:t>,</w:t>
      </w:r>
      <w:r w:rsidR="005001A3">
        <w:rPr>
          <w:noProof w:val="0"/>
        </w:rPr>
        <w:t xml:space="preserve"> kā </w:t>
      </w:r>
      <w:r w:rsidR="004F76F9">
        <w:rPr>
          <w:noProof w:val="0"/>
        </w:rPr>
        <w:t>tas noteikts</w:t>
      </w:r>
      <w:r w:rsidR="00C86D67" w:rsidRPr="001C5EE2">
        <w:rPr>
          <w:noProof w:val="0"/>
        </w:rPr>
        <w:t xml:space="preserve"> Ādažu novada domes</w:t>
      </w:r>
      <w:r w:rsidR="00A52574" w:rsidRPr="001C5EE2">
        <w:rPr>
          <w:noProof w:val="0"/>
        </w:rPr>
        <w:t xml:space="preserve"> </w:t>
      </w:r>
      <w:r w:rsidR="00C86D67" w:rsidRPr="001C5EE2">
        <w:rPr>
          <w:noProof w:val="0"/>
        </w:rPr>
        <w:t>25.10.2011</w:t>
      </w:r>
      <w:r w:rsidR="008D3724" w:rsidRPr="001C5EE2">
        <w:rPr>
          <w:noProof w:val="0"/>
        </w:rPr>
        <w:t>.</w:t>
      </w:r>
      <w:r w:rsidR="00C86D67" w:rsidRPr="001C5EE2">
        <w:rPr>
          <w:noProof w:val="0"/>
        </w:rPr>
        <w:t xml:space="preserve"> saistošaj</w:t>
      </w:r>
      <w:r w:rsidR="005001A3">
        <w:rPr>
          <w:noProof w:val="0"/>
        </w:rPr>
        <w:t xml:space="preserve">os </w:t>
      </w:r>
      <w:r w:rsidR="00C86D67" w:rsidRPr="001C5EE2">
        <w:rPr>
          <w:noProof w:val="0"/>
        </w:rPr>
        <w:t>noteikum</w:t>
      </w:r>
      <w:r w:rsidR="005001A3">
        <w:rPr>
          <w:noProof w:val="0"/>
        </w:rPr>
        <w:t>os</w:t>
      </w:r>
      <w:r w:rsidR="004F76F9">
        <w:rPr>
          <w:noProof w:val="0"/>
        </w:rPr>
        <w:t xml:space="preserve"> Nr.</w:t>
      </w:r>
      <w:r w:rsidR="00C86D67" w:rsidRPr="001C5EE2">
        <w:rPr>
          <w:noProof w:val="0"/>
        </w:rPr>
        <w:t>27 “Saistošie noteikumi par neapbūvētu Ādažu novada pašvaldībai piederošo vai piekrītošo zemesgabalu nomas maksas noteikšanas kārtību”.</w:t>
      </w:r>
    </w:p>
    <w:p w14:paraId="094AFB53" w14:textId="77777777" w:rsidR="00D325BA" w:rsidRDefault="006E65FD" w:rsidP="00D325B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b/>
          <w:bCs/>
          <w:noProof w:val="0"/>
        </w:rPr>
        <w:t>Konkursa mērķis</w:t>
      </w:r>
      <w:r w:rsidRPr="00D325BA">
        <w:rPr>
          <w:bCs/>
          <w:noProof w:val="0"/>
        </w:rPr>
        <w:t xml:space="preserve"> ir</w:t>
      </w:r>
      <w:r>
        <w:rPr>
          <w:b/>
          <w:bCs/>
          <w:noProof w:val="0"/>
        </w:rPr>
        <w:t xml:space="preserve"> </w:t>
      </w:r>
      <w:r w:rsidR="004F76F9">
        <w:rPr>
          <w:noProof w:val="0"/>
        </w:rPr>
        <w:t>n</w:t>
      </w:r>
      <w:r w:rsidR="00F37759" w:rsidRPr="001C5EE2">
        <w:rPr>
          <w:noProof w:val="0"/>
        </w:rPr>
        <w:t>oteikt vispiemērotāko piedāvājumu Zemesgabala apbūvei, labiekārtošanai un</w:t>
      </w:r>
      <w:r w:rsidR="008C6127" w:rsidRPr="001C5EE2">
        <w:rPr>
          <w:noProof w:val="0"/>
        </w:rPr>
        <w:t xml:space="preserve"> </w:t>
      </w:r>
      <w:r>
        <w:rPr>
          <w:noProof w:val="0"/>
        </w:rPr>
        <w:t>apsaimniekošanai.</w:t>
      </w:r>
    </w:p>
    <w:p w14:paraId="094AFB54" w14:textId="77777777" w:rsidR="0088206E" w:rsidRPr="001C5EE2" w:rsidRDefault="006E65FD" w:rsidP="00D325B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b/>
          <w:bCs/>
          <w:noProof w:val="0"/>
        </w:rPr>
        <w:t xml:space="preserve">Konkursa uzvarētājs </w:t>
      </w:r>
      <w:r w:rsidRPr="00D325BA">
        <w:rPr>
          <w:bCs/>
          <w:noProof w:val="0"/>
        </w:rPr>
        <w:t>būs</w:t>
      </w:r>
      <w:r>
        <w:rPr>
          <w:b/>
          <w:bCs/>
          <w:noProof w:val="0"/>
        </w:rPr>
        <w:t xml:space="preserve"> </w:t>
      </w:r>
      <w:r w:rsidR="009F3AA9">
        <w:rPr>
          <w:noProof w:val="0"/>
        </w:rPr>
        <w:t>P</w:t>
      </w:r>
      <w:r w:rsidR="00F37759" w:rsidRPr="001C5EE2">
        <w:rPr>
          <w:noProof w:val="0"/>
        </w:rPr>
        <w:t>retendents</w:t>
      </w:r>
      <w:r w:rsidR="009F3AA9">
        <w:rPr>
          <w:noProof w:val="0"/>
        </w:rPr>
        <w:t xml:space="preserve">, </w:t>
      </w:r>
      <w:r w:rsidR="00F37759" w:rsidRPr="001C5EE2">
        <w:rPr>
          <w:noProof w:val="0"/>
        </w:rPr>
        <w:t>kura piedāvājums saņems</w:t>
      </w:r>
      <w:r w:rsidR="008C6127" w:rsidRPr="001C5EE2">
        <w:rPr>
          <w:noProof w:val="0"/>
        </w:rPr>
        <w:t xml:space="preserve"> a</w:t>
      </w:r>
      <w:r w:rsidR="00F37759" w:rsidRPr="001C5EE2">
        <w:rPr>
          <w:noProof w:val="0"/>
        </w:rPr>
        <w:t>ugstāko</w:t>
      </w:r>
      <w:r w:rsidR="008C6127" w:rsidRPr="001C5EE2">
        <w:rPr>
          <w:noProof w:val="0"/>
        </w:rPr>
        <w:t xml:space="preserve"> novērtējuma</w:t>
      </w:r>
      <w:r w:rsidR="00F37759" w:rsidRPr="001C5EE2">
        <w:rPr>
          <w:noProof w:val="0"/>
        </w:rPr>
        <w:t xml:space="preserve"> punktu skaitu un atbildīs visām </w:t>
      </w:r>
      <w:r w:rsidR="00131D5F">
        <w:rPr>
          <w:noProof w:val="0"/>
        </w:rPr>
        <w:t>N</w:t>
      </w:r>
      <w:r w:rsidR="00F37759" w:rsidRPr="001C5EE2">
        <w:rPr>
          <w:noProof w:val="0"/>
        </w:rPr>
        <w:t>olikuma prasībām, iegūs tiesības nomāt</w:t>
      </w:r>
      <w:r w:rsidR="008C6127" w:rsidRPr="001C5EE2">
        <w:rPr>
          <w:noProof w:val="0"/>
        </w:rPr>
        <w:t xml:space="preserve"> Zemesgabal</w:t>
      </w:r>
      <w:r w:rsidR="00131D5F">
        <w:rPr>
          <w:noProof w:val="0"/>
        </w:rPr>
        <w:t>u</w:t>
      </w:r>
      <w:r w:rsidR="008C6127" w:rsidRPr="001C5EE2">
        <w:rPr>
          <w:noProof w:val="0"/>
        </w:rPr>
        <w:t xml:space="preserve"> </w:t>
      </w:r>
      <w:r w:rsidR="0066149C">
        <w:rPr>
          <w:noProof w:val="0"/>
        </w:rPr>
        <w:t xml:space="preserve">ar tiesībām </w:t>
      </w:r>
      <w:r w:rsidR="008C6127" w:rsidRPr="001C5EE2">
        <w:rPr>
          <w:noProof w:val="0"/>
        </w:rPr>
        <w:t>būvēt sporta un rekreā</w:t>
      </w:r>
      <w:r w:rsidR="00F755CC" w:rsidRPr="001C5EE2">
        <w:rPr>
          <w:noProof w:val="0"/>
        </w:rPr>
        <w:t>cijas objektu (turpmāk – Objekt</w:t>
      </w:r>
      <w:r w:rsidR="00A52574" w:rsidRPr="001C5EE2">
        <w:rPr>
          <w:noProof w:val="0"/>
        </w:rPr>
        <w:t>s</w:t>
      </w:r>
      <w:r w:rsidRPr="001C5EE2">
        <w:rPr>
          <w:noProof w:val="0"/>
        </w:rPr>
        <w:t>)</w:t>
      </w:r>
      <w:r w:rsidR="00A52574" w:rsidRPr="001C5EE2">
        <w:rPr>
          <w:noProof w:val="0"/>
        </w:rPr>
        <w:t xml:space="preserve"> atbilstoši savam piedāvājumam un šī Nolikuma prasībām.</w:t>
      </w:r>
    </w:p>
    <w:p w14:paraId="094AFB55" w14:textId="77777777" w:rsidR="00F37759" w:rsidRPr="001C5EE2" w:rsidRDefault="006E65FD" w:rsidP="00B52CE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b/>
          <w:bCs/>
          <w:noProof w:val="0"/>
        </w:rPr>
        <w:t>Termiņi</w:t>
      </w:r>
      <w:r w:rsidR="00F37F64" w:rsidRPr="001C5EE2">
        <w:rPr>
          <w:bCs/>
          <w:noProof w:val="0"/>
        </w:rPr>
        <w:t>.</w:t>
      </w:r>
    </w:p>
    <w:p w14:paraId="094AFB56" w14:textId="77777777" w:rsidR="00F37759" w:rsidRPr="001C5EE2" w:rsidRDefault="006E65FD" w:rsidP="00B52CEB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lastRenderedPageBreak/>
        <w:t xml:space="preserve">Objekta būvdarbi jāuzsāk ne vēlāk kā </w:t>
      </w:r>
      <w:r w:rsidRPr="00E25E48">
        <w:rPr>
          <w:noProof w:val="0"/>
        </w:rPr>
        <w:t>12</w:t>
      </w:r>
      <w:r w:rsidRPr="001C5EE2">
        <w:rPr>
          <w:noProof w:val="0"/>
        </w:rPr>
        <w:t xml:space="preserve"> mēnešu laikā no nomas līguma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noslēgšanas dienas;</w:t>
      </w:r>
    </w:p>
    <w:p w14:paraId="094AFB57" w14:textId="77777777" w:rsidR="00F37759" w:rsidRPr="001C5EE2" w:rsidRDefault="006E65FD" w:rsidP="00B52CEB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 xml:space="preserve">Objekts jānodod ekspluatācijā ne vēlāk </w:t>
      </w:r>
      <w:r w:rsidRPr="00E25E48">
        <w:rPr>
          <w:noProof w:val="0"/>
        </w:rPr>
        <w:t>kā 24</w:t>
      </w:r>
      <w:r w:rsidRPr="001C5EE2">
        <w:rPr>
          <w:noProof w:val="0"/>
        </w:rPr>
        <w:t xml:space="preserve"> mēnešu laikā no nomas līguma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 xml:space="preserve">noslēgšanas dienas. Ja Objekts netiek nodots </w:t>
      </w:r>
      <w:r w:rsidRPr="00E25E48">
        <w:rPr>
          <w:noProof w:val="0"/>
        </w:rPr>
        <w:t>ekspluatācijā 24 mēnešu</w:t>
      </w:r>
      <w:r w:rsidRPr="001C5EE2">
        <w:rPr>
          <w:noProof w:val="0"/>
        </w:rPr>
        <w:t xml:space="preserve"> laikā no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nomas līguma noslēgšanas dienas, nomas maksu palielina, piemērojot koeficientu</w:t>
      </w:r>
      <w:r w:rsidR="0055739C" w:rsidRPr="001C5EE2">
        <w:rPr>
          <w:noProof w:val="0"/>
        </w:rPr>
        <w:t xml:space="preserve"> </w:t>
      </w:r>
      <w:r w:rsidRPr="001C5EE2">
        <w:rPr>
          <w:noProof w:val="0"/>
        </w:rPr>
        <w:t>1,5 uz laiku līdz Objekta nodošanai ekspluatācijā;</w:t>
      </w:r>
    </w:p>
    <w:p w14:paraId="094AFB58" w14:textId="77777777" w:rsidR="00F37759" w:rsidRDefault="006E65FD" w:rsidP="00B52CEB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>
        <w:rPr>
          <w:noProof w:val="0"/>
        </w:rPr>
        <w:t>n</w:t>
      </w:r>
      <w:r w:rsidRPr="001C5EE2">
        <w:rPr>
          <w:noProof w:val="0"/>
        </w:rPr>
        <w:t>omas līguma termiņš ir 12 gadi, ar tiesībām līgumu pagarināt uz tādu pašu nākamo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termiņu, ja Pretendents izpildījis visas nomas līgumā noteiktās saistības</w:t>
      </w:r>
      <w:r w:rsidR="00E25E48">
        <w:rPr>
          <w:noProof w:val="0"/>
        </w:rPr>
        <w:t>;</w:t>
      </w:r>
    </w:p>
    <w:p w14:paraId="094AFB59" w14:textId="77777777" w:rsidR="00E25E48" w:rsidRDefault="006E65FD" w:rsidP="00B52CEB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>
        <w:rPr>
          <w:noProof w:val="0"/>
        </w:rPr>
        <w:t xml:space="preserve">nomas līgums vienpusēji tiek izbeigts pirms termiņa, ja </w:t>
      </w:r>
      <w:r w:rsidR="005F3C44">
        <w:rPr>
          <w:noProof w:val="0"/>
        </w:rPr>
        <w:t>Objekta b</w:t>
      </w:r>
      <w:r>
        <w:rPr>
          <w:noProof w:val="0"/>
        </w:rPr>
        <w:t>ūvdarbi nav uzsākti 1</w:t>
      </w:r>
      <w:r w:rsidR="00856A98">
        <w:rPr>
          <w:noProof w:val="0"/>
        </w:rPr>
        <w:t>6</w:t>
      </w:r>
      <w:r>
        <w:rPr>
          <w:noProof w:val="0"/>
        </w:rPr>
        <w:t xml:space="preserve"> mēnešu laikā no nomas līguma noslēgšanas</w:t>
      </w:r>
      <w:r w:rsidR="005F3C44">
        <w:rPr>
          <w:noProof w:val="0"/>
        </w:rPr>
        <w:t xml:space="preserve"> dienas</w:t>
      </w:r>
      <w:r>
        <w:rPr>
          <w:noProof w:val="0"/>
        </w:rPr>
        <w:t xml:space="preserve">; </w:t>
      </w:r>
    </w:p>
    <w:p w14:paraId="094AFB5A" w14:textId="77777777" w:rsidR="00E25E48" w:rsidRPr="001C5EE2" w:rsidRDefault="006E65FD" w:rsidP="00B52CEB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>
        <w:rPr>
          <w:noProof w:val="0"/>
        </w:rPr>
        <w:t>n</w:t>
      </w:r>
      <w:r w:rsidR="00864024">
        <w:rPr>
          <w:noProof w:val="0"/>
        </w:rPr>
        <w:t xml:space="preserve">omas līgums </w:t>
      </w:r>
      <w:r w:rsidRPr="00E25E48">
        <w:rPr>
          <w:noProof w:val="0"/>
        </w:rPr>
        <w:t xml:space="preserve">vienpusēji tiek izbeigts pirms termiņa, ja </w:t>
      </w:r>
      <w:r w:rsidR="005F3C44">
        <w:rPr>
          <w:noProof w:val="0"/>
        </w:rPr>
        <w:t xml:space="preserve">Objekts nav  nodots ekspluatācijā </w:t>
      </w:r>
      <w:r>
        <w:rPr>
          <w:noProof w:val="0"/>
        </w:rPr>
        <w:t xml:space="preserve"> </w:t>
      </w:r>
      <w:r w:rsidR="00FA3418">
        <w:rPr>
          <w:noProof w:val="0"/>
        </w:rPr>
        <w:t xml:space="preserve">36 </w:t>
      </w:r>
      <w:r w:rsidR="005F3C44">
        <w:rPr>
          <w:noProof w:val="0"/>
        </w:rPr>
        <w:t xml:space="preserve">mēneši laikā no nomas līguma noslēgšanas dienas.   </w:t>
      </w:r>
      <w:r>
        <w:rPr>
          <w:noProof w:val="0"/>
        </w:rPr>
        <w:t xml:space="preserve"> </w:t>
      </w:r>
    </w:p>
    <w:p w14:paraId="094AFB5B" w14:textId="77777777" w:rsidR="00F37F64" w:rsidRPr="001C5EE2" w:rsidRDefault="006E65FD" w:rsidP="004D747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 xml:space="preserve">Konkursu organizē Ādažu novada domes </w:t>
      </w:r>
      <w:r w:rsidR="005379FE">
        <w:rPr>
          <w:noProof w:val="0"/>
        </w:rPr>
        <w:t xml:space="preserve">iznomāšanas un atsavināšanas </w:t>
      </w:r>
      <w:r w:rsidR="00F37759" w:rsidRPr="005379FE">
        <w:rPr>
          <w:noProof w:val="0"/>
        </w:rPr>
        <w:t>komisija</w:t>
      </w:r>
      <w:r w:rsidR="00F37759" w:rsidRPr="001C5EE2">
        <w:rPr>
          <w:noProof w:val="0"/>
        </w:rPr>
        <w:t xml:space="preserve"> (turpmāk – Komisija), ievērojot šos noteikumus. Komisija atbild par</w:t>
      </w:r>
      <w:r w:rsidRPr="001C5EE2">
        <w:rPr>
          <w:noProof w:val="0"/>
        </w:rPr>
        <w:t xml:space="preserve"> </w:t>
      </w:r>
      <w:r w:rsidR="00F37759" w:rsidRPr="001C5EE2">
        <w:rPr>
          <w:noProof w:val="0"/>
        </w:rPr>
        <w:t>Konkursa norisi un ar to saistīto lēmumu pieņemšanu.</w:t>
      </w:r>
      <w:r w:rsidRPr="001C5EE2">
        <w:rPr>
          <w:noProof w:val="0"/>
        </w:rPr>
        <w:t xml:space="preserve"> </w:t>
      </w:r>
    </w:p>
    <w:p w14:paraId="094AFB5C" w14:textId="77777777" w:rsidR="00F37F64" w:rsidRPr="001C5EE2" w:rsidRDefault="006E65FD" w:rsidP="008640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284" w:hanging="284"/>
        <w:contextualSpacing w:val="0"/>
        <w:jc w:val="center"/>
        <w:rPr>
          <w:noProof w:val="0"/>
        </w:rPr>
      </w:pPr>
      <w:r w:rsidRPr="001C5EE2">
        <w:rPr>
          <w:b/>
          <w:bCs/>
          <w:noProof w:val="0"/>
        </w:rPr>
        <w:t>Konkursa pre</w:t>
      </w:r>
      <w:r w:rsidR="001C5EE2">
        <w:rPr>
          <w:b/>
          <w:bCs/>
          <w:noProof w:val="0"/>
        </w:rPr>
        <w:t>tendenta dokumentu noformējums,</w:t>
      </w:r>
      <w:r w:rsidR="00E81D87">
        <w:rPr>
          <w:b/>
          <w:bCs/>
          <w:noProof w:val="0"/>
        </w:rPr>
        <w:t xml:space="preserve"> </w:t>
      </w:r>
      <w:r w:rsidRPr="00E81D87">
        <w:rPr>
          <w:b/>
          <w:bCs/>
          <w:noProof w:val="0"/>
        </w:rPr>
        <w:t>reģistrācijas kārtība un laiks.</w:t>
      </w:r>
    </w:p>
    <w:p w14:paraId="094AFB5D" w14:textId="77777777" w:rsidR="001C5EE2" w:rsidRDefault="006E65FD" w:rsidP="0086402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Pretendents Konkursa reģistrācijas dokumentus 1 (vienā) eksemplārā ievieto aizvērtā un</w:t>
      </w:r>
      <w:r w:rsidR="00A2617B" w:rsidRPr="001C5EE2">
        <w:rPr>
          <w:noProof w:val="0"/>
        </w:rPr>
        <w:t xml:space="preserve"> </w:t>
      </w:r>
      <w:r w:rsidRPr="001C5EE2">
        <w:rPr>
          <w:noProof w:val="0"/>
        </w:rPr>
        <w:t>aizzīmogotā aploksnē, uz kuras norāda:</w:t>
      </w:r>
    </w:p>
    <w:p w14:paraId="094AFB5E" w14:textId="77777777" w:rsidR="00F37F64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Konkursa Pretendenta nosaukumu, reģistrācijas numuru un juridisko adresi</w:t>
      </w:r>
      <w:r w:rsidR="00A2617B" w:rsidRPr="001C5EE2">
        <w:rPr>
          <w:noProof w:val="0"/>
        </w:rPr>
        <w:t xml:space="preserve"> </w:t>
      </w:r>
      <w:r w:rsidRPr="001C5EE2">
        <w:rPr>
          <w:noProof w:val="0"/>
        </w:rPr>
        <w:t>(juridiskai personai) vai Pretendenta vārdu, uzvārdu, personas kodu, deklarētās</w:t>
      </w:r>
      <w:r w:rsidR="00A2617B" w:rsidRPr="001C5EE2">
        <w:rPr>
          <w:noProof w:val="0"/>
        </w:rPr>
        <w:t xml:space="preserve"> </w:t>
      </w:r>
      <w:r w:rsidRPr="001C5EE2">
        <w:rPr>
          <w:noProof w:val="0"/>
        </w:rPr>
        <w:t>dzīvesvietas adresi (fiziskai personai);</w:t>
      </w:r>
    </w:p>
    <w:p w14:paraId="094AFB5F" w14:textId="77777777" w:rsidR="006A3A9C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 xml:space="preserve">norādi: „Konkursam „Par tiesībām nomāt </w:t>
      </w:r>
      <w:r w:rsidR="0037064E" w:rsidRPr="001C5EE2">
        <w:rPr>
          <w:noProof w:val="0"/>
        </w:rPr>
        <w:t>daļu no Ādažu novada pašvaldībai piederošā nekustamā īpašuma “Vējpriedes”, Ādaži, Ādažu novads ar kadastra Nr.8044 008 0203</w:t>
      </w:r>
      <w:r w:rsidR="00A2617B" w:rsidRPr="001C5EE2">
        <w:rPr>
          <w:noProof w:val="0"/>
        </w:rPr>
        <w:t>.</w:t>
      </w:r>
      <w:r w:rsidRPr="001C5EE2">
        <w:rPr>
          <w:noProof w:val="0"/>
        </w:rPr>
        <w:t xml:space="preserve"> Nea</w:t>
      </w:r>
      <w:r w:rsidR="0037064E" w:rsidRPr="001C5EE2">
        <w:rPr>
          <w:noProof w:val="0"/>
        </w:rPr>
        <w:t xml:space="preserve">tvērt līdz 2017.gada </w:t>
      </w:r>
      <w:r w:rsidR="005F3C44" w:rsidRPr="006E65FD">
        <w:rPr>
          <w:noProof w:val="0"/>
        </w:rPr>
        <w:t>24.oktobra plkst. 10.00.</w:t>
      </w:r>
      <w:r w:rsidR="0037064E" w:rsidRPr="001C5EE2">
        <w:rPr>
          <w:noProof w:val="0"/>
          <w:highlight w:val="yellow"/>
        </w:rPr>
        <w:t xml:space="preserve"> </w:t>
      </w:r>
    </w:p>
    <w:p w14:paraId="094AFB60" w14:textId="77777777" w:rsidR="006A3A9C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Pretendentu piedāvājumu reģistrācija Konkursam notiek katru darba dienu darba laikā līdz</w:t>
      </w:r>
      <w:r w:rsidR="00A25AED" w:rsidRPr="001C5EE2">
        <w:rPr>
          <w:noProof w:val="0"/>
        </w:rPr>
        <w:t xml:space="preserve"> </w:t>
      </w:r>
      <w:r w:rsidRPr="006E65FD">
        <w:rPr>
          <w:b/>
          <w:bCs/>
          <w:noProof w:val="0"/>
        </w:rPr>
        <w:t>201</w:t>
      </w:r>
      <w:r w:rsidR="00A25AED" w:rsidRPr="006E65FD">
        <w:rPr>
          <w:b/>
          <w:bCs/>
          <w:noProof w:val="0"/>
        </w:rPr>
        <w:t xml:space="preserve">7.gada </w:t>
      </w:r>
      <w:r w:rsidR="005F3C44" w:rsidRPr="006E65FD">
        <w:rPr>
          <w:b/>
          <w:bCs/>
          <w:noProof w:val="0"/>
        </w:rPr>
        <w:t xml:space="preserve">16. oktobrim </w:t>
      </w:r>
      <w:r w:rsidR="00842C06" w:rsidRPr="001C5EE2">
        <w:rPr>
          <w:noProof w:val="0"/>
        </w:rPr>
        <w:t xml:space="preserve">nogādājot piedāvājumus </w:t>
      </w:r>
      <w:r w:rsidR="00A25AED" w:rsidRPr="001C5EE2">
        <w:rPr>
          <w:bCs/>
          <w:noProof w:val="0"/>
        </w:rPr>
        <w:t>Ādažu novada domes Klientu apkalpošanas centrā</w:t>
      </w:r>
      <w:r w:rsidR="00A2617B" w:rsidRPr="001C5EE2">
        <w:rPr>
          <w:bCs/>
          <w:noProof w:val="0"/>
        </w:rPr>
        <w:t xml:space="preserve"> </w:t>
      </w:r>
      <w:r w:rsidRPr="001C5EE2">
        <w:rPr>
          <w:noProof w:val="0"/>
        </w:rPr>
        <w:t>personīgi, pa</w:t>
      </w:r>
      <w:r w:rsidR="00A25AED" w:rsidRPr="001C5EE2">
        <w:rPr>
          <w:noProof w:val="0"/>
        </w:rPr>
        <w:t xml:space="preserve"> </w:t>
      </w:r>
      <w:r w:rsidRPr="001C5EE2">
        <w:rPr>
          <w:noProof w:val="0"/>
        </w:rPr>
        <w:t>pastu vai ar kurjeru. Apmeklētāju pieņemšanas centra darba laiks – pirmdienās no</w:t>
      </w:r>
      <w:r w:rsidR="0003235C" w:rsidRPr="001C5EE2">
        <w:rPr>
          <w:noProof w:val="0"/>
        </w:rPr>
        <w:t xml:space="preserve"> 8.00 līdz 18.00</w:t>
      </w:r>
      <w:r w:rsidRPr="001C5EE2">
        <w:rPr>
          <w:noProof w:val="0"/>
        </w:rPr>
        <w:t>, otrdienās,</w:t>
      </w:r>
      <w:r w:rsidR="0003235C" w:rsidRPr="001C5EE2">
        <w:rPr>
          <w:noProof w:val="0"/>
        </w:rPr>
        <w:t xml:space="preserve"> trešdienās, </w:t>
      </w:r>
      <w:r w:rsidRPr="001C5EE2">
        <w:rPr>
          <w:noProof w:val="0"/>
        </w:rPr>
        <w:t>ceturtdienās no 8.00 līdz 17.00, piektdienās no 8.00 līdz</w:t>
      </w:r>
      <w:r w:rsidR="0003235C" w:rsidRPr="001C5EE2">
        <w:rPr>
          <w:noProof w:val="0"/>
        </w:rPr>
        <w:t xml:space="preserve"> 14.00.</w:t>
      </w:r>
    </w:p>
    <w:p w14:paraId="094AFB61" w14:textId="77777777" w:rsidR="006A3A9C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noProof w:val="0"/>
        </w:rPr>
        <w:t>S</w:t>
      </w:r>
      <w:r w:rsidR="00F37759" w:rsidRPr="001C5EE2">
        <w:rPr>
          <w:noProof w:val="0"/>
        </w:rPr>
        <w:t xml:space="preserve">aņemot Pretendenta piedāvājumu, </w:t>
      </w:r>
      <w:r>
        <w:rPr>
          <w:noProof w:val="0"/>
        </w:rPr>
        <w:t>K</w:t>
      </w:r>
      <w:r w:rsidR="0003235C" w:rsidRPr="001C5EE2">
        <w:rPr>
          <w:noProof w:val="0"/>
        </w:rPr>
        <w:t xml:space="preserve">lientu apkalpošanas centra darbinieks </w:t>
      </w:r>
      <w:r w:rsidR="00F37759" w:rsidRPr="001C5EE2">
        <w:rPr>
          <w:noProof w:val="0"/>
        </w:rPr>
        <w:t>reģistrē to Konkursa</w:t>
      </w:r>
      <w:r w:rsidR="0003235C" w:rsidRPr="001C5EE2">
        <w:rPr>
          <w:noProof w:val="0"/>
        </w:rPr>
        <w:t xml:space="preserve"> </w:t>
      </w:r>
      <w:r w:rsidR="00F37759" w:rsidRPr="001C5EE2">
        <w:rPr>
          <w:noProof w:val="0"/>
        </w:rPr>
        <w:t>piedāvājumu iesniegšanas reģistrācijas lapā piedāvājumu iesniegšanas kārtībā, kā arī uz</w:t>
      </w:r>
      <w:r w:rsidR="0003235C" w:rsidRPr="001C5EE2">
        <w:rPr>
          <w:noProof w:val="0"/>
        </w:rPr>
        <w:t xml:space="preserve"> </w:t>
      </w:r>
      <w:r w:rsidR="00F37759" w:rsidRPr="001C5EE2">
        <w:rPr>
          <w:noProof w:val="0"/>
        </w:rPr>
        <w:t>aploksnes norāda datumu un laiku, kad piedāvājums ir saņemts, un apstiprina to ar savu</w:t>
      </w:r>
      <w:r w:rsidR="00A2617B" w:rsidRPr="001C5EE2">
        <w:rPr>
          <w:noProof w:val="0"/>
        </w:rPr>
        <w:t xml:space="preserve"> </w:t>
      </w:r>
      <w:r>
        <w:rPr>
          <w:noProof w:val="0"/>
        </w:rPr>
        <w:t>parakstu.</w:t>
      </w:r>
    </w:p>
    <w:p w14:paraId="094AFB62" w14:textId="77777777" w:rsidR="006A3A9C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noProof w:val="0"/>
        </w:rPr>
        <w:t>P</w:t>
      </w:r>
      <w:r w:rsidR="00131D5F">
        <w:rPr>
          <w:noProof w:val="0"/>
        </w:rPr>
        <w:t xml:space="preserve">iedāvājumi, </w:t>
      </w:r>
      <w:r w:rsidR="00F37759" w:rsidRPr="001C5EE2">
        <w:rPr>
          <w:noProof w:val="0"/>
        </w:rPr>
        <w:t>kas saņemti pēc Nolikuma 2.2.punktā noteiktā</w:t>
      </w:r>
      <w:r w:rsidR="00A2617B" w:rsidRPr="001C5EE2">
        <w:rPr>
          <w:noProof w:val="0"/>
        </w:rPr>
        <w:t xml:space="preserve"> </w:t>
      </w:r>
      <w:r w:rsidR="00F37759" w:rsidRPr="001C5EE2">
        <w:rPr>
          <w:noProof w:val="0"/>
        </w:rPr>
        <w:t>piedāvājumu iesniegšanas termiņa,</w:t>
      </w:r>
      <w:r>
        <w:rPr>
          <w:noProof w:val="0"/>
        </w:rPr>
        <w:t xml:space="preserve"> kā arī, kas tika</w:t>
      </w:r>
      <w:r w:rsidR="00F37759" w:rsidRPr="001C5EE2">
        <w:rPr>
          <w:noProof w:val="0"/>
        </w:rPr>
        <w:t xml:space="preserve"> </w:t>
      </w:r>
      <w:r w:rsidR="00131D5F">
        <w:rPr>
          <w:noProof w:val="0"/>
        </w:rPr>
        <w:t xml:space="preserve">iesniegti </w:t>
      </w:r>
      <w:r w:rsidR="00F37759" w:rsidRPr="001C5EE2">
        <w:rPr>
          <w:noProof w:val="0"/>
        </w:rPr>
        <w:t>atvērtā vai bojātā veidā</w:t>
      </w:r>
      <w:r w:rsidR="00131D5F">
        <w:rPr>
          <w:noProof w:val="0"/>
        </w:rPr>
        <w:t xml:space="preserve">, </w:t>
      </w:r>
      <w:r w:rsidR="00F37759" w:rsidRPr="001C5EE2">
        <w:rPr>
          <w:noProof w:val="0"/>
        </w:rPr>
        <w:t>netiks vērtēti un tik</w:t>
      </w:r>
      <w:r>
        <w:rPr>
          <w:noProof w:val="0"/>
        </w:rPr>
        <w:t>s nosūtīti atpakaļ iesniedzējam.</w:t>
      </w:r>
    </w:p>
    <w:p w14:paraId="094AFB63" w14:textId="77777777" w:rsidR="006A3A9C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Pretendents ir tiesīgs grozīt vai atsaukt iesniegto piedāvājumu, rakstiski par to</w:t>
      </w:r>
      <w:r w:rsidR="00A2617B" w:rsidRPr="001C5EE2">
        <w:rPr>
          <w:noProof w:val="0"/>
        </w:rPr>
        <w:t xml:space="preserve"> </w:t>
      </w:r>
      <w:r w:rsidRPr="001C5EE2">
        <w:rPr>
          <w:noProof w:val="0"/>
        </w:rPr>
        <w:t xml:space="preserve">paziņojot līdz piedāvājumu iesniegšanas </w:t>
      </w:r>
      <w:r w:rsidR="00310354">
        <w:rPr>
          <w:noProof w:val="0"/>
        </w:rPr>
        <w:t>termiņa beigām.</w:t>
      </w:r>
    </w:p>
    <w:p w14:paraId="094AFB64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noProof w:val="0"/>
        </w:rPr>
        <w:t>G</w:t>
      </w:r>
      <w:r w:rsidR="00F37759" w:rsidRPr="001C5EE2">
        <w:rPr>
          <w:noProof w:val="0"/>
        </w:rPr>
        <w:t>rozījumus piedāvājuma dokumentos Pretendents noformē un iesniedz tādā pašā kārtībā</w:t>
      </w:r>
      <w:r w:rsidR="00A2617B" w:rsidRPr="001C5EE2">
        <w:rPr>
          <w:noProof w:val="0"/>
        </w:rPr>
        <w:t xml:space="preserve"> </w:t>
      </w:r>
      <w:r>
        <w:rPr>
          <w:noProof w:val="0"/>
        </w:rPr>
        <w:t>kā noteikts Nolikuma 2.1.punktā.</w:t>
      </w:r>
    </w:p>
    <w:p w14:paraId="094AFB65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Konkursa reģistrācijas dokum</w:t>
      </w:r>
      <w:r w:rsidR="00310354">
        <w:rPr>
          <w:noProof w:val="0"/>
        </w:rPr>
        <w:t>enti Pretendentam netiek atdoti.</w:t>
      </w:r>
    </w:p>
    <w:p w14:paraId="094AFB66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</w:t>
      </w:r>
      <w:r w:rsidR="00F37759" w:rsidRPr="001C5EE2">
        <w:rPr>
          <w:noProof w:val="0"/>
        </w:rPr>
        <w:t>iedāvājumam jābūt cauršūtam (caurauklotam). Lappusēm jābūt nu</w:t>
      </w:r>
      <w:r w:rsidR="00310354">
        <w:rPr>
          <w:noProof w:val="0"/>
        </w:rPr>
        <w:t>murētām.</w:t>
      </w:r>
    </w:p>
    <w:p w14:paraId="094AFB67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noProof w:val="0"/>
        </w:rPr>
        <w:t>V</w:t>
      </w:r>
      <w:r w:rsidR="00F37759" w:rsidRPr="001C5EE2">
        <w:rPr>
          <w:noProof w:val="0"/>
        </w:rPr>
        <w:t>isi Pretendenta reģistrācijas dokumenti iesniedzami latviešu valodā, tiem jābūt skaidri</w:t>
      </w:r>
      <w:r w:rsidR="008D3724" w:rsidRPr="001C5EE2">
        <w:rPr>
          <w:noProof w:val="0"/>
        </w:rPr>
        <w:t xml:space="preserve"> </w:t>
      </w:r>
      <w:r w:rsidR="00F37759" w:rsidRPr="001C5EE2">
        <w:rPr>
          <w:noProof w:val="0"/>
        </w:rPr>
        <w:t>salasāmiem, bez labojumiem. Ja ir izdarīti labojumi, tiem jābūt atrunātiem ar pilnvarotās</w:t>
      </w:r>
      <w:r w:rsidR="008C6127" w:rsidRPr="001C5EE2">
        <w:rPr>
          <w:noProof w:val="0"/>
        </w:rPr>
        <w:t xml:space="preserve"> </w:t>
      </w:r>
      <w:r>
        <w:rPr>
          <w:noProof w:val="0"/>
        </w:rPr>
        <w:t>personas parakstu.</w:t>
      </w:r>
    </w:p>
    <w:p w14:paraId="094AFB68" w14:textId="77777777" w:rsidR="00626055" w:rsidRPr="001C5EE2" w:rsidRDefault="006E65FD" w:rsidP="00BE6912">
      <w:pPr>
        <w:pStyle w:val="ListParagraph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noProof w:val="0"/>
        </w:rPr>
        <w:lastRenderedPageBreak/>
        <w:t>J</w:t>
      </w:r>
      <w:r w:rsidR="00F37759" w:rsidRPr="001C5EE2">
        <w:rPr>
          <w:noProof w:val="0"/>
        </w:rPr>
        <w:t>a Pretendents iesniedz dokumentu kopijas, katra dokumenta kopiju apliecina persona,</w:t>
      </w:r>
      <w:r w:rsidR="008D3724" w:rsidRPr="001C5EE2">
        <w:rPr>
          <w:noProof w:val="0"/>
        </w:rPr>
        <w:t xml:space="preserve"> </w:t>
      </w:r>
      <w:r w:rsidR="00F37759" w:rsidRPr="001C5EE2">
        <w:rPr>
          <w:noProof w:val="0"/>
        </w:rPr>
        <w:t>kas likumiski pārstāv Pretendentu vai ir pilnvarota parakstīt 4.2.4.punktā noteikto</w:t>
      </w:r>
      <w:r w:rsidR="00923039" w:rsidRPr="001C5EE2">
        <w:rPr>
          <w:noProof w:val="0"/>
        </w:rPr>
        <w:t xml:space="preserve"> </w:t>
      </w:r>
      <w:r w:rsidR="008E05E2">
        <w:rPr>
          <w:noProof w:val="0"/>
        </w:rPr>
        <w:t>pieteikumu.</w:t>
      </w:r>
    </w:p>
    <w:p w14:paraId="094AFB69" w14:textId="77777777" w:rsidR="00626055" w:rsidRPr="001C5EE2" w:rsidRDefault="006E65FD" w:rsidP="00BE6912">
      <w:pPr>
        <w:pStyle w:val="ListParagraph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noProof w:val="0"/>
        </w:rPr>
        <w:t>Z</w:t>
      </w:r>
      <w:r w:rsidR="00F37759" w:rsidRPr="001C5EE2">
        <w:rPr>
          <w:noProof w:val="0"/>
        </w:rPr>
        <w:t>iņas par reģistrētiem Pretendentiem un to skaitu netiek izpaustas līdz pat piedāvājumu</w:t>
      </w:r>
      <w:r w:rsidR="008D3724" w:rsidRPr="001C5EE2">
        <w:rPr>
          <w:noProof w:val="0"/>
        </w:rPr>
        <w:t xml:space="preserve"> </w:t>
      </w:r>
      <w:r w:rsidR="00F37759" w:rsidRPr="001C5EE2">
        <w:rPr>
          <w:noProof w:val="0"/>
        </w:rPr>
        <w:t>atvēršanas sanāksmei.</w:t>
      </w:r>
    </w:p>
    <w:p w14:paraId="094AFB6A" w14:textId="77777777" w:rsidR="00626055" w:rsidRPr="001C5EE2" w:rsidRDefault="006E65FD" w:rsidP="00BE691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284" w:hanging="284"/>
        <w:contextualSpacing w:val="0"/>
        <w:jc w:val="center"/>
        <w:rPr>
          <w:noProof w:val="0"/>
        </w:rPr>
      </w:pPr>
      <w:r w:rsidRPr="001C5EE2">
        <w:rPr>
          <w:b/>
          <w:bCs/>
          <w:noProof w:val="0"/>
        </w:rPr>
        <w:t>Cita informācija.</w:t>
      </w:r>
    </w:p>
    <w:p w14:paraId="094AFB6B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 xml:space="preserve">Konkursu izsludina Komisija, ievietojot informāciju </w:t>
      </w:r>
      <w:r w:rsidR="001F660D">
        <w:rPr>
          <w:noProof w:val="0"/>
        </w:rPr>
        <w:t xml:space="preserve">pašvaldības </w:t>
      </w:r>
      <w:r w:rsidR="0003235C" w:rsidRPr="001C5EE2">
        <w:rPr>
          <w:noProof w:val="0"/>
        </w:rPr>
        <w:t xml:space="preserve">laikrakstā “Ādažu </w:t>
      </w:r>
      <w:r w:rsidR="00726C6D" w:rsidRPr="001C5EE2">
        <w:rPr>
          <w:noProof w:val="0"/>
        </w:rPr>
        <w:t>Vēstis</w:t>
      </w:r>
      <w:r w:rsidR="0003235C" w:rsidRPr="001C5EE2">
        <w:rPr>
          <w:noProof w:val="0"/>
        </w:rPr>
        <w:t xml:space="preserve">” un Ādažu </w:t>
      </w:r>
      <w:r w:rsidR="001F660D">
        <w:rPr>
          <w:noProof w:val="0"/>
        </w:rPr>
        <w:t>novada domes mājas</w:t>
      </w:r>
      <w:r w:rsidR="0003235C" w:rsidRPr="001C5EE2">
        <w:rPr>
          <w:noProof w:val="0"/>
        </w:rPr>
        <w:t xml:space="preserve">lapā </w:t>
      </w:r>
      <w:hyperlink r:id="rId9" w:history="1">
        <w:r w:rsidRPr="001C5EE2">
          <w:rPr>
            <w:rStyle w:val="Hyperlink"/>
            <w:noProof w:val="0"/>
            <w:color w:val="auto"/>
          </w:rPr>
          <w:t>www.adazi.lv</w:t>
        </w:r>
      </w:hyperlink>
      <w:r w:rsidR="0003235C" w:rsidRPr="001C5EE2">
        <w:rPr>
          <w:noProof w:val="0"/>
        </w:rPr>
        <w:t>.</w:t>
      </w:r>
    </w:p>
    <w:p w14:paraId="094AFB6C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 xml:space="preserve">Zemesgabalu Pretendents var apskatīt dabā </w:t>
      </w:r>
      <w:r w:rsidR="00131D5F">
        <w:rPr>
          <w:noProof w:val="0"/>
        </w:rPr>
        <w:t xml:space="preserve">pastāvīgi </w:t>
      </w:r>
      <w:r w:rsidR="00CC1B97">
        <w:rPr>
          <w:noProof w:val="0"/>
        </w:rPr>
        <w:t>vai iepriekš sazinoties</w:t>
      </w:r>
      <w:r w:rsidRPr="001C5EE2">
        <w:rPr>
          <w:noProof w:val="0"/>
        </w:rPr>
        <w:t xml:space="preserve"> un vienojoties par konkrēto apskates laiku kopīgi ar </w:t>
      </w:r>
      <w:r w:rsidR="00CC1B97">
        <w:rPr>
          <w:noProof w:val="0"/>
        </w:rPr>
        <w:t>1.1.</w:t>
      </w:r>
      <w:r w:rsidR="00E25E48">
        <w:rPr>
          <w:noProof w:val="0"/>
        </w:rPr>
        <w:t xml:space="preserve">punktā norādīto kontaktpersonu. </w:t>
      </w:r>
    </w:p>
    <w:p w14:paraId="094AFB6D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I</w:t>
      </w:r>
      <w:r w:rsidR="00F37759" w:rsidRPr="001C5EE2">
        <w:rPr>
          <w:noProof w:val="0"/>
        </w:rPr>
        <w:t xml:space="preserve">zziņas un citus dokumentus, kurus izsniedz kompetentās institūcijas, </w:t>
      </w:r>
      <w:r w:rsidR="00131D5F">
        <w:rPr>
          <w:noProof w:val="0"/>
        </w:rPr>
        <w:t xml:space="preserve">Komisija </w:t>
      </w:r>
      <w:r w:rsidRPr="001C5EE2">
        <w:rPr>
          <w:noProof w:val="0"/>
        </w:rPr>
        <w:t xml:space="preserve"> </w:t>
      </w:r>
      <w:r w:rsidR="00F37759" w:rsidRPr="001C5EE2">
        <w:rPr>
          <w:noProof w:val="0"/>
        </w:rPr>
        <w:t>pieņem un atzīst, ja tie izdoti ne agrāk kā vienu mēnesi pirms piedāvājuma iesniegšanas</w:t>
      </w:r>
      <w:r w:rsidR="008C6127" w:rsidRPr="001C5EE2">
        <w:rPr>
          <w:noProof w:val="0"/>
        </w:rPr>
        <w:t xml:space="preserve"> </w:t>
      </w:r>
      <w:r w:rsidR="00F37759" w:rsidRPr="001C5EE2">
        <w:rPr>
          <w:noProof w:val="0"/>
        </w:rPr>
        <w:t>dienas.</w:t>
      </w:r>
    </w:p>
    <w:p w14:paraId="094AFB6E" w14:textId="77777777" w:rsidR="00626055" w:rsidRPr="001C5EE2" w:rsidRDefault="006E65FD" w:rsidP="00BE691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284" w:hanging="284"/>
        <w:contextualSpacing w:val="0"/>
        <w:jc w:val="center"/>
        <w:rPr>
          <w:noProof w:val="0"/>
        </w:rPr>
      </w:pPr>
      <w:r w:rsidRPr="001C5EE2">
        <w:rPr>
          <w:b/>
          <w:bCs/>
          <w:noProof w:val="0"/>
        </w:rPr>
        <w:t>Konkursa pretendenti un iesniedzamie dokumenti.</w:t>
      </w:r>
    </w:p>
    <w:p w14:paraId="094AFB6F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Par Pretendentu var kļūt fiziska vai juridiska persona, kura saskaņā ar spēkā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esošajiem normatīvajiem aktiem un šo Nolikumu ir tiesīga piedalīties Konkursā un iegūt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nomas tiesības.</w:t>
      </w:r>
    </w:p>
    <w:p w14:paraId="094AFB70" w14:textId="77777777" w:rsidR="00626055" w:rsidRPr="001C5EE2" w:rsidRDefault="006E65FD" w:rsidP="00BE691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Pretendentam, reģistrējoties dalībai Konkursā, iesniedzami šādi kvalifikācijas dokumenti:</w:t>
      </w:r>
    </w:p>
    <w:p w14:paraId="094AFB71" w14:textId="77777777" w:rsidR="00626055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pilnvara pārstāvēt juridisko personu, ja juridisko personu pārstāv persona,</w:t>
      </w:r>
      <w:r w:rsidR="008C6127" w:rsidRPr="001C5EE2">
        <w:rPr>
          <w:noProof w:val="0"/>
        </w:rPr>
        <w:t xml:space="preserve"> </w:t>
      </w:r>
      <w:r w:rsidR="005A5BF5" w:rsidRPr="001C5EE2">
        <w:rPr>
          <w:noProof w:val="0"/>
        </w:rPr>
        <w:t>kurai nav paraksta tiesības;</w:t>
      </w:r>
    </w:p>
    <w:p w14:paraId="094AFB72" w14:textId="77777777" w:rsidR="00626055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apliecinājums, ka juridiskai (fiziskai) personai uz pieteikuma iesniegšanas brīdi nav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 xml:space="preserve">parādsaistību pret </w:t>
      </w:r>
      <w:r w:rsidR="005A5BF5" w:rsidRPr="001C5EE2">
        <w:rPr>
          <w:noProof w:val="0"/>
        </w:rPr>
        <w:t xml:space="preserve">Ādažu novada domi un </w:t>
      </w:r>
      <w:r w:rsidRPr="001C5EE2">
        <w:rPr>
          <w:noProof w:val="0"/>
        </w:rPr>
        <w:t xml:space="preserve">nodokļu </w:t>
      </w:r>
      <w:r w:rsidR="005A5BF5" w:rsidRPr="001C5EE2">
        <w:rPr>
          <w:noProof w:val="0"/>
        </w:rPr>
        <w:t xml:space="preserve">un nodevu </w:t>
      </w:r>
      <w:r w:rsidRPr="001C5EE2">
        <w:rPr>
          <w:noProof w:val="0"/>
        </w:rPr>
        <w:t>maksājumu parādu pret</w:t>
      </w:r>
      <w:r w:rsidR="008C6127" w:rsidRPr="001C5EE2">
        <w:rPr>
          <w:noProof w:val="0"/>
        </w:rPr>
        <w:t xml:space="preserve"> Valsts </w:t>
      </w:r>
      <w:r w:rsidR="005001A3">
        <w:rPr>
          <w:noProof w:val="0"/>
        </w:rPr>
        <w:t>i</w:t>
      </w:r>
      <w:r w:rsidR="008C6127" w:rsidRPr="001C5EE2">
        <w:rPr>
          <w:noProof w:val="0"/>
        </w:rPr>
        <w:t xml:space="preserve">eņēmumu </w:t>
      </w:r>
      <w:r w:rsidR="005001A3">
        <w:rPr>
          <w:noProof w:val="0"/>
        </w:rPr>
        <w:t>d</w:t>
      </w:r>
      <w:r w:rsidR="005A5BF5" w:rsidRPr="001C5EE2">
        <w:rPr>
          <w:noProof w:val="0"/>
        </w:rPr>
        <w:t>ienestu;</w:t>
      </w:r>
    </w:p>
    <w:p w14:paraId="094AFB73" w14:textId="77777777" w:rsidR="00626055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Konkursa pieteikums, ar kuru tiek apliecināta Pretendenta gatavība piedalīties</w:t>
      </w:r>
      <w:r w:rsidR="005A5BF5" w:rsidRPr="001C5EE2">
        <w:rPr>
          <w:noProof w:val="0"/>
        </w:rPr>
        <w:t xml:space="preserve"> </w:t>
      </w:r>
      <w:r w:rsidRPr="001C5EE2">
        <w:rPr>
          <w:noProof w:val="0"/>
        </w:rPr>
        <w:t>Konkursā sa</w:t>
      </w:r>
      <w:r w:rsidR="00923039" w:rsidRPr="001C5EE2">
        <w:rPr>
          <w:noProof w:val="0"/>
        </w:rPr>
        <w:t xml:space="preserve">skaņā ar </w:t>
      </w:r>
      <w:r w:rsidR="005001A3">
        <w:rPr>
          <w:noProof w:val="0"/>
        </w:rPr>
        <w:t>N</w:t>
      </w:r>
      <w:r w:rsidR="00923039" w:rsidRPr="001C5EE2">
        <w:rPr>
          <w:noProof w:val="0"/>
        </w:rPr>
        <w:t>olikuma noteikumiem</w:t>
      </w:r>
      <w:r w:rsidR="00A23333" w:rsidRPr="001C5EE2">
        <w:rPr>
          <w:noProof w:val="0"/>
        </w:rPr>
        <w:t xml:space="preserve"> un piedāvātā</w:t>
      </w:r>
      <w:r w:rsidR="005001A3">
        <w:rPr>
          <w:noProof w:val="0"/>
        </w:rPr>
        <w:t>s</w:t>
      </w:r>
      <w:r w:rsidR="00A23333" w:rsidRPr="001C5EE2">
        <w:rPr>
          <w:noProof w:val="0"/>
        </w:rPr>
        <w:t xml:space="preserve"> nomas maksas cena.</w:t>
      </w:r>
    </w:p>
    <w:p w14:paraId="094AFB74" w14:textId="77777777" w:rsidR="00626055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Pretendentam, reģistrējoties dalībai Konkursā, iesniedzams</w:t>
      </w:r>
      <w:r w:rsidR="00CC1B97">
        <w:rPr>
          <w:noProof w:val="0"/>
        </w:rPr>
        <w:t xml:space="preserve"> šāds</w:t>
      </w:r>
      <w:r w:rsidRPr="001C5EE2">
        <w:rPr>
          <w:noProof w:val="0"/>
        </w:rPr>
        <w:t xml:space="preserve"> tehniskais</w:t>
      </w:r>
      <w:r w:rsidR="00923039" w:rsidRPr="001C5EE2">
        <w:rPr>
          <w:noProof w:val="0"/>
        </w:rPr>
        <w:t xml:space="preserve"> </w:t>
      </w:r>
      <w:r w:rsidRPr="001C5EE2">
        <w:rPr>
          <w:noProof w:val="0"/>
        </w:rPr>
        <w:t>piedāvājums:</w:t>
      </w:r>
    </w:p>
    <w:p w14:paraId="094AFB75" w14:textId="77777777" w:rsidR="00626055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>
        <w:rPr>
          <w:noProof w:val="0"/>
        </w:rPr>
        <w:t>i</w:t>
      </w:r>
      <w:r w:rsidR="00F37759" w:rsidRPr="001C5EE2">
        <w:rPr>
          <w:noProof w:val="0"/>
        </w:rPr>
        <w:t>znomājamā Zemesgabala apbūves un apsaimniekošanas piedāvājums, atbilstošs</w:t>
      </w:r>
      <w:r w:rsidR="008C6127" w:rsidRPr="001C5EE2">
        <w:rPr>
          <w:noProof w:val="0"/>
        </w:rPr>
        <w:t xml:space="preserve"> </w:t>
      </w:r>
      <w:r w:rsidR="00F37759" w:rsidRPr="001C5EE2">
        <w:rPr>
          <w:noProof w:val="0"/>
        </w:rPr>
        <w:t>teritorijas attīstīšanas, apbūves, labiekārtojuma un apsaimniekošanas plāns</w:t>
      </w:r>
      <w:r w:rsidR="00234275" w:rsidRPr="001C5EE2">
        <w:rPr>
          <w:noProof w:val="0"/>
        </w:rPr>
        <w:t xml:space="preserve"> </w:t>
      </w:r>
      <w:r w:rsidR="00F37759" w:rsidRPr="001C5EE2">
        <w:rPr>
          <w:noProof w:val="0"/>
        </w:rPr>
        <w:t>(vīzija, skices</w:t>
      </w:r>
      <w:r w:rsidR="005A5BF5" w:rsidRPr="001C5EE2">
        <w:rPr>
          <w:noProof w:val="0"/>
        </w:rPr>
        <w:t>) un plānotās darbības apraksts, kam jāatbilst Nolikum</w:t>
      </w:r>
      <w:r w:rsidR="00923039" w:rsidRPr="001C5EE2">
        <w:rPr>
          <w:noProof w:val="0"/>
        </w:rPr>
        <w:t>a pielikumā Nr.2</w:t>
      </w:r>
      <w:r w:rsidR="005A5BF5" w:rsidRPr="001C5EE2">
        <w:rPr>
          <w:noProof w:val="0"/>
        </w:rPr>
        <w:t xml:space="preserve"> ”Prasības nekustamā īpašuma “Vējpriedes” izmantošanai” noteiktajiem nosacījumiem.</w:t>
      </w:r>
    </w:p>
    <w:p w14:paraId="094AFB76" w14:textId="77777777" w:rsidR="00626055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>
        <w:rPr>
          <w:noProof w:val="0"/>
        </w:rPr>
        <w:t xml:space="preserve">Zemesgabala </w:t>
      </w:r>
      <w:r w:rsidR="00F37759" w:rsidRPr="001C5EE2">
        <w:rPr>
          <w:noProof w:val="0"/>
        </w:rPr>
        <w:t>attīstības ekonomiskais pamatojums (ieguldījumi, risku analīze,</w:t>
      </w:r>
      <w:r w:rsidR="00923039" w:rsidRPr="001C5EE2">
        <w:rPr>
          <w:noProof w:val="0"/>
        </w:rPr>
        <w:t xml:space="preserve"> </w:t>
      </w:r>
      <w:r w:rsidR="00F37759" w:rsidRPr="001C5EE2">
        <w:rPr>
          <w:noProof w:val="0"/>
        </w:rPr>
        <w:t>investīciju atmaksāšanās pe</w:t>
      </w:r>
      <w:r w:rsidR="005A5BF5" w:rsidRPr="001C5EE2">
        <w:rPr>
          <w:noProof w:val="0"/>
        </w:rPr>
        <w:t>riods, plānotais ieguvums utt.).</w:t>
      </w:r>
    </w:p>
    <w:p w14:paraId="094AFB77" w14:textId="77777777" w:rsidR="00626055" w:rsidRPr="001C5EE2" w:rsidRDefault="006E65FD" w:rsidP="008E13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284" w:hanging="284"/>
        <w:contextualSpacing w:val="0"/>
        <w:jc w:val="center"/>
        <w:rPr>
          <w:noProof w:val="0"/>
        </w:rPr>
      </w:pPr>
      <w:r w:rsidRPr="001C5EE2">
        <w:rPr>
          <w:b/>
          <w:bCs/>
          <w:noProof w:val="0"/>
        </w:rPr>
        <w:t>Piedāvājumu atvēršana un vērtēšana.</w:t>
      </w:r>
    </w:p>
    <w:p w14:paraId="094AFB78" w14:textId="77777777" w:rsidR="00626055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Piedāvājumu atvēršana:</w:t>
      </w:r>
    </w:p>
    <w:p w14:paraId="094AFB79" w14:textId="77777777" w:rsidR="00626055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 xml:space="preserve">piedāvājumi tiek atvērti </w:t>
      </w:r>
      <w:r w:rsidR="008E1308" w:rsidRPr="001C5EE2">
        <w:rPr>
          <w:noProof w:val="0"/>
        </w:rPr>
        <w:t>Konkursa piedāvājumu atvēršanas sanāksmē</w:t>
      </w:r>
      <w:r w:rsidR="008E1308" w:rsidRPr="001C5EE2">
        <w:rPr>
          <w:b/>
          <w:bCs/>
          <w:noProof w:val="0"/>
        </w:rPr>
        <w:t xml:space="preserve"> </w:t>
      </w:r>
      <w:r w:rsidRPr="001C5EE2">
        <w:rPr>
          <w:b/>
          <w:bCs/>
          <w:noProof w:val="0"/>
        </w:rPr>
        <w:t>201</w:t>
      </w:r>
      <w:r w:rsidR="00A52574" w:rsidRPr="001C5EE2">
        <w:rPr>
          <w:b/>
          <w:bCs/>
          <w:noProof w:val="0"/>
        </w:rPr>
        <w:t>7</w:t>
      </w:r>
      <w:r w:rsidRPr="001C5EE2">
        <w:rPr>
          <w:b/>
          <w:bCs/>
          <w:noProof w:val="0"/>
        </w:rPr>
        <w:t xml:space="preserve">.gada </w:t>
      </w:r>
      <w:r w:rsidR="005F3C44">
        <w:rPr>
          <w:b/>
          <w:bCs/>
          <w:noProof w:val="0"/>
        </w:rPr>
        <w:t>24.oktobrī</w:t>
      </w:r>
      <w:r w:rsidR="005E7DCF">
        <w:rPr>
          <w:b/>
          <w:bCs/>
          <w:noProof w:val="0"/>
        </w:rPr>
        <w:t>,</w:t>
      </w:r>
      <w:r w:rsidR="005F3C44">
        <w:rPr>
          <w:b/>
          <w:bCs/>
          <w:noProof w:val="0"/>
        </w:rPr>
        <w:t xml:space="preserve"> plkst. 10.00</w:t>
      </w:r>
      <w:r w:rsidR="005E7DCF">
        <w:rPr>
          <w:b/>
          <w:bCs/>
          <w:noProof w:val="0"/>
        </w:rPr>
        <w:t>,</w:t>
      </w:r>
      <w:r w:rsidR="005F3C44">
        <w:rPr>
          <w:b/>
          <w:bCs/>
          <w:noProof w:val="0"/>
        </w:rPr>
        <w:t xml:space="preserve"> </w:t>
      </w:r>
      <w:r w:rsidR="00A52574" w:rsidRPr="001C5EE2">
        <w:rPr>
          <w:bCs/>
          <w:noProof w:val="0"/>
        </w:rPr>
        <w:t xml:space="preserve">Ādažu novada domes </w:t>
      </w:r>
      <w:r w:rsidR="008E1308">
        <w:rPr>
          <w:bCs/>
          <w:noProof w:val="0"/>
        </w:rPr>
        <w:t>Vēstures un mākslas muzeja</w:t>
      </w:r>
      <w:r w:rsidR="00A52574" w:rsidRPr="001C5EE2">
        <w:rPr>
          <w:bCs/>
          <w:noProof w:val="0"/>
        </w:rPr>
        <w:t xml:space="preserve"> galerijā</w:t>
      </w:r>
      <w:r w:rsidR="008E1308">
        <w:rPr>
          <w:bCs/>
          <w:noProof w:val="0"/>
        </w:rPr>
        <w:t>,</w:t>
      </w:r>
      <w:r w:rsidR="00A52574" w:rsidRPr="001C5EE2">
        <w:rPr>
          <w:noProof w:val="0"/>
        </w:rPr>
        <w:t xml:space="preserve"> Gaujas ielā 3</w:t>
      </w:r>
      <w:r w:rsidR="00CD31C1" w:rsidRPr="001C5EE2">
        <w:rPr>
          <w:noProof w:val="0"/>
        </w:rPr>
        <w:t>3</w:t>
      </w:r>
      <w:r w:rsidR="008E1308">
        <w:rPr>
          <w:noProof w:val="0"/>
        </w:rPr>
        <w:t>A</w:t>
      </w:r>
      <w:r w:rsidR="00CD31C1" w:rsidRPr="001C5EE2">
        <w:rPr>
          <w:noProof w:val="0"/>
        </w:rPr>
        <w:t>, Āda</w:t>
      </w:r>
      <w:r w:rsidR="00A52574" w:rsidRPr="001C5EE2">
        <w:rPr>
          <w:noProof w:val="0"/>
        </w:rPr>
        <w:t>ži, Ādažu nov</w:t>
      </w:r>
      <w:r w:rsidR="008E1308">
        <w:rPr>
          <w:noProof w:val="0"/>
        </w:rPr>
        <w:t>ads</w:t>
      </w:r>
      <w:r w:rsidRPr="001C5EE2">
        <w:rPr>
          <w:noProof w:val="0"/>
        </w:rPr>
        <w:t>;</w:t>
      </w:r>
    </w:p>
    <w:p w14:paraId="094AFB7A" w14:textId="77777777" w:rsidR="00626055" w:rsidRPr="001C5EE2" w:rsidRDefault="006E65FD" w:rsidP="00864024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>
        <w:rPr>
          <w:noProof w:val="0"/>
        </w:rPr>
        <w:t>p</w:t>
      </w:r>
      <w:r w:rsidR="00F37759" w:rsidRPr="001C5EE2">
        <w:rPr>
          <w:noProof w:val="0"/>
        </w:rPr>
        <w:t>iedāvājumu atvēršanas sanāksme ir atklāta un tajā var piedalīties Pretendenti, kuri</w:t>
      </w:r>
      <w:r w:rsidR="008C6127" w:rsidRPr="001C5EE2">
        <w:rPr>
          <w:noProof w:val="0"/>
        </w:rPr>
        <w:t xml:space="preserve"> </w:t>
      </w:r>
      <w:r w:rsidR="00F37759" w:rsidRPr="001C5EE2">
        <w:rPr>
          <w:noProof w:val="0"/>
        </w:rPr>
        <w:t>ir reģistrējušies Konkursam, vai to pilnvaroti pārstāvji, iesniedzot rakstiskas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pilnvaras.</w:t>
      </w:r>
    </w:p>
    <w:p w14:paraId="094AFB7B" w14:textId="77777777" w:rsidR="00626055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Komisija piedāvājumu atvēršanas sanāksmes norisi, Pretendentu atlases un piedāvājumu vērtēšanas norisi un pieņemtos lēmumus protokolē.</w:t>
      </w:r>
    </w:p>
    <w:p w14:paraId="094AFB7C" w14:textId="77777777" w:rsidR="00626055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Piedāvājumu atvēršanas sapulci vada Komisijas priekšsēdētājs vai tā prombūtnes laikā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Komisijas priekšsēdētāja vietnieks.</w:t>
      </w:r>
    </w:p>
    <w:p w14:paraId="094AFB7D" w14:textId="77777777" w:rsidR="00626055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lastRenderedPageBreak/>
        <w:t>Komisijas vadītājs pēc piedāvājumu atvēršanas nosauc Pretendentu, pieteikuma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iesniegšanas datumu un laiku, kā arī Pretendenta piedāvāto nomas maksas apmēru un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parakstās uz piedāvājuma. Uz piedāvājuma oriģināliem parakstās visi Komisijas locekļi.</w:t>
      </w:r>
    </w:p>
    <w:p w14:paraId="094AFB7E" w14:textId="77777777" w:rsidR="00626055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Kad visi piedāvājumi atvērti, piedāvājumu atvēršanas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sanāksmi slēdz.</w:t>
      </w:r>
    </w:p>
    <w:p w14:paraId="094AFB7F" w14:textId="77777777" w:rsidR="00626055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Piedāvājumu vērtēšana:</w:t>
      </w:r>
    </w:p>
    <w:p w14:paraId="094AFB80" w14:textId="77777777" w:rsidR="00626055" w:rsidRPr="001C5EE2" w:rsidRDefault="006E65FD" w:rsidP="00864024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Pretendentu atlases laikā Komisija pārbauda piedāvājumu atbilstību nolikuma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prasībām, pieņem lēmumu par labāko piedāvājumu un nosaka Konkursa uzvarētāju.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Komisija lēmumu pieņem slēgtā sēdē;</w:t>
      </w:r>
    </w:p>
    <w:p w14:paraId="094AFB81" w14:textId="77777777" w:rsidR="00626055" w:rsidRPr="001C5EE2" w:rsidRDefault="006E65FD" w:rsidP="00864024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ja</w:t>
      </w:r>
      <w:r w:rsidR="005001A3">
        <w:rPr>
          <w:noProof w:val="0"/>
        </w:rPr>
        <w:t xml:space="preserve"> </w:t>
      </w:r>
      <w:r w:rsidRPr="001C5EE2">
        <w:rPr>
          <w:noProof w:val="0"/>
        </w:rPr>
        <w:t>Pretendents nav iesniedzis visus nolikuma 4.2.punktā prasītos kvalifikācijas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 xml:space="preserve">dokumentus, </w:t>
      </w:r>
      <w:r w:rsidR="005001A3">
        <w:rPr>
          <w:noProof w:val="0"/>
        </w:rPr>
        <w:t>K</w:t>
      </w:r>
      <w:r w:rsidRPr="001C5EE2">
        <w:rPr>
          <w:noProof w:val="0"/>
        </w:rPr>
        <w:t>omisija tālāk piedāvājumu nevērtē un izslēdz Pretendentu no tālākas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dalības Konkursā;</w:t>
      </w:r>
    </w:p>
    <w:p w14:paraId="094AFB82" w14:textId="77777777" w:rsidR="006309C7" w:rsidRPr="001C5EE2" w:rsidRDefault="006E65FD" w:rsidP="00864024">
      <w:pPr>
        <w:pStyle w:val="ListParagraph"/>
        <w:numPr>
          <w:ilvl w:val="2"/>
          <w:numId w:val="11"/>
        </w:numPr>
        <w:tabs>
          <w:tab w:val="left" w:pos="1701"/>
        </w:tabs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Komisijas locekļi vērtē Pretendent</w:t>
      </w:r>
      <w:r w:rsidR="00923039" w:rsidRPr="001C5EE2">
        <w:rPr>
          <w:noProof w:val="0"/>
        </w:rPr>
        <w:t xml:space="preserve">a piedāvājumu pēc </w:t>
      </w:r>
      <w:r w:rsidR="005001A3">
        <w:rPr>
          <w:noProof w:val="0"/>
        </w:rPr>
        <w:t>N</w:t>
      </w:r>
      <w:r w:rsidR="005E7DCF">
        <w:rPr>
          <w:noProof w:val="0"/>
        </w:rPr>
        <w:t>olikuma 5.7</w:t>
      </w:r>
      <w:r w:rsidRPr="001C5EE2">
        <w:rPr>
          <w:noProof w:val="0"/>
        </w:rPr>
        <w:t>.punktā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noteiktajiem vērtēšanas kritērijiem. Par visizdevīgāko piedāvājumu tiks atzīts tas</w:t>
      </w:r>
      <w:r w:rsidR="008C6127" w:rsidRPr="001C5EE2">
        <w:rPr>
          <w:noProof w:val="0"/>
        </w:rPr>
        <w:t xml:space="preserve"> </w:t>
      </w:r>
      <w:r w:rsidRPr="001C5EE2">
        <w:rPr>
          <w:noProof w:val="0"/>
        </w:rPr>
        <w:t>piedāvājums, kas iegūs vislielāko piedāvājuma skaitlisko vērtējumu.</w:t>
      </w:r>
    </w:p>
    <w:p w14:paraId="094AFB83" w14:textId="77777777" w:rsidR="001C5EE2" w:rsidRDefault="006E65FD" w:rsidP="008D1314">
      <w:pPr>
        <w:pStyle w:val="ListParagraph"/>
        <w:numPr>
          <w:ilvl w:val="1"/>
          <w:numId w:val="11"/>
        </w:numPr>
        <w:tabs>
          <w:tab w:val="left" w:pos="1701"/>
        </w:tabs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Vērtēšanas kritēriji: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2"/>
      </w:tblGrid>
      <w:tr w:rsidR="00674725" w14:paraId="094AFBAD" w14:textId="77777777" w:rsidTr="00B22F6B">
        <w:tc>
          <w:tcPr>
            <w:tcW w:w="88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pPr w:leftFromText="180" w:rightFromText="180" w:vertAnchor="text" w:horzAnchor="margin" w:tblpXSpec="center" w:tblpY="-90"/>
              <w:tblOverlap w:val="never"/>
              <w:tblW w:w="86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6662"/>
              <w:gridCol w:w="1550"/>
            </w:tblGrid>
            <w:tr w:rsidR="00674725" w14:paraId="094AFB87" w14:textId="77777777" w:rsidTr="00246478">
              <w:trPr>
                <w:jc w:val="center"/>
              </w:trPr>
              <w:tc>
                <w:tcPr>
                  <w:tcW w:w="42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4" w14:textId="77777777" w:rsidR="001C5EE2" w:rsidRPr="00235404" w:rsidRDefault="001C5EE2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5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35404">
                    <w:rPr>
                      <w:b/>
                      <w:bCs/>
                      <w:sz w:val="22"/>
                      <w:szCs w:val="22"/>
                    </w:rPr>
                    <w:t>Kritērijs</w:t>
                  </w:r>
                </w:p>
              </w:tc>
              <w:tc>
                <w:tcPr>
                  <w:tcW w:w="1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6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35404">
                    <w:rPr>
                      <w:b/>
                      <w:bCs/>
                      <w:sz w:val="22"/>
                      <w:szCs w:val="22"/>
                    </w:rPr>
                    <w:t>Maksimālais punktu skaits</w:t>
                  </w:r>
                </w:p>
              </w:tc>
            </w:tr>
            <w:tr w:rsidR="00674725" w14:paraId="094AFB8B" w14:textId="77777777" w:rsidTr="00246478">
              <w:trPr>
                <w:jc w:val="center"/>
              </w:trPr>
              <w:tc>
                <w:tcPr>
                  <w:tcW w:w="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8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6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9" w14:textId="77777777" w:rsidR="001C5EE2" w:rsidRPr="00235404" w:rsidRDefault="006E65FD" w:rsidP="00235404">
                  <w:pPr>
                    <w:spacing w:before="40" w:after="40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Sporta un atpūtas organizēšanas plāns atbilstoši Konkursa nolikumam</w:t>
                  </w:r>
                </w:p>
              </w:tc>
              <w:tc>
                <w:tcPr>
                  <w:tcW w:w="1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A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20</w:t>
                  </w:r>
                </w:p>
              </w:tc>
            </w:tr>
            <w:tr w:rsidR="00674725" w14:paraId="094AFB8F" w14:textId="77777777" w:rsidTr="00246478">
              <w:trPr>
                <w:jc w:val="center"/>
              </w:trPr>
              <w:tc>
                <w:tcPr>
                  <w:tcW w:w="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C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6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D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Idejas atbilstība Ādažu novada attīstības stratēģijai</w:t>
                  </w:r>
                </w:p>
              </w:tc>
              <w:tc>
                <w:tcPr>
                  <w:tcW w:w="1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8E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10</w:t>
                  </w:r>
                </w:p>
              </w:tc>
            </w:tr>
            <w:tr w:rsidR="00674725" w14:paraId="094AFB93" w14:textId="77777777" w:rsidTr="00246478">
              <w:trPr>
                <w:jc w:val="center"/>
              </w:trPr>
              <w:tc>
                <w:tcPr>
                  <w:tcW w:w="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0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6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1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Kultūras un radošās telpas teritorijas attīstības redzējums un kvalitāte</w:t>
                  </w:r>
                </w:p>
              </w:tc>
              <w:tc>
                <w:tcPr>
                  <w:tcW w:w="1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2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10</w:t>
                  </w:r>
                </w:p>
              </w:tc>
            </w:tr>
            <w:tr w:rsidR="00674725" w14:paraId="094AFB97" w14:textId="77777777" w:rsidTr="00246478">
              <w:trPr>
                <w:jc w:val="center"/>
              </w:trPr>
              <w:tc>
                <w:tcPr>
                  <w:tcW w:w="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4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6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5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Apsaimniekošanas modeļa ilgtspēja</w:t>
                  </w:r>
                </w:p>
              </w:tc>
              <w:tc>
                <w:tcPr>
                  <w:tcW w:w="1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6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10</w:t>
                  </w:r>
                </w:p>
              </w:tc>
            </w:tr>
            <w:tr w:rsidR="00674725" w14:paraId="094AFB9B" w14:textId="77777777" w:rsidTr="00246478">
              <w:trPr>
                <w:jc w:val="center"/>
              </w:trPr>
              <w:tc>
                <w:tcPr>
                  <w:tcW w:w="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8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66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9" w14:textId="77777777" w:rsidR="001C5EE2" w:rsidRPr="00235404" w:rsidRDefault="006E65FD" w:rsidP="00235404">
                  <w:pPr>
                    <w:spacing w:before="40" w:after="40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 xml:space="preserve">Piedāvātās nomas maksas  apmērs </w:t>
                  </w:r>
                </w:p>
              </w:tc>
              <w:tc>
                <w:tcPr>
                  <w:tcW w:w="1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A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10</w:t>
                  </w:r>
                </w:p>
              </w:tc>
            </w:tr>
            <w:tr w:rsidR="00674725" w14:paraId="094AFB9F" w14:textId="77777777" w:rsidTr="00246478">
              <w:trPr>
                <w:jc w:val="center"/>
              </w:trPr>
              <w:tc>
                <w:tcPr>
                  <w:tcW w:w="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C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66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D" w14:textId="77777777" w:rsidR="001C5EE2" w:rsidRPr="00235404" w:rsidRDefault="006E65FD" w:rsidP="00235404">
                  <w:pPr>
                    <w:spacing w:before="40" w:after="40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Bezmaksas stāvvietu ierīkošana</w:t>
                  </w:r>
                </w:p>
              </w:tc>
              <w:tc>
                <w:tcPr>
                  <w:tcW w:w="1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9E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10</w:t>
                  </w:r>
                </w:p>
              </w:tc>
            </w:tr>
            <w:tr w:rsidR="00674725" w14:paraId="094AFBA3" w14:textId="77777777" w:rsidTr="00246478">
              <w:trPr>
                <w:jc w:val="center"/>
              </w:trPr>
              <w:tc>
                <w:tcPr>
                  <w:tcW w:w="42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0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666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1" w14:textId="77777777" w:rsidR="001C5EE2" w:rsidRPr="00235404" w:rsidRDefault="006E65FD" w:rsidP="00235404">
                  <w:pPr>
                    <w:spacing w:before="40" w:after="40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Pludmales labiekārtošana</w:t>
                  </w:r>
                </w:p>
              </w:tc>
              <w:tc>
                <w:tcPr>
                  <w:tcW w:w="1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2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20</w:t>
                  </w:r>
                </w:p>
              </w:tc>
            </w:tr>
            <w:tr w:rsidR="00674725" w14:paraId="094AFBA7" w14:textId="77777777" w:rsidTr="00246478">
              <w:trPr>
                <w:jc w:val="center"/>
              </w:trPr>
              <w:tc>
                <w:tcPr>
                  <w:tcW w:w="421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4" w14:textId="77777777" w:rsidR="001C5EE2" w:rsidRPr="00235404" w:rsidRDefault="006E65FD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  <w:r w:rsidRPr="00235404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6662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5" w14:textId="77777777" w:rsidR="001C5EE2" w:rsidRPr="00235404" w:rsidRDefault="006E65FD" w:rsidP="00235404">
                  <w:pPr>
                    <w:spacing w:before="40" w:after="40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Priekšrocības vai īpašie pasākumi pašvaldības iedzīvotājiem</w:t>
                  </w:r>
                </w:p>
              </w:tc>
              <w:tc>
                <w:tcPr>
                  <w:tcW w:w="1550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6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35404">
                    <w:rPr>
                      <w:bCs/>
                      <w:sz w:val="22"/>
                      <w:szCs w:val="22"/>
                    </w:rPr>
                    <w:t>10</w:t>
                  </w:r>
                </w:p>
              </w:tc>
            </w:tr>
            <w:tr w:rsidR="00674725" w14:paraId="094AFBAB" w14:textId="77777777" w:rsidTr="00246478">
              <w:trPr>
                <w:jc w:val="center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8" w14:textId="77777777" w:rsidR="001C5EE2" w:rsidRPr="00235404" w:rsidRDefault="001C5EE2" w:rsidP="00235404">
                  <w:pPr>
                    <w:spacing w:before="40" w:after="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9" w14:textId="77777777" w:rsidR="001C5EE2" w:rsidRPr="00235404" w:rsidRDefault="006E65FD" w:rsidP="00235404">
                  <w:pPr>
                    <w:spacing w:before="40" w:after="40"/>
                    <w:rPr>
                      <w:b/>
                      <w:bCs/>
                      <w:sz w:val="22"/>
                      <w:szCs w:val="22"/>
                    </w:rPr>
                  </w:pPr>
                  <w:r w:rsidRPr="00235404">
                    <w:rPr>
                      <w:b/>
                      <w:bCs/>
                      <w:sz w:val="22"/>
                      <w:szCs w:val="22"/>
                    </w:rPr>
                    <w:t>KOPĀ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4AFBAA" w14:textId="77777777" w:rsidR="001C5EE2" w:rsidRPr="00235404" w:rsidRDefault="006E65FD" w:rsidP="00235404">
                  <w:pPr>
                    <w:spacing w:before="40" w:after="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35404">
                    <w:rPr>
                      <w:b/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094AFBAC" w14:textId="77777777" w:rsidR="001C5EE2" w:rsidRDefault="001C5EE2" w:rsidP="001C5EE2">
            <w:pPr>
              <w:autoSpaceDE w:val="0"/>
              <w:autoSpaceDN w:val="0"/>
              <w:adjustRightInd w:val="0"/>
              <w:rPr>
                <w:noProof w:val="0"/>
              </w:rPr>
            </w:pPr>
          </w:p>
        </w:tc>
      </w:tr>
    </w:tbl>
    <w:p w14:paraId="094AFBAE" w14:textId="77777777" w:rsidR="006309C7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</w:t>
      </w:r>
      <w:r w:rsidR="00F37759" w:rsidRPr="001C5EE2">
        <w:rPr>
          <w:noProof w:val="0"/>
        </w:rPr>
        <w:t>iedāvājumus izvērtē un lēmumu par Konkursa uzvarētāju pieņem Komisijas sēdē</w:t>
      </w:r>
      <w:r w:rsidRPr="001C5EE2">
        <w:rPr>
          <w:noProof w:val="0"/>
        </w:rPr>
        <w:t xml:space="preserve"> ne vēlāk kā 30</w:t>
      </w:r>
      <w:r w:rsidR="00F37759" w:rsidRPr="001C5EE2">
        <w:rPr>
          <w:noProof w:val="0"/>
        </w:rPr>
        <w:t xml:space="preserve"> dienu laikā pēc piedāvājumu atvēršanas sanāksmes.</w:t>
      </w:r>
    </w:p>
    <w:p w14:paraId="094AFBAF" w14:textId="77777777" w:rsidR="006309C7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Komisijai ir tiesības noraidīt visus piedāvājumus, ja to kopējais novērtējumu punkti sastāda mazāk kā 70% no maksimāli iegūstamajiem novērtējuma punktiem.</w:t>
      </w:r>
    </w:p>
    <w:p w14:paraId="094AFBB0" w14:textId="77777777" w:rsidR="006309C7" w:rsidRPr="001C5EE2" w:rsidRDefault="006E65FD" w:rsidP="008D131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/>
        <w:ind w:left="284" w:hanging="284"/>
        <w:contextualSpacing w:val="0"/>
        <w:jc w:val="center"/>
        <w:rPr>
          <w:noProof w:val="0"/>
        </w:rPr>
      </w:pPr>
      <w:r w:rsidRPr="001C5EE2">
        <w:rPr>
          <w:b/>
          <w:bCs/>
          <w:noProof w:val="0"/>
        </w:rPr>
        <w:t>Konkursa Komisijas tiesības un pienākumi.</w:t>
      </w:r>
    </w:p>
    <w:p w14:paraId="094AFBB1" w14:textId="77777777" w:rsidR="006309C7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Komisijas tiesības:</w:t>
      </w:r>
    </w:p>
    <w:p w14:paraId="094AFBB2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pieprasīt papildu informāciju no Pretendentiem, ja tas nepieciešams piedāvājumu vērtēšanai,</w:t>
      </w:r>
    </w:p>
    <w:p w14:paraId="094AFBB3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noraidīt piedāvājumus, ja tie neatbilst Konkursa nolikuma prasībām,</w:t>
      </w:r>
    </w:p>
    <w:p w14:paraId="094AFBB4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pieņemt lēmumu izbeigt Konkursu, nenosakot uzvarētāju,</w:t>
      </w:r>
    </w:p>
    <w:p w14:paraId="094AFBB5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Komisija patur sev tiesības nekomentēt Konkursa norises gaitu.</w:t>
      </w:r>
    </w:p>
    <w:p w14:paraId="094AFBB6" w14:textId="77777777" w:rsidR="006309C7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noProof w:val="0"/>
        </w:rPr>
        <w:t xml:space="preserve"> </w:t>
      </w:r>
      <w:r w:rsidR="00F37759" w:rsidRPr="001C5EE2">
        <w:rPr>
          <w:noProof w:val="0"/>
        </w:rPr>
        <w:t>Komisijas pienākumi:</w:t>
      </w:r>
    </w:p>
    <w:p w14:paraId="094AFBB7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nodrošināt Konkursa pro</w:t>
      </w:r>
      <w:r w:rsidR="00246478">
        <w:rPr>
          <w:noProof w:val="0"/>
        </w:rPr>
        <w:t>cedūras norisi un dokumentēšanu;</w:t>
      </w:r>
    </w:p>
    <w:p w14:paraId="094AFBB8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nodrošināt vienlīdzīgu un taisnī</w:t>
      </w:r>
      <w:r w:rsidR="00246478">
        <w:rPr>
          <w:noProof w:val="0"/>
        </w:rPr>
        <w:t>gu attieksmi pret Pretendentiem;</w:t>
      </w:r>
    </w:p>
    <w:p w14:paraId="094AFBB9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 xml:space="preserve">neizpaust informāciju par iesniegto piedāvājumu saturu līdz Konkursa rezultātu </w:t>
      </w:r>
      <w:r w:rsidR="00246478">
        <w:rPr>
          <w:noProof w:val="0"/>
        </w:rPr>
        <w:t>paziņošanai;</w:t>
      </w:r>
    </w:p>
    <w:p w14:paraId="094AFBBA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>
        <w:rPr>
          <w:noProof w:val="0"/>
        </w:rPr>
        <w:t>noteikt Konkursa uzvarētāju;</w:t>
      </w:r>
    </w:p>
    <w:p w14:paraId="094AFBBB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3 (trīs) darba dienu laikā pēc lēmuma pieņemšanas rakstiski informēt visus  Pretendentus par Konkursa rezultātiem vai paziņot par visu piedāvājumu</w:t>
      </w:r>
      <w:r w:rsidR="00923039" w:rsidRPr="001C5EE2">
        <w:rPr>
          <w:noProof w:val="0"/>
        </w:rPr>
        <w:t xml:space="preserve"> </w:t>
      </w:r>
      <w:r w:rsidRPr="001C5EE2">
        <w:rPr>
          <w:noProof w:val="0"/>
        </w:rPr>
        <w:t>noraidīšanas iemesliem.</w:t>
      </w:r>
    </w:p>
    <w:p w14:paraId="094AFBBC" w14:textId="77777777" w:rsidR="006309C7" w:rsidRPr="001C5EE2" w:rsidRDefault="006E65FD" w:rsidP="008D131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 w:val="0"/>
        <w:jc w:val="center"/>
        <w:rPr>
          <w:noProof w:val="0"/>
        </w:rPr>
      </w:pPr>
      <w:r w:rsidRPr="001C5EE2">
        <w:rPr>
          <w:b/>
          <w:bCs/>
          <w:noProof w:val="0"/>
        </w:rPr>
        <w:lastRenderedPageBreak/>
        <w:t>Pretendenta tiesības un pienākumi.</w:t>
      </w:r>
    </w:p>
    <w:p w14:paraId="094AFBBD" w14:textId="77777777" w:rsidR="006309C7" w:rsidRPr="001C5EE2" w:rsidRDefault="006E65FD" w:rsidP="008D131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Pretendentam ir tiesības:</w:t>
      </w:r>
    </w:p>
    <w:p w14:paraId="094AFBBE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pieprasīt papildu informāciju par nolikumu;</w:t>
      </w:r>
    </w:p>
    <w:p w14:paraId="094AFBBF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līdz piedāvājumu iesniegšanas termiņa beigām grozīt vai atsaukt iesniegto piedāvājumu</w:t>
      </w:r>
      <w:r w:rsidR="006161AF">
        <w:rPr>
          <w:noProof w:val="0"/>
        </w:rPr>
        <w:t>.</w:t>
      </w:r>
    </w:p>
    <w:p w14:paraId="094AFBC0" w14:textId="77777777" w:rsidR="006309C7" w:rsidRPr="001C5EE2" w:rsidRDefault="006E65FD" w:rsidP="0023540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>
        <w:rPr>
          <w:noProof w:val="0"/>
        </w:rPr>
        <w:t xml:space="preserve"> </w:t>
      </w:r>
      <w:r w:rsidRPr="001C5EE2">
        <w:rPr>
          <w:noProof w:val="0"/>
        </w:rPr>
        <w:t>P</w:t>
      </w:r>
      <w:r w:rsidR="00F37759" w:rsidRPr="001C5EE2">
        <w:rPr>
          <w:noProof w:val="0"/>
        </w:rPr>
        <w:t>retendenta pienākumi:</w:t>
      </w:r>
    </w:p>
    <w:p w14:paraId="094AFBC1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 xml:space="preserve">sagatavot piedāvājumu atbilstoši </w:t>
      </w:r>
      <w:r w:rsidR="006161AF">
        <w:rPr>
          <w:noProof w:val="0"/>
        </w:rPr>
        <w:t>N</w:t>
      </w:r>
      <w:r w:rsidRPr="001C5EE2">
        <w:rPr>
          <w:noProof w:val="0"/>
        </w:rPr>
        <w:t>olikuma prasībām;</w:t>
      </w:r>
    </w:p>
    <w:p w14:paraId="094AFBC2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sniegt patiesu informāciju;</w:t>
      </w:r>
    </w:p>
    <w:p w14:paraId="094AFBC3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sniegt atbildes uz Komisijas pieprasījumiem par papildus informāciju, kas nepieciešama piedāvājumu vērtēšanai;</w:t>
      </w:r>
    </w:p>
    <w:p w14:paraId="094AFBC4" w14:textId="77777777" w:rsidR="006309C7" w:rsidRPr="001C5EE2" w:rsidRDefault="006E65FD" w:rsidP="004D7477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/>
        <w:ind w:left="1276" w:hanging="709"/>
        <w:rPr>
          <w:noProof w:val="0"/>
        </w:rPr>
      </w:pPr>
      <w:r w:rsidRPr="001C5EE2">
        <w:rPr>
          <w:noProof w:val="0"/>
        </w:rPr>
        <w:t>segt visas izmaksas, kas saistītas ar piedāvāj</w:t>
      </w:r>
      <w:r w:rsidR="00246478">
        <w:rPr>
          <w:noProof w:val="0"/>
        </w:rPr>
        <w:t>umu sagatavošanu un iesniegšanu.</w:t>
      </w:r>
    </w:p>
    <w:p w14:paraId="094AFBC5" w14:textId="77777777" w:rsidR="006309C7" w:rsidRPr="001C5EE2" w:rsidRDefault="006E65FD" w:rsidP="002354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 w:val="0"/>
        <w:jc w:val="center"/>
        <w:rPr>
          <w:noProof w:val="0"/>
        </w:rPr>
      </w:pPr>
      <w:r w:rsidRPr="001C5EE2">
        <w:rPr>
          <w:b/>
          <w:bCs/>
          <w:noProof w:val="0"/>
        </w:rPr>
        <w:t>Lēmums par Konkursa uzvarētāju un līguma slēgšanu.</w:t>
      </w:r>
    </w:p>
    <w:p w14:paraId="094AFBC6" w14:textId="77777777" w:rsidR="006309C7" w:rsidRPr="001C5EE2" w:rsidRDefault="006E65FD" w:rsidP="0023540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Konkursa rezultātus apstiprina un lēmumu par Konkur</w:t>
      </w:r>
      <w:r w:rsidR="00923039" w:rsidRPr="001C5EE2">
        <w:rPr>
          <w:noProof w:val="0"/>
        </w:rPr>
        <w:t>sa uzvarētāju pieņem Komisija un apstiprina Ādažu novada dome.</w:t>
      </w:r>
    </w:p>
    <w:p w14:paraId="094AFBC7" w14:textId="77777777" w:rsidR="006309C7" w:rsidRPr="001C5EE2" w:rsidRDefault="006E65FD" w:rsidP="0023540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Z</w:t>
      </w:r>
      <w:r w:rsidR="00F37759" w:rsidRPr="001C5EE2">
        <w:rPr>
          <w:noProof w:val="0"/>
        </w:rPr>
        <w:t>emes nomas līgums ar Kon</w:t>
      </w:r>
      <w:r w:rsidRPr="001C5EE2">
        <w:rPr>
          <w:noProof w:val="0"/>
        </w:rPr>
        <w:t>kursa uzvarētāju tiek noslēgts 3 (trīs)</w:t>
      </w:r>
      <w:r w:rsidR="00F37759" w:rsidRPr="001C5EE2">
        <w:rPr>
          <w:noProof w:val="0"/>
        </w:rPr>
        <w:t xml:space="preserve"> mēnešu laikā no lēmuma</w:t>
      </w:r>
      <w:r w:rsidRPr="001C5EE2">
        <w:rPr>
          <w:noProof w:val="0"/>
        </w:rPr>
        <w:t xml:space="preserve"> par Konkursa rezultātu apstiprināšanas pieņemšanas dienas.</w:t>
      </w:r>
    </w:p>
    <w:p w14:paraId="094AFBC8" w14:textId="77777777" w:rsidR="00695ABA" w:rsidRPr="001C5EE2" w:rsidRDefault="006E65FD" w:rsidP="00235404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120" w:after="0"/>
        <w:ind w:left="567" w:hanging="567"/>
        <w:contextualSpacing w:val="0"/>
        <w:rPr>
          <w:noProof w:val="0"/>
        </w:rPr>
      </w:pPr>
      <w:r w:rsidRPr="001C5EE2">
        <w:rPr>
          <w:noProof w:val="0"/>
        </w:rPr>
        <w:t>J</w:t>
      </w:r>
      <w:r w:rsidR="00F37759" w:rsidRPr="001C5EE2">
        <w:rPr>
          <w:noProof w:val="0"/>
        </w:rPr>
        <w:t>a Konkursa uzvarētājs atsakās no zemes nomas līguma slēgšanas vai to neparaksta</w:t>
      </w:r>
      <w:r w:rsidR="006309C7" w:rsidRPr="001C5EE2">
        <w:rPr>
          <w:noProof w:val="0"/>
        </w:rPr>
        <w:t xml:space="preserve"> </w:t>
      </w:r>
      <w:r w:rsidRPr="001C5EE2">
        <w:rPr>
          <w:noProof w:val="0"/>
        </w:rPr>
        <w:t>3</w:t>
      </w:r>
      <w:r w:rsidR="00F37759" w:rsidRPr="001C5EE2">
        <w:rPr>
          <w:noProof w:val="0"/>
        </w:rPr>
        <w:t xml:space="preserve"> </w:t>
      </w:r>
      <w:r w:rsidR="008C6127" w:rsidRPr="001C5EE2">
        <w:rPr>
          <w:noProof w:val="0"/>
        </w:rPr>
        <w:t xml:space="preserve">(trīs) </w:t>
      </w:r>
      <w:r w:rsidR="00F37759" w:rsidRPr="001C5EE2">
        <w:rPr>
          <w:noProof w:val="0"/>
        </w:rPr>
        <w:t xml:space="preserve">mēnešu laikā </w:t>
      </w:r>
      <w:r w:rsidRPr="001C5EE2">
        <w:rPr>
          <w:noProof w:val="0"/>
        </w:rPr>
        <w:t>Konkursa rezultātu apstiprināšanas pieņem</w:t>
      </w:r>
      <w:r w:rsidR="008C6127" w:rsidRPr="001C5EE2">
        <w:rPr>
          <w:noProof w:val="0"/>
        </w:rPr>
        <w:t>šanas dienas, Konkursa rezultāti</w:t>
      </w:r>
      <w:r w:rsidRPr="001C5EE2">
        <w:rPr>
          <w:noProof w:val="0"/>
        </w:rPr>
        <w:t xml:space="preserve"> zaudē spēku.</w:t>
      </w:r>
    </w:p>
    <w:p w14:paraId="094AFBC9" w14:textId="77777777" w:rsidR="00923039" w:rsidRDefault="00923039" w:rsidP="007516D1">
      <w:pPr>
        <w:autoSpaceDE w:val="0"/>
        <w:autoSpaceDN w:val="0"/>
        <w:adjustRightInd w:val="0"/>
        <w:spacing w:after="0"/>
        <w:ind w:left="567"/>
        <w:jc w:val="left"/>
        <w:rPr>
          <w:noProof w:val="0"/>
          <w:color w:val="000000"/>
        </w:rPr>
      </w:pPr>
    </w:p>
    <w:p w14:paraId="094AFBCA" w14:textId="77777777" w:rsidR="00923039" w:rsidRDefault="00923039" w:rsidP="007516D1">
      <w:pPr>
        <w:autoSpaceDE w:val="0"/>
        <w:autoSpaceDN w:val="0"/>
        <w:adjustRightInd w:val="0"/>
        <w:spacing w:after="0"/>
        <w:ind w:left="567"/>
        <w:rPr>
          <w:noProof w:val="0"/>
          <w:color w:val="000000"/>
        </w:rPr>
      </w:pPr>
    </w:p>
    <w:p w14:paraId="094AFBCB" w14:textId="77777777" w:rsidR="001C5EE2" w:rsidRDefault="001C5EE2" w:rsidP="007516D1">
      <w:pPr>
        <w:autoSpaceDE w:val="0"/>
        <w:autoSpaceDN w:val="0"/>
        <w:adjustRightInd w:val="0"/>
        <w:spacing w:after="0"/>
        <w:ind w:left="567"/>
        <w:rPr>
          <w:noProof w:val="0"/>
          <w:color w:val="000000"/>
        </w:rPr>
      </w:pPr>
    </w:p>
    <w:p w14:paraId="094AFBCC" w14:textId="511F0C63" w:rsidR="00923039" w:rsidRDefault="006E65FD" w:rsidP="001C5EE2">
      <w:pPr>
        <w:autoSpaceDE w:val="0"/>
        <w:autoSpaceDN w:val="0"/>
        <w:adjustRightInd w:val="0"/>
        <w:spacing w:after="0"/>
        <w:rPr>
          <w:noProof w:val="0"/>
          <w:color w:val="000000"/>
        </w:rPr>
      </w:pPr>
      <w:r>
        <w:rPr>
          <w:noProof w:val="0"/>
          <w:color w:val="000000"/>
        </w:rPr>
        <w:t>Domes priekšsēdētājs</w:t>
      </w:r>
      <w:r w:rsidR="001C5EE2">
        <w:rPr>
          <w:noProof w:val="0"/>
          <w:color w:val="000000"/>
        </w:rPr>
        <w:tab/>
      </w:r>
      <w:r w:rsidR="001C5EE2">
        <w:rPr>
          <w:noProof w:val="0"/>
          <w:color w:val="000000"/>
        </w:rPr>
        <w:tab/>
      </w:r>
      <w:r w:rsidR="001C5EE2">
        <w:rPr>
          <w:noProof w:val="0"/>
          <w:color w:val="000000"/>
        </w:rPr>
        <w:tab/>
      </w:r>
      <w:r w:rsidR="001C5EE2">
        <w:rPr>
          <w:noProof w:val="0"/>
          <w:color w:val="000000"/>
        </w:rPr>
        <w:tab/>
      </w:r>
      <w:r w:rsidR="001C5EE2">
        <w:rPr>
          <w:noProof w:val="0"/>
          <w:color w:val="000000"/>
        </w:rPr>
        <w:tab/>
      </w:r>
      <w:r>
        <w:rPr>
          <w:noProof w:val="0"/>
          <w:color w:val="000000"/>
        </w:rPr>
        <w:tab/>
      </w:r>
      <w:r w:rsidR="001C5EE2">
        <w:rPr>
          <w:noProof w:val="0"/>
          <w:color w:val="000000"/>
        </w:rPr>
        <w:tab/>
      </w:r>
      <w:r w:rsidR="001C5EE2">
        <w:rPr>
          <w:noProof w:val="0"/>
          <w:color w:val="000000"/>
        </w:rPr>
        <w:tab/>
      </w:r>
      <w:r>
        <w:rPr>
          <w:noProof w:val="0"/>
          <w:color w:val="000000"/>
        </w:rPr>
        <w:t>M.Sprindžuks</w:t>
      </w:r>
    </w:p>
    <w:p w14:paraId="094AFBCD" w14:textId="77777777" w:rsidR="00B22F6B" w:rsidRDefault="00B22F6B" w:rsidP="001C5EE2">
      <w:pPr>
        <w:autoSpaceDE w:val="0"/>
        <w:autoSpaceDN w:val="0"/>
        <w:adjustRightInd w:val="0"/>
        <w:spacing w:after="0"/>
        <w:rPr>
          <w:noProof w:val="0"/>
          <w:color w:val="000000"/>
        </w:rPr>
      </w:pPr>
    </w:p>
    <w:p w14:paraId="094AFBCE" w14:textId="77777777" w:rsidR="00120F77" w:rsidRDefault="00120F77"/>
    <w:sectPr w:rsidR="00120F77" w:rsidSect="006E65FD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ED706" w14:textId="77777777" w:rsidR="006E65FD" w:rsidRDefault="006E65FD">
      <w:pPr>
        <w:spacing w:after="0"/>
      </w:pPr>
      <w:r>
        <w:separator/>
      </w:r>
    </w:p>
  </w:endnote>
  <w:endnote w:type="continuationSeparator" w:id="0">
    <w:p w14:paraId="3E0420B2" w14:textId="77777777" w:rsidR="006E65FD" w:rsidRDefault="006E65FD">
      <w:pPr>
        <w:spacing w:after="0"/>
      </w:pPr>
      <w:r>
        <w:continuationSeparator/>
      </w:r>
    </w:p>
  </w:endnote>
  <w:endnote w:type="continuationNotice" w:id="1">
    <w:p w14:paraId="6FABE800" w14:textId="77777777" w:rsidR="00392936" w:rsidRDefault="003929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368437"/>
      <w:docPartObj>
        <w:docPartGallery w:val="Page Numbers (Bottom of Page)"/>
        <w:docPartUnique/>
      </w:docPartObj>
    </w:sdtPr>
    <w:sdtContent>
      <w:p w14:paraId="094AFBCF" w14:textId="5CD3BE94" w:rsidR="006E65FD" w:rsidRDefault="006E65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936">
          <w:t>5</w:t>
        </w:r>
        <w:r>
          <w:fldChar w:fldCharType="end"/>
        </w:r>
      </w:p>
    </w:sdtContent>
  </w:sdt>
  <w:p w14:paraId="094AFBD0" w14:textId="77777777" w:rsidR="006E65FD" w:rsidRDefault="006E6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7829B" w14:textId="77777777" w:rsidR="006E65FD" w:rsidRDefault="006E65FD">
      <w:pPr>
        <w:spacing w:after="0"/>
      </w:pPr>
      <w:r>
        <w:separator/>
      </w:r>
    </w:p>
  </w:footnote>
  <w:footnote w:type="continuationSeparator" w:id="0">
    <w:p w14:paraId="476837A1" w14:textId="77777777" w:rsidR="006E65FD" w:rsidRDefault="006E65FD">
      <w:pPr>
        <w:spacing w:after="0"/>
      </w:pPr>
      <w:r>
        <w:continuationSeparator/>
      </w:r>
    </w:p>
  </w:footnote>
  <w:footnote w:type="continuationNotice" w:id="1">
    <w:p w14:paraId="7231A08F" w14:textId="77777777" w:rsidR="00392936" w:rsidRDefault="0039293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3FA9"/>
    <w:multiLevelType w:val="hybridMultilevel"/>
    <w:tmpl w:val="E934FED0"/>
    <w:lvl w:ilvl="0" w:tplc="40404CCA">
      <w:start w:val="1"/>
      <w:numFmt w:val="decimal"/>
      <w:lvlText w:val="%1."/>
      <w:lvlJc w:val="left"/>
      <w:pPr>
        <w:ind w:left="720" w:hanging="360"/>
      </w:pPr>
    </w:lvl>
    <w:lvl w:ilvl="1" w:tplc="33747796" w:tentative="1">
      <w:start w:val="1"/>
      <w:numFmt w:val="lowerLetter"/>
      <w:lvlText w:val="%2."/>
      <w:lvlJc w:val="left"/>
      <w:pPr>
        <w:ind w:left="1440" w:hanging="360"/>
      </w:pPr>
    </w:lvl>
    <w:lvl w:ilvl="2" w:tplc="59DA6298" w:tentative="1">
      <w:start w:val="1"/>
      <w:numFmt w:val="lowerRoman"/>
      <w:lvlText w:val="%3."/>
      <w:lvlJc w:val="right"/>
      <w:pPr>
        <w:ind w:left="2160" w:hanging="180"/>
      </w:pPr>
    </w:lvl>
    <w:lvl w:ilvl="3" w:tplc="F8B2833A" w:tentative="1">
      <w:start w:val="1"/>
      <w:numFmt w:val="decimal"/>
      <w:lvlText w:val="%4."/>
      <w:lvlJc w:val="left"/>
      <w:pPr>
        <w:ind w:left="2880" w:hanging="360"/>
      </w:pPr>
    </w:lvl>
    <w:lvl w:ilvl="4" w:tplc="D382B6EE" w:tentative="1">
      <w:start w:val="1"/>
      <w:numFmt w:val="lowerLetter"/>
      <w:lvlText w:val="%5."/>
      <w:lvlJc w:val="left"/>
      <w:pPr>
        <w:ind w:left="3600" w:hanging="360"/>
      </w:pPr>
    </w:lvl>
    <w:lvl w:ilvl="5" w:tplc="6CDEEAD8" w:tentative="1">
      <w:start w:val="1"/>
      <w:numFmt w:val="lowerRoman"/>
      <w:lvlText w:val="%6."/>
      <w:lvlJc w:val="right"/>
      <w:pPr>
        <w:ind w:left="4320" w:hanging="180"/>
      </w:pPr>
    </w:lvl>
    <w:lvl w:ilvl="6" w:tplc="257EC900" w:tentative="1">
      <w:start w:val="1"/>
      <w:numFmt w:val="decimal"/>
      <w:lvlText w:val="%7."/>
      <w:lvlJc w:val="left"/>
      <w:pPr>
        <w:ind w:left="5040" w:hanging="360"/>
      </w:pPr>
    </w:lvl>
    <w:lvl w:ilvl="7" w:tplc="9FC4C212" w:tentative="1">
      <w:start w:val="1"/>
      <w:numFmt w:val="lowerLetter"/>
      <w:lvlText w:val="%8."/>
      <w:lvlJc w:val="left"/>
      <w:pPr>
        <w:ind w:left="5760" w:hanging="360"/>
      </w:pPr>
    </w:lvl>
    <w:lvl w:ilvl="8" w:tplc="CEB80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15F7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325276"/>
    <w:multiLevelType w:val="multilevel"/>
    <w:tmpl w:val="617A0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3" w15:restartNumberingAfterBreak="0">
    <w:nsid w:val="41AB0BA1"/>
    <w:multiLevelType w:val="multilevel"/>
    <w:tmpl w:val="C7EC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BF7F84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C7125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D018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7C0139"/>
    <w:multiLevelType w:val="multilevel"/>
    <w:tmpl w:val="22626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AE2863"/>
    <w:multiLevelType w:val="hybridMultilevel"/>
    <w:tmpl w:val="64E66322"/>
    <w:lvl w:ilvl="0" w:tplc="508E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E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2F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218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21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65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62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E9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02979"/>
    <w:multiLevelType w:val="multilevel"/>
    <w:tmpl w:val="A1B2D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0E1178"/>
    <w:multiLevelType w:val="hybridMultilevel"/>
    <w:tmpl w:val="ECBC8C7C"/>
    <w:lvl w:ilvl="0" w:tplc="E85E0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003A0">
      <w:start w:val="1"/>
      <w:numFmt w:val="lowerLetter"/>
      <w:lvlText w:val="%2."/>
      <w:lvlJc w:val="left"/>
      <w:pPr>
        <w:ind w:left="1440" w:hanging="360"/>
      </w:pPr>
    </w:lvl>
    <w:lvl w:ilvl="2" w:tplc="62EC8BB6">
      <w:start w:val="1"/>
      <w:numFmt w:val="lowerRoman"/>
      <w:lvlText w:val="%3."/>
      <w:lvlJc w:val="right"/>
      <w:pPr>
        <w:ind w:left="2160" w:hanging="180"/>
      </w:pPr>
    </w:lvl>
    <w:lvl w:ilvl="3" w:tplc="2912F2F6" w:tentative="1">
      <w:start w:val="1"/>
      <w:numFmt w:val="decimal"/>
      <w:lvlText w:val="%4."/>
      <w:lvlJc w:val="left"/>
      <w:pPr>
        <w:ind w:left="2880" w:hanging="360"/>
      </w:pPr>
    </w:lvl>
    <w:lvl w:ilvl="4" w:tplc="4C9ECC6A" w:tentative="1">
      <w:start w:val="1"/>
      <w:numFmt w:val="lowerLetter"/>
      <w:lvlText w:val="%5."/>
      <w:lvlJc w:val="left"/>
      <w:pPr>
        <w:ind w:left="3600" w:hanging="360"/>
      </w:pPr>
    </w:lvl>
    <w:lvl w:ilvl="5" w:tplc="B6F2F870" w:tentative="1">
      <w:start w:val="1"/>
      <w:numFmt w:val="lowerRoman"/>
      <w:lvlText w:val="%6."/>
      <w:lvlJc w:val="right"/>
      <w:pPr>
        <w:ind w:left="4320" w:hanging="180"/>
      </w:pPr>
    </w:lvl>
    <w:lvl w:ilvl="6" w:tplc="79AAEA3C" w:tentative="1">
      <w:start w:val="1"/>
      <w:numFmt w:val="decimal"/>
      <w:lvlText w:val="%7."/>
      <w:lvlJc w:val="left"/>
      <w:pPr>
        <w:ind w:left="5040" w:hanging="360"/>
      </w:pPr>
    </w:lvl>
    <w:lvl w:ilvl="7" w:tplc="944A6948" w:tentative="1">
      <w:start w:val="1"/>
      <w:numFmt w:val="lowerLetter"/>
      <w:lvlText w:val="%8."/>
      <w:lvlJc w:val="left"/>
      <w:pPr>
        <w:ind w:left="5760" w:hanging="360"/>
      </w:pPr>
    </w:lvl>
    <w:lvl w:ilvl="8" w:tplc="87321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1486C"/>
    <w:multiLevelType w:val="multilevel"/>
    <w:tmpl w:val="17068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59"/>
    <w:rsid w:val="00023B36"/>
    <w:rsid w:val="0003235C"/>
    <w:rsid w:val="000B5FFE"/>
    <w:rsid w:val="000F3C23"/>
    <w:rsid w:val="00120F77"/>
    <w:rsid w:val="00131D5F"/>
    <w:rsid w:val="001C11A8"/>
    <w:rsid w:val="001C1A60"/>
    <w:rsid w:val="001C5EE2"/>
    <w:rsid w:val="001F660D"/>
    <w:rsid w:val="00206B24"/>
    <w:rsid w:val="00207519"/>
    <w:rsid w:val="00234275"/>
    <w:rsid w:val="00235404"/>
    <w:rsid w:val="00246478"/>
    <w:rsid w:val="002C5EDF"/>
    <w:rsid w:val="00310354"/>
    <w:rsid w:val="0037064E"/>
    <w:rsid w:val="00392936"/>
    <w:rsid w:val="003D5FA6"/>
    <w:rsid w:val="003F565F"/>
    <w:rsid w:val="003F6AE6"/>
    <w:rsid w:val="00410594"/>
    <w:rsid w:val="0047234F"/>
    <w:rsid w:val="004969AA"/>
    <w:rsid w:val="004A2B62"/>
    <w:rsid w:val="004D7477"/>
    <w:rsid w:val="004E1186"/>
    <w:rsid w:val="004F76F9"/>
    <w:rsid w:val="005001A3"/>
    <w:rsid w:val="00522DC3"/>
    <w:rsid w:val="005379FE"/>
    <w:rsid w:val="0055739C"/>
    <w:rsid w:val="005802AD"/>
    <w:rsid w:val="00582ABE"/>
    <w:rsid w:val="005A5BF5"/>
    <w:rsid w:val="005B576A"/>
    <w:rsid w:val="005E7DCF"/>
    <w:rsid w:val="005F2E9A"/>
    <w:rsid w:val="005F3C44"/>
    <w:rsid w:val="006161AF"/>
    <w:rsid w:val="00626055"/>
    <w:rsid w:val="006309C7"/>
    <w:rsid w:val="006363A7"/>
    <w:rsid w:val="0066149C"/>
    <w:rsid w:val="00674725"/>
    <w:rsid w:val="00695ABA"/>
    <w:rsid w:val="006A3A9C"/>
    <w:rsid w:val="006E65FD"/>
    <w:rsid w:val="00726C6D"/>
    <w:rsid w:val="00734BCD"/>
    <w:rsid w:val="007516D1"/>
    <w:rsid w:val="0079648B"/>
    <w:rsid w:val="008404D0"/>
    <w:rsid w:val="00842C06"/>
    <w:rsid w:val="00856A98"/>
    <w:rsid w:val="00864024"/>
    <w:rsid w:val="0088206E"/>
    <w:rsid w:val="008C6127"/>
    <w:rsid w:val="008D1314"/>
    <w:rsid w:val="008D3724"/>
    <w:rsid w:val="008E05E2"/>
    <w:rsid w:val="008E1308"/>
    <w:rsid w:val="00923039"/>
    <w:rsid w:val="009E2245"/>
    <w:rsid w:val="009F3AA9"/>
    <w:rsid w:val="00A23333"/>
    <w:rsid w:val="00A25AED"/>
    <w:rsid w:val="00A2617B"/>
    <w:rsid w:val="00A43A55"/>
    <w:rsid w:val="00A52574"/>
    <w:rsid w:val="00A85E2E"/>
    <w:rsid w:val="00A93600"/>
    <w:rsid w:val="00AD2F39"/>
    <w:rsid w:val="00AE76A8"/>
    <w:rsid w:val="00B22F6B"/>
    <w:rsid w:val="00B52CEB"/>
    <w:rsid w:val="00B63D60"/>
    <w:rsid w:val="00B66357"/>
    <w:rsid w:val="00B973C6"/>
    <w:rsid w:val="00BE6912"/>
    <w:rsid w:val="00C178A7"/>
    <w:rsid w:val="00C75636"/>
    <w:rsid w:val="00C86D67"/>
    <w:rsid w:val="00CC1B97"/>
    <w:rsid w:val="00CD31C1"/>
    <w:rsid w:val="00D00429"/>
    <w:rsid w:val="00D325BA"/>
    <w:rsid w:val="00DB2D0B"/>
    <w:rsid w:val="00E25E48"/>
    <w:rsid w:val="00E57FC5"/>
    <w:rsid w:val="00E779C3"/>
    <w:rsid w:val="00E81D87"/>
    <w:rsid w:val="00E8688D"/>
    <w:rsid w:val="00EB7C20"/>
    <w:rsid w:val="00ED5404"/>
    <w:rsid w:val="00F37759"/>
    <w:rsid w:val="00F37F64"/>
    <w:rsid w:val="00F6091F"/>
    <w:rsid w:val="00F755CC"/>
    <w:rsid w:val="00F84D0B"/>
    <w:rsid w:val="00FA25FB"/>
    <w:rsid w:val="00FA3418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94AFB46"/>
  <w15:docId w15:val="{13539504-8C2E-4792-83E7-3AAB2FC5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C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C6D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C6D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C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C6D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E868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0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605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unhideWhenUsed/>
    <w:rsid w:val="001C5E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F6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2F6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22F6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2F6B"/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B22F6B"/>
    <w:rPr>
      <w:color w:val="800080" w:themeColor="followedHyperlink"/>
      <w:u w:val="single"/>
    </w:rPr>
  </w:style>
  <w:style w:type="paragraph" w:customStyle="1" w:styleId="NoSpacing1">
    <w:name w:val="No Spacing1"/>
    <w:rsid w:val="006E65FD"/>
    <w:pPr>
      <w:widowControl w:val="0"/>
      <w:suppressAutoHyphens/>
      <w:spacing w:after="0"/>
      <w:jc w:val="left"/>
    </w:pPr>
    <w:rPr>
      <w:rFonts w:eastAsia="SimSu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s.bruvers@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7BB64-F0E6-4657-8634-E0E5ECCB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7380</Words>
  <Characters>4207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Spricis</dc:creator>
  <cp:lastModifiedBy>Jevgēnija Sviridenkova</cp:lastModifiedBy>
  <cp:revision>4</cp:revision>
  <cp:lastPrinted>2017-07-26T05:39:00Z</cp:lastPrinted>
  <dcterms:created xsi:type="dcterms:W3CDTF">2017-08-16T14:13:00Z</dcterms:created>
  <dcterms:modified xsi:type="dcterms:W3CDTF">2017-08-23T16:12:00Z</dcterms:modified>
</cp:coreProperties>
</file>