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0875" w14:textId="4E249A45" w:rsidR="00565439" w:rsidRPr="00E17E63" w:rsidRDefault="00C6046A" w:rsidP="00E17E63">
      <w:p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 xml:space="preserve">Laika posmā no 2017.gada 7.aprīļa līdz 2022.gada 23.martam </w:t>
      </w:r>
      <w:r w:rsidR="008E221C">
        <w:rPr>
          <w:rFonts w:cstheme="minorHAnsi"/>
          <w:bCs/>
        </w:rPr>
        <w:t>Uzņēmums A. Dundura vadībā</w:t>
      </w:r>
      <w:r w:rsidRPr="00E17E63">
        <w:rPr>
          <w:rFonts w:cstheme="minorHAnsi"/>
          <w:bCs/>
        </w:rPr>
        <w:t xml:space="preserve"> </w:t>
      </w:r>
      <w:r w:rsidR="00720824" w:rsidRPr="00E17E63">
        <w:rPr>
          <w:rFonts w:cstheme="minorHAnsi"/>
          <w:bCs/>
        </w:rPr>
        <w:t xml:space="preserve">ir būtiski </w:t>
      </w:r>
      <w:r w:rsidRPr="00E17E63">
        <w:rPr>
          <w:rFonts w:cstheme="minorHAnsi"/>
          <w:bCs/>
        </w:rPr>
        <w:t>pilnveidojusi darbību</w:t>
      </w:r>
      <w:r w:rsidR="008E221C">
        <w:rPr>
          <w:rFonts w:cstheme="minorHAnsi"/>
          <w:bCs/>
        </w:rPr>
        <w:t>, un to raksturo pamatrādītāju progress.</w:t>
      </w:r>
      <w:r w:rsidR="007B404E" w:rsidRPr="00E17E63">
        <w:rPr>
          <w:rFonts w:cstheme="minorHAnsi"/>
          <w:bCs/>
        </w:rPr>
        <w:t xml:space="preserve"> </w:t>
      </w:r>
    </w:p>
    <w:p w14:paraId="08AB6D0C" w14:textId="38BA1351" w:rsidR="00720824" w:rsidRPr="00E17E63" w:rsidRDefault="00720824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 xml:space="preserve">Neto apgrozījums pieaudzis par </w:t>
      </w:r>
      <w:r w:rsidR="005F292D">
        <w:rPr>
          <w:rFonts w:cstheme="minorHAnsi"/>
          <w:bCs/>
        </w:rPr>
        <w:t>49</w:t>
      </w:r>
      <w:r w:rsidRPr="00E17E63">
        <w:rPr>
          <w:rFonts w:cstheme="minorHAnsi"/>
          <w:bCs/>
        </w:rPr>
        <w:t>%</w:t>
      </w:r>
      <w:r w:rsidR="00654B47">
        <w:rPr>
          <w:rFonts w:cstheme="minorHAnsi"/>
          <w:b/>
          <w:bCs/>
        </w:rPr>
        <w:t xml:space="preserve"> </w:t>
      </w:r>
      <w:r w:rsidR="00654B47">
        <w:rPr>
          <w:rFonts w:cstheme="minorHAnsi"/>
          <w:bCs/>
        </w:rPr>
        <w:t xml:space="preserve">par </w:t>
      </w:r>
      <w:r w:rsidRPr="00E17E63">
        <w:rPr>
          <w:rFonts w:cstheme="minorHAnsi"/>
          <w:bCs/>
        </w:rPr>
        <w:t xml:space="preserve">440,5 tūkst. EUR no 897,4 tūkst. līdz 1 337,9 tūkst. EUR: </w:t>
      </w:r>
    </w:p>
    <w:p w14:paraId="33832B6B" w14:textId="10D8393D" w:rsidR="00720824" w:rsidRPr="00E17E63" w:rsidRDefault="00720824" w:rsidP="00654B47">
      <w:pPr>
        <w:pStyle w:val="ListParagraph"/>
        <w:spacing w:before="120"/>
        <w:ind w:left="126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2017.g. - 897,4 tūkst. EUR;</w:t>
      </w:r>
    </w:p>
    <w:p w14:paraId="4A257B57" w14:textId="676A7755" w:rsidR="00720824" w:rsidRPr="00E17E63" w:rsidRDefault="00720824" w:rsidP="00654B47">
      <w:pPr>
        <w:pStyle w:val="ListParagraph"/>
        <w:spacing w:before="120"/>
        <w:ind w:left="126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2018.g. - 928,4 tūkst. EUR;</w:t>
      </w:r>
    </w:p>
    <w:p w14:paraId="1AF99FC9" w14:textId="5AADB204" w:rsidR="00720824" w:rsidRPr="00E17E63" w:rsidRDefault="00720824" w:rsidP="00654B47">
      <w:pPr>
        <w:pStyle w:val="ListParagraph"/>
        <w:spacing w:before="120"/>
        <w:ind w:left="126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2019.g. - 988,2 tūkst. EUR;</w:t>
      </w:r>
    </w:p>
    <w:p w14:paraId="75739A10" w14:textId="2C41C7A0" w:rsidR="00720824" w:rsidRPr="00E17E63" w:rsidRDefault="00720824" w:rsidP="00654B47">
      <w:pPr>
        <w:pStyle w:val="ListParagraph"/>
        <w:spacing w:before="120"/>
        <w:ind w:left="126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2020.g. – 1 207,3 tūkst. EUR;</w:t>
      </w:r>
    </w:p>
    <w:p w14:paraId="6EEA52EB" w14:textId="7756F7BD" w:rsidR="00720824" w:rsidRDefault="00720824" w:rsidP="00654B47">
      <w:pPr>
        <w:pStyle w:val="ListParagraph"/>
        <w:spacing w:before="120"/>
        <w:ind w:left="126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2021.g. – 1 337,9 tūkst. EUR.</w:t>
      </w:r>
    </w:p>
    <w:p w14:paraId="745F6BE0" w14:textId="69CF0D7D" w:rsidR="006D2062" w:rsidRPr="00E17E63" w:rsidRDefault="006D2062" w:rsidP="006D2062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 xml:space="preserve">Apgrozījuma pieaugums uz 1 darbinieku pieaudzis par 40% jeb </w:t>
      </w:r>
      <w:r>
        <w:rPr>
          <w:rFonts w:cstheme="minorHAnsi"/>
          <w:bCs/>
        </w:rPr>
        <w:t>18,2</w:t>
      </w:r>
      <w:r w:rsidRPr="00E17E63">
        <w:rPr>
          <w:rFonts w:cstheme="minorHAnsi"/>
          <w:bCs/>
        </w:rPr>
        <w:t xml:space="preserve"> tūkst. EUR: no </w:t>
      </w:r>
      <w:r>
        <w:rPr>
          <w:rFonts w:cstheme="minorHAnsi"/>
          <w:bCs/>
        </w:rPr>
        <w:t xml:space="preserve">           </w:t>
      </w:r>
      <w:r w:rsidR="00D30C36">
        <w:rPr>
          <w:rFonts w:cstheme="minorHAnsi"/>
          <w:bCs/>
        </w:rPr>
        <w:t xml:space="preserve">    </w:t>
      </w:r>
      <w:r w:rsidR="00846F3C">
        <w:rPr>
          <w:rFonts w:cstheme="minorHAnsi"/>
          <w:bCs/>
        </w:rPr>
        <w:t xml:space="preserve">        </w:t>
      </w:r>
      <w:r w:rsidR="00857AB8">
        <w:rPr>
          <w:rFonts w:cstheme="minorHAnsi"/>
          <w:bCs/>
        </w:rPr>
        <w:t xml:space="preserve">   </w:t>
      </w:r>
      <w:r w:rsidRPr="00E17E63">
        <w:rPr>
          <w:rFonts w:cstheme="minorHAnsi"/>
          <w:bCs/>
        </w:rPr>
        <w:t>56,1</w:t>
      </w:r>
      <w:r>
        <w:rPr>
          <w:rFonts w:cstheme="minorHAnsi"/>
          <w:bCs/>
        </w:rPr>
        <w:t xml:space="preserve"> </w:t>
      </w:r>
      <w:r w:rsidRPr="00E17E63">
        <w:rPr>
          <w:rFonts w:cstheme="minorHAnsi"/>
          <w:bCs/>
        </w:rPr>
        <w:t xml:space="preserve">EUR tūkst. </w:t>
      </w:r>
      <w:r>
        <w:rPr>
          <w:rFonts w:cstheme="minorHAnsi"/>
          <w:bCs/>
        </w:rPr>
        <w:t xml:space="preserve">2017. gadā </w:t>
      </w:r>
      <w:r w:rsidRPr="00E17E63">
        <w:rPr>
          <w:rFonts w:cstheme="minorHAnsi"/>
          <w:bCs/>
        </w:rPr>
        <w:t>līdz 74,3 tūkst. EUR</w:t>
      </w:r>
      <w:r>
        <w:rPr>
          <w:rFonts w:cstheme="minorHAnsi"/>
          <w:bCs/>
        </w:rPr>
        <w:t xml:space="preserve"> 2021. gadā</w:t>
      </w:r>
      <w:r w:rsidRPr="00E17E63">
        <w:rPr>
          <w:rFonts w:cstheme="minorHAnsi"/>
          <w:bCs/>
        </w:rPr>
        <w:t>:</w:t>
      </w:r>
    </w:p>
    <w:p w14:paraId="0BBA77C6" w14:textId="00B4873D" w:rsidR="006D2062" w:rsidRPr="00E17E63" w:rsidRDefault="008E221C" w:rsidP="008E221C">
      <w:pPr>
        <w:pStyle w:val="ListParagraph"/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  <w:r w:rsidR="006D2062" w:rsidRPr="00E17E63">
        <w:rPr>
          <w:rFonts w:cstheme="minorHAnsi"/>
          <w:bCs/>
        </w:rPr>
        <w:t>2017.g. - 56,1 tūkst. EUR;</w:t>
      </w:r>
    </w:p>
    <w:p w14:paraId="0B91A31A" w14:textId="0562634D" w:rsidR="006D2062" w:rsidRPr="00E17E63" w:rsidRDefault="008E221C" w:rsidP="008E221C">
      <w:pPr>
        <w:pStyle w:val="ListParagraph"/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  <w:r w:rsidR="006D2062" w:rsidRPr="00E17E63">
        <w:rPr>
          <w:rFonts w:cstheme="minorHAnsi"/>
          <w:bCs/>
        </w:rPr>
        <w:t>2018.g. - 58,0 tūkst. EUR;</w:t>
      </w:r>
    </w:p>
    <w:p w14:paraId="6D2ACA73" w14:textId="6B8BBEA4" w:rsidR="006D2062" w:rsidRPr="00E17E63" w:rsidRDefault="008E221C" w:rsidP="008E221C">
      <w:pPr>
        <w:pStyle w:val="ListParagraph"/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  <w:r w:rsidR="006D2062" w:rsidRPr="00E17E63">
        <w:rPr>
          <w:rFonts w:cstheme="minorHAnsi"/>
          <w:bCs/>
        </w:rPr>
        <w:t>2019.g. - 61,8 tūkst. EUR;</w:t>
      </w:r>
    </w:p>
    <w:p w14:paraId="1DA58BD9" w14:textId="39544960" w:rsidR="006D2062" w:rsidRPr="00E17E63" w:rsidRDefault="008E221C" w:rsidP="008E221C">
      <w:pPr>
        <w:pStyle w:val="ListParagraph"/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  <w:r w:rsidR="006D2062" w:rsidRPr="00E17E63">
        <w:rPr>
          <w:rFonts w:cstheme="minorHAnsi"/>
          <w:bCs/>
        </w:rPr>
        <w:t>2020.g. - 69,4 tūkst. EUR;</w:t>
      </w:r>
    </w:p>
    <w:p w14:paraId="5E6B02C6" w14:textId="43C111D9" w:rsidR="006D2062" w:rsidRDefault="008E221C" w:rsidP="008E221C">
      <w:pPr>
        <w:pStyle w:val="ListParagraph"/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  <w:r w:rsidR="006D2062" w:rsidRPr="00E17E63">
        <w:rPr>
          <w:rFonts w:cstheme="minorHAnsi"/>
          <w:bCs/>
        </w:rPr>
        <w:t>2021.g. - 7</w:t>
      </w:r>
      <w:r w:rsidR="006D2062">
        <w:rPr>
          <w:rFonts w:cstheme="minorHAnsi"/>
          <w:bCs/>
        </w:rPr>
        <w:t>4</w:t>
      </w:r>
      <w:r w:rsidR="006D2062" w:rsidRPr="00E17E63">
        <w:rPr>
          <w:rFonts w:cstheme="minorHAnsi"/>
          <w:bCs/>
        </w:rPr>
        <w:t>,3 tūkst. EUR.</w:t>
      </w:r>
    </w:p>
    <w:p w14:paraId="320556BD" w14:textId="4C919AD0" w:rsidR="00E17E63" w:rsidRPr="00E17E63" w:rsidRDefault="00E17E63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Veikta Ādažu notekūdens attīrīšanas iekārtu pārbūves II kārta 1,6 milj. EUR vērtībā;</w:t>
      </w:r>
    </w:p>
    <w:p w14:paraId="2645BCD1" w14:textId="0DC925CD" w:rsidR="00C6046A" w:rsidRPr="00E17E63" w:rsidRDefault="00C6046A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Izbūvēti kanalizācijas tīkli 2,4 km garumā un ūdens tīkli 2,1 km garumā</w:t>
      </w:r>
      <w:r w:rsidR="00441CB3" w:rsidRPr="00E17E63">
        <w:rPr>
          <w:rFonts w:cstheme="minorHAnsi"/>
          <w:bCs/>
        </w:rPr>
        <w:t>;</w:t>
      </w:r>
    </w:p>
    <w:p w14:paraId="7C148627" w14:textId="2544C06F" w:rsidR="002431CC" w:rsidRPr="00E17E63" w:rsidRDefault="002431CC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Realizēts ES KF līdzfinansēts projekts „Ūdenssaimniecības pakalpojumu attīstība Ādažos, III kā</w:t>
      </w:r>
      <w:r w:rsidR="00DA17EB" w:rsidRPr="00E17E63">
        <w:rPr>
          <w:rFonts w:cstheme="minorHAnsi"/>
          <w:bCs/>
        </w:rPr>
        <w:t>r</w:t>
      </w:r>
      <w:r w:rsidRPr="00E17E63">
        <w:rPr>
          <w:rFonts w:cstheme="minorHAnsi"/>
          <w:bCs/>
        </w:rPr>
        <w:t>ta” izbūvējot kanalizācijas tīklus Jaunkūlu rajonā par 0,8 milj. EUR;</w:t>
      </w:r>
    </w:p>
    <w:p w14:paraId="53CC76A8" w14:textId="1D8E8C5E" w:rsidR="00C319FA" w:rsidRPr="00E17E63" w:rsidRDefault="00C319FA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</w:rPr>
      </w:pPr>
      <w:r w:rsidRPr="00E17E63">
        <w:rPr>
          <w:rFonts w:cstheme="minorHAnsi"/>
        </w:rPr>
        <w:t>Uzsākta</w:t>
      </w:r>
      <w:r w:rsidR="00654B47">
        <w:rPr>
          <w:rFonts w:cstheme="minorHAnsi"/>
        </w:rPr>
        <w:t xml:space="preserve"> </w:t>
      </w:r>
      <w:r w:rsidRPr="00E17E63">
        <w:rPr>
          <w:rFonts w:cstheme="minorHAnsi"/>
        </w:rPr>
        <w:t xml:space="preserve">Ādažu notekūdens attīrīšanas iekārtu III kārtas </w:t>
      </w:r>
      <w:r w:rsidR="00E17E63" w:rsidRPr="00E17E63">
        <w:rPr>
          <w:rFonts w:cstheme="minorHAnsi"/>
        </w:rPr>
        <w:t>pārbūve (paplašināšana)</w:t>
      </w:r>
      <w:r w:rsidRPr="00E17E63">
        <w:rPr>
          <w:rFonts w:cstheme="minorHAnsi"/>
        </w:rPr>
        <w:t xml:space="preserve"> 3,</w:t>
      </w:r>
      <w:r w:rsidR="00DA17EB" w:rsidRPr="00E17E63">
        <w:rPr>
          <w:rFonts w:cstheme="minorHAnsi"/>
        </w:rPr>
        <w:t>1</w:t>
      </w:r>
      <w:r w:rsidRPr="00E17E63">
        <w:rPr>
          <w:rFonts w:cstheme="minorHAnsi"/>
        </w:rPr>
        <w:t xml:space="preserve"> milj. EUR vērtībā;</w:t>
      </w:r>
    </w:p>
    <w:p w14:paraId="3ACEB20A" w14:textId="58534AE0" w:rsidR="008A1B56" w:rsidRPr="00E17E63" w:rsidRDefault="00C319FA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</w:rPr>
      </w:pPr>
      <w:r w:rsidRPr="00E17E63">
        <w:rPr>
          <w:rFonts w:cstheme="minorHAnsi"/>
        </w:rPr>
        <w:t xml:space="preserve">Uzsākta 2 solāro elektrostaciju izbūve </w:t>
      </w:r>
      <w:r w:rsidR="00E17E63" w:rsidRPr="00E17E63">
        <w:rPr>
          <w:rFonts w:cstheme="minorHAnsi"/>
        </w:rPr>
        <w:t>142</w:t>
      </w:r>
      <w:r w:rsidRPr="00E17E63">
        <w:rPr>
          <w:rFonts w:cstheme="minorHAnsi"/>
        </w:rPr>
        <w:t xml:space="preserve"> tūkst. EUR</w:t>
      </w:r>
      <w:r w:rsidR="002431CC" w:rsidRPr="00E17E63">
        <w:rPr>
          <w:rFonts w:cstheme="minorHAnsi"/>
        </w:rPr>
        <w:t xml:space="preserve"> </w:t>
      </w:r>
      <w:r w:rsidR="00E17E63" w:rsidRPr="00E17E63">
        <w:rPr>
          <w:rFonts w:cstheme="minorHAnsi"/>
        </w:rPr>
        <w:t>vērtībā</w:t>
      </w:r>
      <w:r w:rsidRPr="00E17E63">
        <w:rPr>
          <w:rFonts w:cstheme="minorHAnsi"/>
        </w:rPr>
        <w:t xml:space="preserve">, piesaistot </w:t>
      </w:r>
      <w:r w:rsidR="008A1B56" w:rsidRPr="00E17E63">
        <w:rPr>
          <w:rFonts w:cstheme="minorHAnsi"/>
        </w:rPr>
        <w:t>ES struktūrfondu līdzfinan</w:t>
      </w:r>
      <w:r w:rsidR="002431CC" w:rsidRPr="00E17E63">
        <w:rPr>
          <w:rFonts w:cstheme="minorHAnsi"/>
        </w:rPr>
        <w:t>sē</w:t>
      </w:r>
      <w:r w:rsidR="008A1B56" w:rsidRPr="00E17E63">
        <w:rPr>
          <w:rFonts w:cstheme="minorHAnsi"/>
        </w:rPr>
        <w:t>jumu</w:t>
      </w:r>
      <w:r w:rsidR="002431CC" w:rsidRPr="00E17E63">
        <w:rPr>
          <w:rFonts w:cstheme="minorHAnsi"/>
        </w:rPr>
        <w:t xml:space="preserve"> 85%</w:t>
      </w:r>
      <w:r w:rsidR="00654B47">
        <w:rPr>
          <w:rFonts w:cstheme="minorHAnsi"/>
        </w:rPr>
        <w:t xml:space="preserve"> </w:t>
      </w:r>
      <w:r w:rsidR="002431CC" w:rsidRPr="00E17E63">
        <w:rPr>
          <w:rFonts w:cstheme="minorHAnsi"/>
        </w:rPr>
        <w:t>apmērā</w:t>
      </w:r>
      <w:r w:rsidR="008A1B56" w:rsidRPr="00E17E63">
        <w:rPr>
          <w:rFonts w:cstheme="minorHAnsi"/>
        </w:rPr>
        <w:t>;</w:t>
      </w:r>
    </w:p>
    <w:p w14:paraId="6563C0C0" w14:textId="6EDD7174" w:rsidR="00C319FA" w:rsidRPr="00E17E63" w:rsidRDefault="00C319FA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</w:rPr>
      </w:pPr>
      <w:r w:rsidRPr="00E17E63">
        <w:rPr>
          <w:rFonts w:cstheme="minorHAnsi"/>
        </w:rPr>
        <w:t xml:space="preserve">Izveidots jauns artēziskais </w:t>
      </w:r>
      <w:r w:rsidR="002431CC" w:rsidRPr="00E17E63">
        <w:rPr>
          <w:rFonts w:cstheme="minorHAnsi"/>
        </w:rPr>
        <w:t>dziļ</w:t>
      </w:r>
      <w:r w:rsidRPr="00E17E63">
        <w:rPr>
          <w:rFonts w:cstheme="minorHAnsi"/>
        </w:rPr>
        <w:t>urbums Garkalnes ciema ūdensgūtnē</w:t>
      </w:r>
      <w:r w:rsidR="00654B47">
        <w:rPr>
          <w:rFonts w:cstheme="minorHAnsi"/>
        </w:rPr>
        <w:t xml:space="preserve"> </w:t>
      </w:r>
      <w:r w:rsidR="00CF6914" w:rsidRPr="00E17E63">
        <w:rPr>
          <w:rFonts w:cstheme="minorHAnsi"/>
        </w:rPr>
        <w:t xml:space="preserve">42 </w:t>
      </w:r>
      <w:r w:rsidRPr="00E17E63">
        <w:rPr>
          <w:rFonts w:cstheme="minorHAnsi"/>
        </w:rPr>
        <w:t>tūkst. EUR vērtībā;</w:t>
      </w:r>
    </w:p>
    <w:p w14:paraId="3EE6698E" w14:textId="66AE27F2" w:rsidR="00C319FA" w:rsidRPr="00E17E63" w:rsidRDefault="00C319FA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</w:rPr>
      </w:pPr>
      <w:r w:rsidRPr="00E17E63">
        <w:rPr>
          <w:rFonts w:cstheme="minorHAnsi"/>
        </w:rPr>
        <w:t xml:space="preserve">Piesaistīti </w:t>
      </w:r>
      <w:r w:rsidR="00E17E63" w:rsidRPr="00E17E63">
        <w:rPr>
          <w:rFonts w:cstheme="minorHAnsi"/>
        </w:rPr>
        <w:t>309</w:t>
      </w:r>
      <w:r w:rsidRPr="00E17E63">
        <w:rPr>
          <w:rFonts w:cstheme="minorHAnsi"/>
        </w:rPr>
        <w:t xml:space="preserve"> jauni klienti kanalizācijas sistēmai un </w:t>
      </w:r>
      <w:r w:rsidR="00E17E63" w:rsidRPr="00E17E63">
        <w:rPr>
          <w:rFonts w:cstheme="minorHAnsi"/>
        </w:rPr>
        <w:t>282</w:t>
      </w:r>
      <w:r w:rsidRPr="00E17E63">
        <w:rPr>
          <w:rFonts w:cstheme="minorHAnsi"/>
        </w:rPr>
        <w:t xml:space="preserve"> ūdens sistēmai</w:t>
      </w:r>
      <w:r w:rsidR="008A1B56" w:rsidRPr="00E17E63">
        <w:rPr>
          <w:rFonts w:cstheme="minorHAnsi"/>
        </w:rPr>
        <w:t>;</w:t>
      </w:r>
    </w:p>
    <w:p w14:paraId="286C4454" w14:textId="4EEBF570" w:rsidR="00C319FA" w:rsidRPr="00E17E63" w:rsidRDefault="00C319FA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</w:rPr>
      </w:pPr>
      <w:r w:rsidRPr="00E17E63">
        <w:rPr>
          <w:rFonts w:cstheme="minorHAnsi"/>
        </w:rPr>
        <w:t>Pieaudzis</w:t>
      </w:r>
      <w:r w:rsidR="00654B47">
        <w:rPr>
          <w:rFonts w:cstheme="minorHAnsi"/>
        </w:rPr>
        <w:t xml:space="preserve"> </w:t>
      </w:r>
      <w:r w:rsidRPr="00E17E63">
        <w:rPr>
          <w:rFonts w:cstheme="minorHAnsi"/>
        </w:rPr>
        <w:t xml:space="preserve">gan saražotā ūdens apjoms </w:t>
      </w:r>
      <w:r w:rsidR="00696B33" w:rsidRPr="00E17E63">
        <w:rPr>
          <w:rFonts w:cstheme="minorHAnsi"/>
        </w:rPr>
        <w:t xml:space="preserve">par </w:t>
      </w:r>
      <w:r w:rsidRPr="00E17E63">
        <w:rPr>
          <w:rFonts w:cstheme="minorHAnsi"/>
        </w:rPr>
        <w:t>1</w:t>
      </w:r>
      <w:r w:rsidR="00E17E63" w:rsidRPr="00E17E63">
        <w:rPr>
          <w:rFonts w:cstheme="minorHAnsi"/>
        </w:rPr>
        <w:t>4</w:t>
      </w:r>
      <w:r w:rsidRPr="00E17E63">
        <w:rPr>
          <w:rFonts w:cstheme="minorHAnsi"/>
        </w:rPr>
        <w:t xml:space="preserve">%, gan </w:t>
      </w:r>
      <w:r w:rsidR="00E17E63" w:rsidRPr="00E17E63">
        <w:rPr>
          <w:rFonts w:cstheme="minorHAnsi"/>
        </w:rPr>
        <w:t xml:space="preserve">no klientiem savākto un </w:t>
      </w:r>
      <w:r w:rsidRPr="00E17E63">
        <w:rPr>
          <w:rFonts w:cstheme="minorHAnsi"/>
        </w:rPr>
        <w:t>attīrīto notekūdeņu apjoms par 19%</w:t>
      </w:r>
      <w:r w:rsidR="00E17E63" w:rsidRPr="00E17E63">
        <w:rPr>
          <w:rFonts w:cstheme="minorHAnsi"/>
        </w:rPr>
        <w:t xml:space="preserve"> (izrakstītie rēķini)</w:t>
      </w:r>
      <w:r w:rsidR="008A1B56" w:rsidRPr="00E17E63">
        <w:rPr>
          <w:rFonts w:cstheme="minorHAnsi"/>
        </w:rPr>
        <w:t>;</w:t>
      </w:r>
    </w:p>
    <w:p w14:paraId="1F0DBB1E" w14:textId="17090E4D" w:rsidR="00C319FA" w:rsidRPr="00E17E63" w:rsidRDefault="00C319FA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 xml:space="preserve"> </w:t>
      </w:r>
      <w:r w:rsidR="00F65A9C">
        <w:rPr>
          <w:rFonts w:cstheme="minorHAnsi"/>
          <w:bCs/>
        </w:rPr>
        <w:t>I</w:t>
      </w:r>
      <w:r w:rsidRPr="00E17E63">
        <w:rPr>
          <w:rFonts w:cstheme="minorHAnsi"/>
          <w:bCs/>
        </w:rPr>
        <w:t xml:space="preserve">r realizēti </w:t>
      </w:r>
      <w:r w:rsidR="00E17E63" w:rsidRPr="00E17E63">
        <w:rPr>
          <w:rFonts w:cstheme="minorHAnsi"/>
          <w:bCs/>
        </w:rPr>
        <w:t>dažādi projekti</w:t>
      </w:r>
      <w:r w:rsidRPr="00E17E63">
        <w:rPr>
          <w:rFonts w:cstheme="minorHAnsi"/>
          <w:bCs/>
        </w:rPr>
        <w:t xml:space="preserve"> par </w:t>
      </w:r>
      <w:r w:rsidR="00E17E63" w:rsidRPr="00E17E63">
        <w:rPr>
          <w:rFonts w:cstheme="minorHAnsi"/>
          <w:bCs/>
        </w:rPr>
        <w:t xml:space="preserve">kopumā </w:t>
      </w:r>
      <w:r w:rsidRPr="00E17E63">
        <w:rPr>
          <w:rFonts w:cstheme="minorHAnsi"/>
          <w:bCs/>
        </w:rPr>
        <w:t>3,73 milj</w:t>
      </w:r>
      <w:r w:rsidR="00E17E63" w:rsidRPr="00E17E63">
        <w:rPr>
          <w:rFonts w:cstheme="minorHAnsi"/>
          <w:bCs/>
        </w:rPr>
        <w:t>.</w:t>
      </w:r>
      <w:r w:rsidRPr="00E17E63">
        <w:rPr>
          <w:rFonts w:cstheme="minorHAnsi"/>
          <w:bCs/>
        </w:rPr>
        <w:t xml:space="preserve"> EUR</w:t>
      </w:r>
      <w:r w:rsidR="00F65A9C">
        <w:rPr>
          <w:rFonts w:cstheme="minorHAnsi"/>
          <w:bCs/>
        </w:rPr>
        <w:t>, tajā skaitā piesaistīts ES fondu līdzfinansējums 0,5 milj. EUR</w:t>
      </w:r>
      <w:r w:rsidR="008A1B56" w:rsidRPr="00E17E63">
        <w:rPr>
          <w:rFonts w:cstheme="minorHAnsi"/>
          <w:bCs/>
        </w:rPr>
        <w:t>;</w:t>
      </w:r>
    </w:p>
    <w:p w14:paraId="35C125A5" w14:textId="5366395B" w:rsidR="00C319FA" w:rsidRPr="00E17E63" w:rsidRDefault="00CD7973" w:rsidP="00E17E63">
      <w:pPr>
        <w:pStyle w:val="ListParagraph"/>
        <w:numPr>
          <w:ilvl w:val="0"/>
          <w:numId w:val="7"/>
        </w:numPr>
        <w:spacing w:before="120"/>
        <w:jc w:val="both"/>
        <w:rPr>
          <w:rFonts w:cstheme="minorHAnsi"/>
          <w:bCs/>
        </w:rPr>
      </w:pPr>
      <w:r w:rsidRPr="00E17E63">
        <w:rPr>
          <w:rFonts w:cstheme="minorHAnsi"/>
          <w:bCs/>
        </w:rPr>
        <w:t>Ir veikts sabiedrības energoaudits, s</w:t>
      </w:r>
      <w:r w:rsidR="00C319FA" w:rsidRPr="00E17E63">
        <w:rPr>
          <w:rFonts w:cstheme="minorHAnsi"/>
          <w:bCs/>
        </w:rPr>
        <w:t xml:space="preserve">aņemts sertifikāts ISO 50001:2018 </w:t>
      </w:r>
      <w:r w:rsidR="004348CD" w:rsidRPr="00E17E63">
        <w:rPr>
          <w:rFonts w:cstheme="minorHAnsi"/>
          <w:bCs/>
        </w:rPr>
        <w:t>(s</w:t>
      </w:r>
      <w:r w:rsidR="00C319FA" w:rsidRPr="00E17E63">
        <w:rPr>
          <w:rFonts w:cstheme="minorHAnsi"/>
          <w:bCs/>
        </w:rPr>
        <w:t>abiedrības elektroiekārtu un transporta darbības novērtēj</w:t>
      </w:r>
      <w:r w:rsidR="004348CD" w:rsidRPr="00E17E63">
        <w:rPr>
          <w:rFonts w:cstheme="minorHAnsi"/>
          <w:bCs/>
        </w:rPr>
        <w:t>ums).</w:t>
      </w:r>
    </w:p>
    <w:p w14:paraId="13B32E01" w14:textId="77777777" w:rsidR="004348CD" w:rsidRDefault="004348CD" w:rsidP="004348CD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23DD0F48" w14:textId="77777777" w:rsidR="004348CD" w:rsidRPr="004348CD" w:rsidRDefault="004348CD" w:rsidP="004348CD">
      <w:pPr>
        <w:spacing w:after="0"/>
        <w:rPr>
          <w:b/>
          <w:bCs/>
        </w:rPr>
      </w:pPr>
      <w:r w:rsidRPr="004348CD">
        <w:rPr>
          <w:b/>
          <w:bCs/>
        </w:rPr>
        <w:t xml:space="preserve">Stratēģija </w:t>
      </w:r>
    </w:p>
    <w:p w14:paraId="5AFF33B2" w14:textId="103809AF" w:rsidR="00B506A4" w:rsidRPr="00B506A4" w:rsidRDefault="000F739A" w:rsidP="00E17E63">
      <w:pPr>
        <w:jc w:val="both"/>
        <w:rPr>
          <w:bCs/>
        </w:rPr>
      </w:pPr>
      <w:r>
        <w:rPr>
          <w:bCs/>
        </w:rPr>
        <w:t>Sabiedrības struktūrā ietilpst</w:t>
      </w:r>
      <w:r w:rsidR="00654B47">
        <w:rPr>
          <w:bCs/>
        </w:rPr>
        <w:t xml:space="preserve"> </w:t>
      </w:r>
      <w:r>
        <w:rPr>
          <w:bCs/>
        </w:rPr>
        <w:t>projekta ieviešanas vienība</w:t>
      </w:r>
      <w:r w:rsidR="00D3579E">
        <w:rPr>
          <w:bCs/>
        </w:rPr>
        <w:t>, kurā ir darbinieki ar pieredzi</w:t>
      </w:r>
      <w:r>
        <w:rPr>
          <w:bCs/>
        </w:rPr>
        <w:t>, kur</w:t>
      </w:r>
      <w:r w:rsidR="00D3579E">
        <w:rPr>
          <w:bCs/>
        </w:rPr>
        <w:t>i izstrādā</w:t>
      </w:r>
      <w:r w:rsidR="004348CD">
        <w:rPr>
          <w:bCs/>
        </w:rPr>
        <w:t xml:space="preserve"> </w:t>
      </w:r>
      <w:r>
        <w:rPr>
          <w:bCs/>
        </w:rPr>
        <w:t>pi</w:t>
      </w:r>
      <w:r w:rsidR="004348CD">
        <w:rPr>
          <w:bCs/>
        </w:rPr>
        <w:t>eteikumus</w:t>
      </w:r>
      <w:r>
        <w:rPr>
          <w:bCs/>
        </w:rPr>
        <w:t xml:space="preserve"> un realizē investīciju projektus</w:t>
      </w:r>
      <w:r w:rsidR="008A1B56">
        <w:rPr>
          <w:bCs/>
        </w:rPr>
        <w:t>.</w:t>
      </w:r>
      <w:r>
        <w:rPr>
          <w:bCs/>
        </w:rPr>
        <w:t xml:space="preserve"> </w:t>
      </w:r>
    </w:p>
    <w:p w14:paraId="36D31EB9" w14:textId="1FB815BC" w:rsidR="00B506A4" w:rsidRDefault="008E30E7" w:rsidP="00E17E63">
      <w:pPr>
        <w:jc w:val="both"/>
        <w:rPr>
          <w:bCs/>
        </w:rPr>
      </w:pPr>
      <w:r>
        <w:rPr>
          <w:bCs/>
        </w:rPr>
        <w:t>A</w:t>
      </w:r>
      <w:r w:rsidR="00B506A4" w:rsidRPr="00B506A4">
        <w:rPr>
          <w:bCs/>
        </w:rPr>
        <w:t xml:space="preserve">tskatoties uz faktoriem, kas pozitīvi ietekmējuši uzņēmuma izaugsmi, </w:t>
      </w:r>
      <w:r w:rsidR="00E067BF">
        <w:rPr>
          <w:bCs/>
        </w:rPr>
        <w:t>jāpiemin</w:t>
      </w:r>
      <w:r w:rsidR="00B506A4" w:rsidRPr="00B506A4">
        <w:rPr>
          <w:bCs/>
        </w:rPr>
        <w:t xml:space="preserve"> uzņēmuma </w:t>
      </w:r>
      <w:r w:rsidR="00654B47">
        <w:rPr>
          <w:bCs/>
        </w:rPr>
        <w:t xml:space="preserve">darbinieku labā </w:t>
      </w:r>
      <w:r w:rsidR="00B506A4" w:rsidRPr="00B506A4">
        <w:rPr>
          <w:bCs/>
        </w:rPr>
        <w:t>izpratni par klientu vajadzībām un vēlmēm</w:t>
      </w:r>
      <w:r w:rsidR="006D383E">
        <w:rPr>
          <w:bCs/>
        </w:rPr>
        <w:t>,</w:t>
      </w:r>
      <w:r w:rsidR="00B506A4" w:rsidRPr="00B506A4">
        <w:rPr>
          <w:bCs/>
        </w:rPr>
        <w:t xml:space="preserve"> kvalitatīva klientu apkalpošana</w:t>
      </w:r>
      <w:r w:rsidR="00654B47">
        <w:rPr>
          <w:bCs/>
        </w:rPr>
        <w:t>. Šie faktori</w:t>
      </w:r>
      <w:r w:rsidR="00B506A4" w:rsidRPr="00B506A4">
        <w:rPr>
          <w:bCs/>
        </w:rPr>
        <w:t xml:space="preserve"> </w:t>
      </w:r>
      <w:r w:rsidR="00133CDE">
        <w:rPr>
          <w:bCs/>
        </w:rPr>
        <w:t>ir</w:t>
      </w:r>
      <w:r w:rsidR="00B506A4" w:rsidRPr="00B506A4">
        <w:rPr>
          <w:bCs/>
        </w:rPr>
        <w:t xml:space="preserve"> nostiprin</w:t>
      </w:r>
      <w:r w:rsidR="00133CDE">
        <w:rPr>
          <w:bCs/>
        </w:rPr>
        <w:t>ājusi</w:t>
      </w:r>
      <w:r w:rsidR="00B506A4" w:rsidRPr="00B506A4">
        <w:rPr>
          <w:bCs/>
        </w:rPr>
        <w:t xml:space="preserve"> uzņēmuma reputāciju un pa</w:t>
      </w:r>
      <w:r w:rsidR="0012685D">
        <w:rPr>
          <w:bCs/>
        </w:rPr>
        <w:t>līdz piesaistīt jaunus klientus</w:t>
      </w:r>
      <w:r w:rsidR="00B506A4" w:rsidRPr="00B506A4">
        <w:rPr>
          <w:bCs/>
        </w:rPr>
        <w:t xml:space="preserve">. </w:t>
      </w:r>
    </w:p>
    <w:p w14:paraId="0F6F7971" w14:textId="7871A6F3" w:rsidR="009F7537" w:rsidRDefault="009F7537" w:rsidP="00E17E63">
      <w:pPr>
        <w:jc w:val="both"/>
        <w:rPr>
          <w:bCs/>
        </w:rPr>
      </w:pPr>
      <w:r>
        <w:rPr>
          <w:bCs/>
        </w:rPr>
        <w:t>P</w:t>
      </w:r>
      <w:r w:rsidR="00B506A4" w:rsidRPr="00B506A4">
        <w:rPr>
          <w:bCs/>
        </w:rPr>
        <w:t>rasmīgi</w:t>
      </w:r>
      <w:r w:rsidR="0062625E">
        <w:rPr>
          <w:bCs/>
        </w:rPr>
        <w:t xml:space="preserve"> un</w:t>
      </w:r>
      <w:r w:rsidR="00B506A4" w:rsidRPr="00B506A4">
        <w:rPr>
          <w:bCs/>
        </w:rPr>
        <w:t xml:space="preserve"> izglītoti uz</w:t>
      </w:r>
      <w:r w:rsidR="00F4501C">
        <w:rPr>
          <w:bCs/>
        </w:rPr>
        <w:t>ņ</w:t>
      </w:r>
      <w:r w:rsidR="00B506A4" w:rsidRPr="00B506A4">
        <w:rPr>
          <w:bCs/>
        </w:rPr>
        <w:t xml:space="preserve">ēmuma darbinieki ir </w:t>
      </w:r>
      <w:r w:rsidR="004348CD">
        <w:rPr>
          <w:bCs/>
        </w:rPr>
        <w:t xml:space="preserve">Sabiedrības būtisks </w:t>
      </w:r>
      <w:r w:rsidR="00B506A4" w:rsidRPr="00B506A4">
        <w:rPr>
          <w:bCs/>
        </w:rPr>
        <w:t>veiksmes faktor</w:t>
      </w:r>
      <w:r w:rsidR="004348CD">
        <w:rPr>
          <w:bCs/>
        </w:rPr>
        <w:t>s</w:t>
      </w:r>
      <w:r w:rsidR="00B506A4" w:rsidRPr="00B506A4">
        <w:rPr>
          <w:bCs/>
        </w:rPr>
        <w:t>, tādēļ īpašu uzmanību pievērš</w:t>
      </w:r>
      <w:r w:rsidR="0012685D">
        <w:rPr>
          <w:bCs/>
        </w:rPr>
        <w:t>am</w:t>
      </w:r>
      <w:r w:rsidR="00B506A4" w:rsidRPr="00B506A4">
        <w:rPr>
          <w:bCs/>
        </w:rPr>
        <w:t xml:space="preserve"> cilvēkresursu pārvaldībai</w:t>
      </w:r>
      <w:r w:rsidR="009F0178">
        <w:rPr>
          <w:bCs/>
        </w:rPr>
        <w:t>,</w:t>
      </w:r>
      <w:r w:rsidR="00B506A4" w:rsidRPr="00B506A4">
        <w:rPr>
          <w:bCs/>
        </w:rPr>
        <w:t xml:space="preserve"> ietver</w:t>
      </w:r>
      <w:r w:rsidR="009F0178">
        <w:rPr>
          <w:bCs/>
        </w:rPr>
        <w:t>ot</w:t>
      </w:r>
      <w:r w:rsidR="00B506A4" w:rsidRPr="00B506A4">
        <w:rPr>
          <w:bCs/>
        </w:rPr>
        <w:t xml:space="preserve"> rūpīgu savas komandas locekļu atlasi, atbilstoši </w:t>
      </w:r>
      <w:r w:rsidR="004D3487">
        <w:rPr>
          <w:bCs/>
        </w:rPr>
        <w:t>Sabiedrības</w:t>
      </w:r>
      <w:r w:rsidR="00B506A4" w:rsidRPr="00B506A4">
        <w:rPr>
          <w:bCs/>
        </w:rPr>
        <w:t xml:space="preserve"> specifikai un pārstāvētajām vērtībām</w:t>
      </w:r>
      <w:r w:rsidR="00910AB7">
        <w:rPr>
          <w:bCs/>
        </w:rPr>
        <w:t xml:space="preserve">. Tāpat fokusējamies uz </w:t>
      </w:r>
      <w:r w:rsidR="00B506A4" w:rsidRPr="00B506A4">
        <w:rPr>
          <w:bCs/>
        </w:rPr>
        <w:t>esošo darbinieku prasmju un zināšanu regulāru papildināšanu apmācībās</w:t>
      </w:r>
      <w:r w:rsidR="009F0178">
        <w:rPr>
          <w:bCs/>
        </w:rPr>
        <w:t>. Darbinieki tiek</w:t>
      </w:r>
      <w:r w:rsidR="00B506A4" w:rsidRPr="00B506A4">
        <w:rPr>
          <w:bCs/>
        </w:rPr>
        <w:t xml:space="preserve"> motiv</w:t>
      </w:r>
      <w:r w:rsidR="009F0178">
        <w:rPr>
          <w:bCs/>
        </w:rPr>
        <w:t>ēti ar</w:t>
      </w:r>
      <w:r w:rsidR="00B506A4" w:rsidRPr="00B506A4">
        <w:rPr>
          <w:bCs/>
        </w:rPr>
        <w:t xml:space="preserve"> skaidru darba pienākumu aprakstu izstrādi</w:t>
      </w:r>
      <w:r w:rsidR="00420A0E">
        <w:rPr>
          <w:bCs/>
        </w:rPr>
        <w:t xml:space="preserve"> un</w:t>
      </w:r>
      <w:r w:rsidR="00B506A4" w:rsidRPr="00B506A4">
        <w:rPr>
          <w:bCs/>
        </w:rPr>
        <w:t xml:space="preserve"> mērķu definēšanu. </w:t>
      </w:r>
      <w:r w:rsidR="0012685D">
        <w:rPr>
          <w:bCs/>
        </w:rPr>
        <w:t xml:space="preserve">Tā kā daļai darbiniekiem ir </w:t>
      </w:r>
      <w:r w:rsidR="0012685D">
        <w:rPr>
          <w:bCs/>
        </w:rPr>
        <w:lastRenderedPageBreak/>
        <w:t>kaitīgs darbs (ķīmiski aktīvu vielu klātbūtne notekūdeņ</w:t>
      </w:r>
      <w:r w:rsidR="008050E1">
        <w:rPr>
          <w:bCs/>
        </w:rPr>
        <w:t>os</w:t>
      </w:r>
      <w:r w:rsidR="0012685D">
        <w:rPr>
          <w:bCs/>
        </w:rPr>
        <w:t>, darbs avāriju n</w:t>
      </w:r>
      <w:r w:rsidR="00E13838">
        <w:rPr>
          <w:bCs/>
        </w:rPr>
        <w:t>o</w:t>
      </w:r>
      <w:r w:rsidR="0012685D">
        <w:rPr>
          <w:bCs/>
        </w:rPr>
        <w:t xml:space="preserve">vēršanā), </w:t>
      </w:r>
      <w:r w:rsidR="004D3487">
        <w:rPr>
          <w:bCs/>
        </w:rPr>
        <w:t>Sabiedrība</w:t>
      </w:r>
      <w:r w:rsidR="0012685D">
        <w:rPr>
          <w:bCs/>
        </w:rPr>
        <w:t xml:space="preserve"> nodrošina laba līmeņa veselības apdrošināšanu. </w:t>
      </w:r>
    </w:p>
    <w:p w14:paraId="2C283F4E" w14:textId="7C98484E" w:rsidR="00B506A4" w:rsidRPr="00E17E63" w:rsidRDefault="00DC6D3D" w:rsidP="00E17E63">
      <w:pPr>
        <w:jc w:val="both"/>
        <w:rPr>
          <w:bCs/>
        </w:rPr>
      </w:pPr>
      <w:r>
        <w:rPr>
          <w:bCs/>
        </w:rPr>
        <w:t>I</w:t>
      </w:r>
      <w:r w:rsidR="00B506A4" w:rsidRPr="00B506A4">
        <w:rPr>
          <w:bCs/>
        </w:rPr>
        <w:t>novāciju ieviešana ir viena no galvenajām stratēģijām, ar kuras palīdzību veicinā</w:t>
      </w:r>
      <w:r>
        <w:rPr>
          <w:bCs/>
        </w:rPr>
        <w:t>m</w:t>
      </w:r>
      <w:r w:rsidR="00B506A4" w:rsidRPr="00B506A4">
        <w:rPr>
          <w:bCs/>
        </w:rPr>
        <w:t xml:space="preserve"> savu izaugsmi</w:t>
      </w:r>
      <w:r w:rsidR="00CD7973">
        <w:rPr>
          <w:bCs/>
        </w:rPr>
        <w:t>,</w:t>
      </w:r>
      <w:r w:rsidR="00B506A4" w:rsidRPr="00B506A4">
        <w:rPr>
          <w:bCs/>
        </w:rPr>
        <w:t xml:space="preserve"> tiek uzlabota tehnisko procesu veiktspēja un palielināta uzņēmuma darbības efektivitāte</w:t>
      </w:r>
      <w:r>
        <w:rPr>
          <w:bCs/>
        </w:rPr>
        <w:t>. I</w:t>
      </w:r>
      <w:r w:rsidR="00B506A4" w:rsidRPr="00B506A4">
        <w:rPr>
          <w:bCs/>
        </w:rPr>
        <w:t xml:space="preserve">novāciju ieviešanas norisē </w:t>
      </w:r>
      <w:r>
        <w:rPr>
          <w:bCs/>
        </w:rPr>
        <w:t>iesaistām Rīgas</w:t>
      </w:r>
      <w:r w:rsidR="00B506A4" w:rsidRPr="00B506A4">
        <w:rPr>
          <w:bCs/>
        </w:rPr>
        <w:t xml:space="preserve"> </w:t>
      </w:r>
      <w:r>
        <w:rPr>
          <w:bCs/>
        </w:rPr>
        <w:t>Tehniskās universitātes</w:t>
      </w:r>
      <w:r w:rsidR="00654B47">
        <w:rPr>
          <w:bCs/>
        </w:rPr>
        <w:t xml:space="preserve"> </w:t>
      </w:r>
      <w:r w:rsidR="00333EA0">
        <w:rPr>
          <w:bCs/>
        </w:rPr>
        <w:t>mācību autoritātes, Latvijas ūdens un kanalizācijas asociācijas speciālistus</w:t>
      </w:r>
      <w:r w:rsidR="00B506A4" w:rsidRPr="00B506A4">
        <w:rPr>
          <w:bCs/>
        </w:rPr>
        <w:t>,</w:t>
      </w:r>
      <w:r>
        <w:rPr>
          <w:bCs/>
        </w:rPr>
        <w:t xml:space="preserve"> kā arī finanšu konsultantu.</w:t>
      </w:r>
      <w:r w:rsidR="0062625E">
        <w:rPr>
          <w:bCs/>
        </w:rPr>
        <w:t xml:space="preserve"> </w:t>
      </w:r>
      <w:r>
        <w:rPr>
          <w:bCs/>
        </w:rPr>
        <w:t>P</w:t>
      </w:r>
      <w:r w:rsidR="00B506A4" w:rsidRPr="00B506A4">
        <w:rPr>
          <w:bCs/>
        </w:rPr>
        <w:t xml:space="preserve">riekšroku </w:t>
      </w:r>
      <w:r>
        <w:rPr>
          <w:bCs/>
        </w:rPr>
        <w:t>dodam</w:t>
      </w:r>
      <w:r w:rsidR="00B506A4" w:rsidRPr="00B506A4">
        <w:rPr>
          <w:bCs/>
        </w:rPr>
        <w:t xml:space="preserve"> pakāpeniskiem uzlabojumiem, pamazām pielāgojot pakalpojumus un izvērtējot jaunievedumu lietderību.</w:t>
      </w:r>
      <w:r w:rsidR="00E13838">
        <w:rPr>
          <w:bCs/>
        </w:rPr>
        <w:t xml:space="preserve"> Pastāvīgi strādājam pie tā, lai samazinātu elektroenerģijas patēriņu.</w:t>
      </w:r>
    </w:p>
    <w:p w14:paraId="7A488C82" w14:textId="67475D8A" w:rsidR="00B506A4" w:rsidRDefault="00C72473" w:rsidP="00E17E63">
      <w:pPr>
        <w:jc w:val="both"/>
        <w:rPr>
          <w:bCs/>
        </w:rPr>
      </w:pPr>
      <w:r>
        <w:rPr>
          <w:bCs/>
        </w:rPr>
        <w:t>I</w:t>
      </w:r>
      <w:r w:rsidR="00B506A4" w:rsidRPr="00B506A4">
        <w:rPr>
          <w:bCs/>
        </w:rPr>
        <w:t xml:space="preserve">zaugsme lielā mērā atkarīga no ieguldītajiem resursiem. </w:t>
      </w:r>
      <w:r>
        <w:rPr>
          <w:bCs/>
        </w:rPr>
        <w:t xml:space="preserve">Pie esošajām iespējām tiek rūpīgi plānots uzņēmuma budžets un kredītu izlietojums. </w:t>
      </w:r>
      <w:r w:rsidR="009F7537">
        <w:rPr>
          <w:bCs/>
        </w:rPr>
        <w:t>U</w:t>
      </w:r>
      <w:r w:rsidR="00B506A4" w:rsidRPr="00B506A4">
        <w:rPr>
          <w:bCs/>
        </w:rPr>
        <w:t>zņēmuma attīstības ieceres veiksmīg</w:t>
      </w:r>
      <w:r w:rsidR="000A35C3">
        <w:rPr>
          <w:bCs/>
        </w:rPr>
        <w:t>ai</w:t>
      </w:r>
      <w:r w:rsidR="00B506A4" w:rsidRPr="00B506A4">
        <w:rPr>
          <w:bCs/>
        </w:rPr>
        <w:t xml:space="preserve"> īsteno</w:t>
      </w:r>
      <w:r w:rsidR="000A35C3">
        <w:rPr>
          <w:bCs/>
        </w:rPr>
        <w:t>šanai</w:t>
      </w:r>
      <w:r w:rsidR="00B506A4" w:rsidRPr="00B506A4">
        <w:rPr>
          <w:bCs/>
        </w:rPr>
        <w:t>, konkrēt</w:t>
      </w:r>
      <w:r w:rsidR="000A35C3">
        <w:rPr>
          <w:bCs/>
        </w:rPr>
        <w:t>iem</w:t>
      </w:r>
      <w:r w:rsidR="00B506A4" w:rsidRPr="00B506A4">
        <w:rPr>
          <w:bCs/>
        </w:rPr>
        <w:t xml:space="preserve"> </w:t>
      </w:r>
      <w:r w:rsidR="000A35C3">
        <w:rPr>
          <w:bCs/>
        </w:rPr>
        <w:t xml:space="preserve">projektiem </w:t>
      </w:r>
      <w:r w:rsidR="008050E1">
        <w:rPr>
          <w:bCs/>
        </w:rPr>
        <w:t>tiek piesaistīt ES struktūrfondu finansējums</w:t>
      </w:r>
      <w:r w:rsidR="0062625E">
        <w:rPr>
          <w:bCs/>
        </w:rPr>
        <w:t xml:space="preserve">. </w:t>
      </w:r>
    </w:p>
    <w:p w14:paraId="37DC6368" w14:textId="77777777" w:rsidR="005F292D" w:rsidRDefault="005F292D" w:rsidP="00E17E63">
      <w:pPr>
        <w:jc w:val="both"/>
        <w:rPr>
          <w:bCs/>
        </w:rPr>
      </w:pPr>
    </w:p>
    <w:p w14:paraId="4D654F9A" w14:textId="6912D955" w:rsidR="00E17E63" w:rsidRPr="00E17E63" w:rsidRDefault="00E17E63" w:rsidP="00E17E63">
      <w:pPr>
        <w:spacing w:after="0"/>
        <w:rPr>
          <w:b/>
          <w:bCs/>
        </w:rPr>
      </w:pPr>
      <w:r w:rsidRPr="00E17E63">
        <w:rPr>
          <w:b/>
          <w:bCs/>
        </w:rPr>
        <w:t>Sasniegtie rezultāti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1799"/>
        <w:gridCol w:w="2831"/>
        <w:gridCol w:w="1758"/>
        <w:gridCol w:w="1321"/>
      </w:tblGrid>
      <w:tr w:rsidR="000F6F03" w14:paraId="4FF5532E" w14:textId="77777777" w:rsidTr="005F292D">
        <w:trPr>
          <w:tblHeader/>
        </w:trPr>
        <w:tc>
          <w:tcPr>
            <w:tcW w:w="587" w:type="dxa"/>
            <w:shd w:val="clear" w:color="auto" w:fill="D9E2F3" w:themeFill="accent1" w:themeFillTint="33"/>
            <w:vAlign w:val="center"/>
          </w:tcPr>
          <w:p w14:paraId="4E43F80B" w14:textId="571654F4" w:rsidR="00063B6F" w:rsidRPr="005F292D" w:rsidRDefault="00BC69C3" w:rsidP="005F29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F292D">
              <w:rPr>
                <w:b/>
                <w:bCs/>
                <w:iCs/>
                <w:sz w:val="24"/>
                <w:szCs w:val="24"/>
              </w:rPr>
              <w:t>Nr.</w:t>
            </w:r>
          </w:p>
        </w:tc>
        <w:tc>
          <w:tcPr>
            <w:tcW w:w="1799" w:type="dxa"/>
            <w:shd w:val="clear" w:color="auto" w:fill="D9E2F3" w:themeFill="accent1" w:themeFillTint="33"/>
            <w:vAlign w:val="center"/>
          </w:tcPr>
          <w:p w14:paraId="208FAA45" w14:textId="3C48372B" w:rsidR="00063B6F" w:rsidRPr="005F292D" w:rsidRDefault="00B12646" w:rsidP="005F292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F292D">
              <w:rPr>
                <w:b/>
                <w:bCs/>
                <w:iCs/>
                <w:sz w:val="24"/>
                <w:szCs w:val="24"/>
              </w:rPr>
              <w:t>Indikators</w:t>
            </w:r>
          </w:p>
        </w:tc>
        <w:tc>
          <w:tcPr>
            <w:tcW w:w="2831" w:type="dxa"/>
            <w:shd w:val="clear" w:color="auto" w:fill="D9E2F3" w:themeFill="accent1" w:themeFillTint="33"/>
            <w:vAlign w:val="center"/>
          </w:tcPr>
          <w:p w14:paraId="4283DE9A" w14:textId="1003333C" w:rsidR="00063B6F" w:rsidRPr="005F292D" w:rsidRDefault="00B12646" w:rsidP="005F292D">
            <w:pPr>
              <w:jc w:val="center"/>
              <w:rPr>
                <w:b/>
                <w:bCs/>
                <w:iCs/>
              </w:rPr>
            </w:pPr>
            <w:r w:rsidRPr="005F292D">
              <w:rPr>
                <w:b/>
                <w:bCs/>
                <w:iCs/>
              </w:rPr>
              <w:t>Paveiktais</w:t>
            </w:r>
          </w:p>
        </w:tc>
        <w:tc>
          <w:tcPr>
            <w:tcW w:w="1758" w:type="dxa"/>
            <w:shd w:val="clear" w:color="auto" w:fill="D9E2F3" w:themeFill="accent1" w:themeFillTint="33"/>
            <w:vAlign w:val="center"/>
          </w:tcPr>
          <w:p w14:paraId="57FF8300" w14:textId="6086A5FC" w:rsidR="00063B6F" w:rsidRPr="005F292D" w:rsidRDefault="002B6FA3" w:rsidP="005F292D">
            <w:pPr>
              <w:jc w:val="center"/>
              <w:rPr>
                <w:b/>
                <w:bCs/>
                <w:iCs/>
              </w:rPr>
            </w:pPr>
            <w:r w:rsidRPr="005F292D">
              <w:rPr>
                <w:b/>
                <w:bCs/>
                <w:iCs/>
              </w:rPr>
              <w:t>P</w:t>
            </w:r>
            <w:r w:rsidR="006B5158" w:rsidRPr="005F292D">
              <w:rPr>
                <w:b/>
                <w:bCs/>
                <w:iCs/>
              </w:rPr>
              <w:t>rogress</w:t>
            </w:r>
            <w:r w:rsidRPr="005F292D">
              <w:rPr>
                <w:b/>
                <w:bCs/>
                <w:iCs/>
              </w:rPr>
              <w:t>/</w:t>
            </w:r>
            <w:r w:rsidR="006B5158" w:rsidRPr="005F292D">
              <w:rPr>
                <w:b/>
                <w:bCs/>
                <w:iCs/>
              </w:rPr>
              <w:t>regress</w:t>
            </w:r>
          </w:p>
        </w:tc>
        <w:tc>
          <w:tcPr>
            <w:tcW w:w="1321" w:type="dxa"/>
            <w:shd w:val="clear" w:color="auto" w:fill="D9E2F3" w:themeFill="accent1" w:themeFillTint="33"/>
            <w:vAlign w:val="center"/>
          </w:tcPr>
          <w:p w14:paraId="005174AA" w14:textId="5A980338" w:rsidR="00063B6F" w:rsidRPr="005F292D" w:rsidRDefault="005E7CED" w:rsidP="005F292D">
            <w:pPr>
              <w:jc w:val="center"/>
              <w:rPr>
                <w:b/>
                <w:bCs/>
                <w:iCs/>
              </w:rPr>
            </w:pPr>
            <w:r w:rsidRPr="005F292D">
              <w:rPr>
                <w:b/>
                <w:bCs/>
                <w:iCs/>
              </w:rPr>
              <w:t>Laika periods</w:t>
            </w:r>
          </w:p>
        </w:tc>
      </w:tr>
      <w:tr w:rsidR="005F292D" w14:paraId="2548ABDC" w14:textId="77777777" w:rsidTr="005F292D">
        <w:trPr>
          <w:tblHeader/>
        </w:trPr>
        <w:tc>
          <w:tcPr>
            <w:tcW w:w="587" w:type="dxa"/>
            <w:shd w:val="clear" w:color="auto" w:fill="D9E2F3" w:themeFill="accent1" w:themeFillTint="33"/>
            <w:vAlign w:val="center"/>
          </w:tcPr>
          <w:p w14:paraId="437A4AD9" w14:textId="6FF5CA8B" w:rsidR="005F292D" w:rsidRPr="005F292D" w:rsidRDefault="005F292D" w:rsidP="005F292D">
            <w:pPr>
              <w:jc w:val="center"/>
              <w:rPr>
                <w:iCs/>
                <w:sz w:val="24"/>
                <w:szCs w:val="24"/>
              </w:rPr>
            </w:pPr>
            <w:r w:rsidRPr="005F292D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799" w:type="dxa"/>
            <w:shd w:val="clear" w:color="auto" w:fill="D9E2F3" w:themeFill="accent1" w:themeFillTint="33"/>
            <w:vAlign w:val="center"/>
          </w:tcPr>
          <w:p w14:paraId="459632CF" w14:textId="43683C78" w:rsidR="005F292D" w:rsidRPr="005F292D" w:rsidRDefault="005F292D" w:rsidP="005F292D">
            <w:pPr>
              <w:jc w:val="center"/>
              <w:rPr>
                <w:iCs/>
                <w:sz w:val="24"/>
                <w:szCs w:val="24"/>
              </w:rPr>
            </w:pPr>
            <w:r w:rsidRPr="005F292D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831" w:type="dxa"/>
            <w:shd w:val="clear" w:color="auto" w:fill="D9E2F3" w:themeFill="accent1" w:themeFillTint="33"/>
            <w:vAlign w:val="center"/>
          </w:tcPr>
          <w:p w14:paraId="2E281015" w14:textId="10E498BF" w:rsidR="005F292D" w:rsidRPr="005F292D" w:rsidRDefault="005F292D" w:rsidP="005F292D">
            <w:pPr>
              <w:jc w:val="center"/>
              <w:rPr>
                <w:iCs/>
              </w:rPr>
            </w:pPr>
            <w:r w:rsidRPr="005F292D">
              <w:rPr>
                <w:iCs/>
              </w:rPr>
              <w:t>3</w:t>
            </w:r>
          </w:p>
        </w:tc>
        <w:tc>
          <w:tcPr>
            <w:tcW w:w="1758" w:type="dxa"/>
            <w:shd w:val="clear" w:color="auto" w:fill="D9E2F3" w:themeFill="accent1" w:themeFillTint="33"/>
            <w:vAlign w:val="center"/>
          </w:tcPr>
          <w:p w14:paraId="51FDCA26" w14:textId="2CC48000" w:rsidR="005F292D" w:rsidRPr="005F292D" w:rsidRDefault="005F292D" w:rsidP="005F292D">
            <w:pPr>
              <w:jc w:val="center"/>
              <w:rPr>
                <w:iCs/>
              </w:rPr>
            </w:pPr>
            <w:r w:rsidRPr="005F292D">
              <w:rPr>
                <w:iCs/>
              </w:rPr>
              <w:t>4</w:t>
            </w:r>
          </w:p>
        </w:tc>
        <w:tc>
          <w:tcPr>
            <w:tcW w:w="1321" w:type="dxa"/>
            <w:shd w:val="clear" w:color="auto" w:fill="D9E2F3" w:themeFill="accent1" w:themeFillTint="33"/>
            <w:vAlign w:val="center"/>
          </w:tcPr>
          <w:p w14:paraId="1040E973" w14:textId="096F44B7" w:rsidR="005F292D" w:rsidRPr="005F292D" w:rsidRDefault="005F292D" w:rsidP="005F292D">
            <w:pPr>
              <w:jc w:val="center"/>
              <w:rPr>
                <w:iCs/>
              </w:rPr>
            </w:pPr>
            <w:r w:rsidRPr="005F292D">
              <w:rPr>
                <w:iCs/>
              </w:rPr>
              <w:t>5</w:t>
            </w:r>
          </w:p>
        </w:tc>
      </w:tr>
      <w:tr w:rsidR="000F6F03" w14:paraId="49B1C1F8" w14:textId="77777777" w:rsidTr="005F292D">
        <w:tc>
          <w:tcPr>
            <w:tcW w:w="587" w:type="dxa"/>
            <w:vAlign w:val="center"/>
          </w:tcPr>
          <w:p w14:paraId="1184F91C" w14:textId="4777DF12" w:rsidR="00063B6F" w:rsidRPr="005F292D" w:rsidRDefault="00423C3C" w:rsidP="005F292D">
            <w:pPr>
              <w:jc w:val="center"/>
            </w:pPr>
            <w:r w:rsidRPr="005F292D">
              <w:t>1</w:t>
            </w:r>
          </w:p>
        </w:tc>
        <w:tc>
          <w:tcPr>
            <w:tcW w:w="1799" w:type="dxa"/>
            <w:vAlign w:val="center"/>
          </w:tcPr>
          <w:p w14:paraId="35557087" w14:textId="791ADE61" w:rsidR="00063B6F" w:rsidRPr="005F292D" w:rsidRDefault="00423C3C" w:rsidP="00837B30">
            <w:r w:rsidRPr="005F292D">
              <w:t>N</w:t>
            </w:r>
            <w:r w:rsidR="002B6FA3" w:rsidRPr="005F292D">
              <w:t xml:space="preserve">eto apgrozījums </w:t>
            </w:r>
          </w:p>
        </w:tc>
        <w:tc>
          <w:tcPr>
            <w:tcW w:w="2831" w:type="dxa"/>
            <w:vAlign w:val="center"/>
          </w:tcPr>
          <w:p w14:paraId="29CABE37" w14:textId="4AA5BFDD" w:rsidR="00063B6F" w:rsidRPr="005F292D" w:rsidRDefault="00423C3C" w:rsidP="00837B30">
            <w:r w:rsidRPr="005F292D">
              <w:t xml:space="preserve">Pieaudzis </w:t>
            </w:r>
            <w:r w:rsidR="002B6FA3" w:rsidRPr="005F292D">
              <w:t>par 4</w:t>
            </w:r>
            <w:r w:rsidR="00420A0E" w:rsidRPr="005F292D">
              <w:t>40</w:t>
            </w:r>
            <w:r w:rsidR="002B6FA3" w:rsidRPr="005F292D">
              <w:t>,</w:t>
            </w:r>
            <w:r w:rsidR="00800AA8" w:rsidRPr="005F292D">
              <w:t>5</w:t>
            </w:r>
            <w:r w:rsidR="002B6FA3" w:rsidRPr="005F292D">
              <w:t xml:space="preserve"> tūkst. EUR (no 897</w:t>
            </w:r>
            <w:r w:rsidR="00800AA8" w:rsidRPr="005F292D">
              <w:t>,</w:t>
            </w:r>
            <w:r w:rsidR="003C787D" w:rsidRPr="005F292D">
              <w:t>4</w:t>
            </w:r>
            <w:r w:rsidR="002B6FA3" w:rsidRPr="005F292D">
              <w:t xml:space="preserve"> </w:t>
            </w:r>
            <w:r w:rsidR="00800AA8" w:rsidRPr="005F292D">
              <w:t xml:space="preserve">tūkst. </w:t>
            </w:r>
            <w:r w:rsidR="002B6FA3" w:rsidRPr="005F292D">
              <w:t>līdz 1</w:t>
            </w:r>
            <w:r w:rsidR="00800AA8" w:rsidRPr="005F292D">
              <w:t> </w:t>
            </w:r>
            <w:r w:rsidR="002B6FA3" w:rsidRPr="005F292D">
              <w:t>3</w:t>
            </w:r>
            <w:r w:rsidR="00420A0E" w:rsidRPr="005F292D">
              <w:t>37</w:t>
            </w:r>
            <w:r w:rsidR="00800AA8" w:rsidRPr="005F292D">
              <w:t>,9</w:t>
            </w:r>
            <w:r w:rsidR="00654B47">
              <w:t xml:space="preserve"> </w:t>
            </w:r>
            <w:r w:rsidR="002B6FA3" w:rsidRPr="005F292D">
              <w:t>EUR).</w:t>
            </w:r>
          </w:p>
        </w:tc>
        <w:tc>
          <w:tcPr>
            <w:tcW w:w="1758" w:type="dxa"/>
            <w:vAlign w:val="center"/>
          </w:tcPr>
          <w:p w14:paraId="61F00F48" w14:textId="31F58DC2" w:rsidR="00063B6F" w:rsidRPr="005F292D" w:rsidRDefault="00423C3C" w:rsidP="00837B30">
            <w:pPr>
              <w:rPr>
                <w:sz w:val="32"/>
                <w:szCs w:val="32"/>
                <w:vertAlign w:val="subscript"/>
              </w:rPr>
            </w:pPr>
            <w:r w:rsidRPr="005F292D">
              <w:rPr>
                <w:sz w:val="32"/>
                <w:szCs w:val="32"/>
                <w:vertAlign w:val="subscript"/>
              </w:rPr>
              <w:t xml:space="preserve">+ </w:t>
            </w:r>
            <w:r w:rsidR="005F292D">
              <w:rPr>
                <w:sz w:val="32"/>
                <w:szCs w:val="32"/>
                <w:vertAlign w:val="subscript"/>
              </w:rPr>
              <w:t>49</w:t>
            </w:r>
            <w:r w:rsidRPr="005F292D">
              <w:rPr>
                <w:sz w:val="32"/>
                <w:szCs w:val="32"/>
                <w:vertAlign w:val="subscript"/>
              </w:rPr>
              <w:t>%</w:t>
            </w:r>
          </w:p>
        </w:tc>
        <w:tc>
          <w:tcPr>
            <w:tcW w:w="1321" w:type="dxa"/>
            <w:vAlign w:val="center"/>
          </w:tcPr>
          <w:p w14:paraId="51872C0D" w14:textId="5DC9CEC5" w:rsidR="00063B6F" w:rsidRPr="005F292D" w:rsidRDefault="006A327E" w:rsidP="00837B30">
            <w:r w:rsidRPr="005F292D">
              <w:t>2017.g.- 2021.g.</w:t>
            </w:r>
          </w:p>
        </w:tc>
      </w:tr>
      <w:tr w:rsidR="000F6F03" w14:paraId="253432BE" w14:textId="77777777" w:rsidTr="005F292D">
        <w:tc>
          <w:tcPr>
            <w:tcW w:w="587" w:type="dxa"/>
            <w:vAlign w:val="center"/>
          </w:tcPr>
          <w:p w14:paraId="0520893B" w14:textId="50C2CF48" w:rsidR="001C20E7" w:rsidRPr="005F292D" w:rsidRDefault="00D541D2" w:rsidP="005F292D">
            <w:pPr>
              <w:jc w:val="center"/>
            </w:pPr>
            <w:r w:rsidRPr="005F292D">
              <w:t>2</w:t>
            </w:r>
          </w:p>
        </w:tc>
        <w:tc>
          <w:tcPr>
            <w:tcW w:w="1799" w:type="dxa"/>
            <w:vAlign w:val="center"/>
          </w:tcPr>
          <w:p w14:paraId="4C3D53BB" w14:textId="14C4D640" w:rsidR="001C20E7" w:rsidRPr="005F292D" w:rsidRDefault="00DE262B" w:rsidP="00837B30">
            <w:r w:rsidRPr="005F292D">
              <w:t>Peļņa</w:t>
            </w:r>
          </w:p>
        </w:tc>
        <w:tc>
          <w:tcPr>
            <w:tcW w:w="2831" w:type="dxa"/>
            <w:vAlign w:val="center"/>
          </w:tcPr>
          <w:p w14:paraId="67C208B8" w14:textId="4889CE7F" w:rsidR="001C20E7" w:rsidRPr="005F292D" w:rsidRDefault="009631DF" w:rsidP="00837B30">
            <w:r w:rsidRPr="005F292D">
              <w:t>Pieaugusi</w:t>
            </w:r>
            <w:r w:rsidR="00654B47">
              <w:t xml:space="preserve"> </w:t>
            </w:r>
            <w:r w:rsidRPr="005F292D">
              <w:t xml:space="preserve">peļņa: </w:t>
            </w:r>
            <w:r w:rsidR="003C787D" w:rsidRPr="005F292D">
              <w:t>10</w:t>
            </w:r>
            <w:r w:rsidR="00D541D2" w:rsidRPr="005F292D">
              <w:t xml:space="preserve"> tūkst. EUR (pret zaudējumiem </w:t>
            </w:r>
            <w:r w:rsidR="003C787D" w:rsidRPr="005F292D">
              <w:t>25</w:t>
            </w:r>
            <w:r w:rsidR="00D541D2" w:rsidRPr="005F292D">
              <w:t xml:space="preserve"> tūkst. EUR 2017.g.).</w:t>
            </w:r>
          </w:p>
        </w:tc>
        <w:tc>
          <w:tcPr>
            <w:tcW w:w="1758" w:type="dxa"/>
            <w:vAlign w:val="center"/>
          </w:tcPr>
          <w:p w14:paraId="19D5683E" w14:textId="6E8C3A9D" w:rsidR="001C20E7" w:rsidRPr="005F292D" w:rsidRDefault="00B35F6B" w:rsidP="00837B30">
            <w:pPr>
              <w:rPr>
                <w:sz w:val="32"/>
                <w:szCs w:val="32"/>
                <w:vertAlign w:val="subscript"/>
              </w:rPr>
            </w:pPr>
            <w:r w:rsidRPr="005F292D">
              <w:rPr>
                <w:sz w:val="32"/>
                <w:szCs w:val="32"/>
                <w:vertAlign w:val="subscript"/>
              </w:rPr>
              <w:t xml:space="preserve">+ </w:t>
            </w:r>
            <w:r w:rsidR="003C787D" w:rsidRPr="005F292D">
              <w:rPr>
                <w:sz w:val="32"/>
                <w:szCs w:val="32"/>
                <w:vertAlign w:val="subscript"/>
              </w:rPr>
              <w:t>35</w:t>
            </w:r>
            <w:r w:rsidRPr="005F292D">
              <w:rPr>
                <w:sz w:val="32"/>
                <w:szCs w:val="32"/>
                <w:vertAlign w:val="subscript"/>
              </w:rPr>
              <w:t xml:space="preserve"> tūkst. EUR</w:t>
            </w:r>
          </w:p>
        </w:tc>
        <w:tc>
          <w:tcPr>
            <w:tcW w:w="1321" w:type="dxa"/>
            <w:vAlign w:val="center"/>
          </w:tcPr>
          <w:p w14:paraId="2B0CCD7E" w14:textId="35EE8001" w:rsidR="001C20E7" w:rsidRPr="005F292D" w:rsidRDefault="00B35F6B" w:rsidP="00837B30">
            <w:r w:rsidRPr="005F292D">
              <w:t>2017.g.-2021.g.</w:t>
            </w:r>
          </w:p>
        </w:tc>
      </w:tr>
      <w:tr w:rsidR="000F6F03" w14:paraId="56915704" w14:textId="77777777" w:rsidTr="005F292D">
        <w:tc>
          <w:tcPr>
            <w:tcW w:w="587" w:type="dxa"/>
            <w:vAlign w:val="center"/>
          </w:tcPr>
          <w:p w14:paraId="2535F7CB" w14:textId="1AFAEFBF" w:rsidR="001C20E7" w:rsidRPr="005F292D" w:rsidRDefault="00B35F6B" w:rsidP="005F292D">
            <w:pPr>
              <w:jc w:val="center"/>
            </w:pPr>
            <w:r w:rsidRPr="005F292D">
              <w:t>3</w:t>
            </w:r>
          </w:p>
        </w:tc>
        <w:tc>
          <w:tcPr>
            <w:tcW w:w="1799" w:type="dxa"/>
            <w:vAlign w:val="center"/>
          </w:tcPr>
          <w:p w14:paraId="226FEE14" w14:textId="783E1429" w:rsidR="001C20E7" w:rsidRPr="005F292D" w:rsidRDefault="00DE262B" w:rsidP="000F2869">
            <w:r w:rsidRPr="005F292D">
              <w:t>Ražošana</w:t>
            </w:r>
          </w:p>
        </w:tc>
        <w:tc>
          <w:tcPr>
            <w:tcW w:w="2831" w:type="dxa"/>
            <w:vAlign w:val="center"/>
          </w:tcPr>
          <w:p w14:paraId="3B0D4C1C" w14:textId="69810D7D" w:rsidR="001C20E7" w:rsidRPr="005F292D" w:rsidRDefault="00D4767D" w:rsidP="00837B30">
            <w:r>
              <w:t>Pārdotā ū</w:t>
            </w:r>
            <w:r w:rsidR="00D541D2" w:rsidRPr="005F292D">
              <w:t xml:space="preserve">dens apjoms pieaudzis par </w:t>
            </w:r>
            <w:r w:rsidR="00501D12" w:rsidRPr="005F292D">
              <w:t>58,</w:t>
            </w:r>
            <w:r w:rsidR="003C787D" w:rsidRPr="005F292D">
              <w:t>9</w:t>
            </w:r>
            <w:r w:rsidR="00501D12" w:rsidRPr="005F292D">
              <w:t xml:space="preserve"> </w:t>
            </w:r>
            <w:r w:rsidR="00D541D2" w:rsidRPr="005F292D">
              <w:t xml:space="preserve">tūkst.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>3</w:t>
            </w:r>
            <w:r w:rsidR="00D541D2" w:rsidRPr="005F292D">
              <w:t xml:space="preserve"> gadā, t.i., no 423,9 tūkst. par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 xml:space="preserve">3 </w:t>
            </w:r>
            <w:r w:rsidR="00D541D2" w:rsidRPr="005F292D">
              <w:t>gadā līdz 48</w:t>
            </w:r>
            <w:r w:rsidR="00501D12" w:rsidRPr="005F292D">
              <w:t>2</w:t>
            </w:r>
            <w:r w:rsidR="00D541D2" w:rsidRPr="005F292D">
              <w:t>,</w:t>
            </w:r>
            <w:r w:rsidR="003C787D" w:rsidRPr="005F292D">
              <w:t xml:space="preserve">8 </w:t>
            </w:r>
            <w:r w:rsidR="00D541D2" w:rsidRPr="005F292D">
              <w:t xml:space="preserve">tūkst.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>3</w:t>
            </w:r>
            <w:r w:rsidR="003C787D" w:rsidRPr="005F292D">
              <w:t xml:space="preserve"> </w:t>
            </w:r>
            <w:r w:rsidR="00D541D2" w:rsidRPr="005F292D">
              <w:t>gadā.</w:t>
            </w:r>
          </w:p>
        </w:tc>
        <w:tc>
          <w:tcPr>
            <w:tcW w:w="1758" w:type="dxa"/>
            <w:vAlign w:val="center"/>
          </w:tcPr>
          <w:p w14:paraId="082D95A8" w14:textId="5B327807" w:rsidR="00D42080" w:rsidRPr="005F292D" w:rsidRDefault="00D42080" w:rsidP="00837B30">
            <w:pPr>
              <w:rPr>
                <w:sz w:val="32"/>
                <w:szCs w:val="32"/>
                <w:vertAlign w:val="subscript"/>
              </w:rPr>
            </w:pPr>
            <w:r w:rsidRPr="005F292D">
              <w:rPr>
                <w:sz w:val="32"/>
                <w:szCs w:val="32"/>
                <w:vertAlign w:val="subscript"/>
              </w:rPr>
              <w:t>+ 1</w:t>
            </w:r>
            <w:r w:rsidR="003C787D" w:rsidRPr="005F292D">
              <w:rPr>
                <w:sz w:val="32"/>
                <w:szCs w:val="32"/>
                <w:vertAlign w:val="subscript"/>
              </w:rPr>
              <w:t>4</w:t>
            </w:r>
            <w:r w:rsidRPr="005F292D">
              <w:rPr>
                <w:sz w:val="32"/>
                <w:szCs w:val="32"/>
                <w:vertAlign w:val="subscript"/>
              </w:rPr>
              <w:t>%</w:t>
            </w:r>
          </w:p>
        </w:tc>
        <w:tc>
          <w:tcPr>
            <w:tcW w:w="1321" w:type="dxa"/>
            <w:vAlign w:val="center"/>
          </w:tcPr>
          <w:p w14:paraId="57D30C72" w14:textId="7202717D" w:rsidR="001C20E7" w:rsidRPr="005F292D" w:rsidRDefault="00D42080" w:rsidP="00837B30">
            <w:r w:rsidRPr="005F292D">
              <w:t>2017.g.-2021.g.</w:t>
            </w:r>
          </w:p>
        </w:tc>
      </w:tr>
      <w:tr w:rsidR="000F6F03" w14:paraId="2BD6D877" w14:textId="77777777" w:rsidTr="005F292D">
        <w:tc>
          <w:tcPr>
            <w:tcW w:w="587" w:type="dxa"/>
            <w:vAlign w:val="center"/>
          </w:tcPr>
          <w:p w14:paraId="0DA709EC" w14:textId="27CC21AB" w:rsidR="001C20E7" w:rsidRPr="005F292D" w:rsidRDefault="00B35F6B" w:rsidP="005F292D">
            <w:pPr>
              <w:jc w:val="center"/>
            </w:pPr>
            <w:r w:rsidRPr="005F292D">
              <w:t>4</w:t>
            </w:r>
          </w:p>
        </w:tc>
        <w:tc>
          <w:tcPr>
            <w:tcW w:w="1799" w:type="dxa"/>
            <w:vAlign w:val="center"/>
          </w:tcPr>
          <w:p w14:paraId="5C345589" w14:textId="00986AE6" w:rsidR="001C20E7" w:rsidRPr="005F292D" w:rsidRDefault="00B35F6B" w:rsidP="000F2869">
            <w:r w:rsidRPr="005F292D">
              <w:t>Ražošana</w:t>
            </w:r>
          </w:p>
        </w:tc>
        <w:tc>
          <w:tcPr>
            <w:tcW w:w="2831" w:type="dxa"/>
            <w:vAlign w:val="center"/>
          </w:tcPr>
          <w:p w14:paraId="5EC24874" w14:textId="1364AFC8" w:rsidR="001C20E7" w:rsidRPr="005F292D" w:rsidRDefault="00D541D2" w:rsidP="00837B30">
            <w:r w:rsidRPr="005F292D">
              <w:t>Attīrīto notekūdeņu apjoms pieaudzis par 10</w:t>
            </w:r>
            <w:r w:rsidR="003C787D" w:rsidRPr="005F292D">
              <w:t>0</w:t>
            </w:r>
            <w:r w:rsidRPr="005F292D">
              <w:t>,</w:t>
            </w:r>
            <w:r w:rsidR="003C787D" w:rsidRPr="005F292D">
              <w:t>6</w:t>
            </w:r>
            <w:r w:rsidRPr="005F292D">
              <w:t xml:space="preserve"> tūkst.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>3</w:t>
            </w:r>
            <w:r w:rsidR="00654B47">
              <w:rPr>
                <w:vertAlign w:val="superscript"/>
              </w:rPr>
              <w:t xml:space="preserve"> </w:t>
            </w:r>
            <w:r w:rsidRPr="005F292D">
              <w:t xml:space="preserve">gadā, t.i., no 529,3 tūkst.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 xml:space="preserve">3 </w:t>
            </w:r>
            <w:r w:rsidRPr="005F292D">
              <w:t xml:space="preserve">gadā līdz 629,9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 xml:space="preserve">3 </w:t>
            </w:r>
            <w:r w:rsidRPr="005F292D">
              <w:t>gadā</w:t>
            </w:r>
          </w:p>
        </w:tc>
        <w:tc>
          <w:tcPr>
            <w:tcW w:w="1758" w:type="dxa"/>
            <w:vAlign w:val="center"/>
          </w:tcPr>
          <w:p w14:paraId="5E626241" w14:textId="149AA748" w:rsidR="00D42080" w:rsidRPr="005F292D" w:rsidRDefault="00D42080" w:rsidP="00837B30">
            <w:pPr>
              <w:rPr>
                <w:sz w:val="32"/>
                <w:szCs w:val="32"/>
                <w:vertAlign w:val="subscript"/>
              </w:rPr>
            </w:pPr>
            <w:r w:rsidRPr="005F292D">
              <w:rPr>
                <w:sz w:val="32"/>
                <w:szCs w:val="32"/>
                <w:vertAlign w:val="subscript"/>
              </w:rPr>
              <w:t>+ 19%</w:t>
            </w:r>
          </w:p>
        </w:tc>
        <w:tc>
          <w:tcPr>
            <w:tcW w:w="1321" w:type="dxa"/>
            <w:vAlign w:val="center"/>
          </w:tcPr>
          <w:p w14:paraId="7F6048D4" w14:textId="0220B824" w:rsidR="001C20E7" w:rsidRPr="005F292D" w:rsidRDefault="00D42080" w:rsidP="00837B30">
            <w:r w:rsidRPr="005F292D">
              <w:t>2017.g.-2021.g.</w:t>
            </w:r>
          </w:p>
        </w:tc>
      </w:tr>
      <w:tr w:rsidR="000F6F03" w14:paraId="74D290B7" w14:textId="77777777" w:rsidTr="005F292D">
        <w:trPr>
          <w:trHeight w:val="1140"/>
        </w:trPr>
        <w:tc>
          <w:tcPr>
            <w:tcW w:w="587" w:type="dxa"/>
            <w:vAlign w:val="center"/>
          </w:tcPr>
          <w:p w14:paraId="436B195D" w14:textId="3C09A68B" w:rsidR="00063B6F" w:rsidRPr="005F292D" w:rsidRDefault="00D42080" w:rsidP="005F292D">
            <w:pPr>
              <w:jc w:val="center"/>
            </w:pPr>
            <w:r w:rsidRPr="005F292D">
              <w:t>5</w:t>
            </w:r>
          </w:p>
        </w:tc>
        <w:tc>
          <w:tcPr>
            <w:tcW w:w="1799" w:type="dxa"/>
            <w:vAlign w:val="center"/>
          </w:tcPr>
          <w:p w14:paraId="3779CF1F" w14:textId="105A53C1" w:rsidR="00423C3C" w:rsidRPr="005F292D" w:rsidRDefault="00423C3C" w:rsidP="00423C3C">
            <w:r w:rsidRPr="005F292D">
              <w:t>Klient</w:t>
            </w:r>
            <w:r w:rsidR="000F2869" w:rsidRPr="005F292D">
              <w:t>i</w:t>
            </w:r>
          </w:p>
          <w:p w14:paraId="7EB8EF8E" w14:textId="77777777" w:rsidR="00063B6F" w:rsidRPr="005F292D" w:rsidRDefault="00063B6F" w:rsidP="00837B30"/>
        </w:tc>
        <w:tc>
          <w:tcPr>
            <w:tcW w:w="2831" w:type="dxa"/>
            <w:vAlign w:val="center"/>
          </w:tcPr>
          <w:p w14:paraId="7FD9D4C4" w14:textId="586A5543" w:rsidR="003048A2" w:rsidRPr="005F292D" w:rsidRDefault="00423C3C" w:rsidP="00423C3C">
            <w:r w:rsidRPr="005F292D">
              <w:t>Pie kanalizācijas tīkliem pieslēgti 3</w:t>
            </w:r>
            <w:r w:rsidR="001739C4" w:rsidRPr="005F292D">
              <w:t>09</w:t>
            </w:r>
            <w:r w:rsidRPr="005F292D">
              <w:t xml:space="preserve"> klienti</w:t>
            </w:r>
            <w:r w:rsidR="001739C4" w:rsidRPr="005F292D">
              <w:t xml:space="preserve">. </w:t>
            </w:r>
          </w:p>
          <w:p w14:paraId="17CB1492" w14:textId="0FD55F78" w:rsidR="00063B6F" w:rsidRPr="005F292D" w:rsidRDefault="009631DF" w:rsidP="009631DF">
            <w:r w:rsidRPr="005F292D">
              <w:t xml:space="preserve"> </w:t>
            </w:r>
            <w:r w:rsidR="00D832E5" w:rsidRPr="005F292D">
              <w:t>(u</w:t>
            </w:r>
            <w:r w:rsidR="00DB19CA" w:rsidRPr="005F292D">
              <w:t>z 01.01.2022. k</w:t>
            </w:r>
            <w:r w:rsidR="005E7CED" w:rsidRPr="005F292D">
              <w:t>opā: 97</w:t>
            </w:r>
            <w:r w:rsidRPr="005F292D">
              <w:t xml:space="preserve">9 </w:t>
            </w:r>
            <w:r w:rsidR="005E7CED" w:rsidRPr="005F292D">
              <w:t>klienti</w:t>
            </w:r>
            <w:r w:rsidR="00D832E5" w:rsidRPr="005F292D">
              <w:t>)</w:t>
            </w:r>
          </w:p>
        </w:tc>
        <w:tc>
          <w:tcPr>
            <w:tcW w:w="1758" w:type="dxa"/>
            <w:vAlign w:val="center"/>
          </w:tcPr>
          <w:p w14:paraId="3F29484C" w14:textId="77777777" w:rsidR="00C72F35" w:rsidRPr="005F292D" w:rsidRDefault="00C72F35" w:rsidP="00837B30"/>
          <w:p w14:paraId="43EE5DE6" w14:textId="4CDC48BE" w:rsidR="00942A80" w:rsidRPr="005F292D" w:rsidRDefault="003048A2" w:rsidP="00837B30">
            <w:r w:rsidRPr="005F292D">
              <w:t xml:space="preserve">+ </w:t>
            </w:r>
            <w:r w:rsidR="00BF4635" w:rsidRPr="005F292D">
              <w:t>32</w:t>
            </w:r>
            <w:r w:rsidRPr="005F292D">
              <w:t>%</w:t>
            </w:r>
          </w:p>
          <w:p w14:paraId="0BB6BEC1" w14:textId="77777777" w:rsidR="00942A80" w:rsidRPr="005F292D" w:rsidRDefault="00942A80" w:rsidP="00837B30"/>
          <w:p w14:paraId="64E0F3C9" w14:textId="45FAABA6" w:rsidR="003048A2" w:rsidRPr="005F292D" w:rsidRDefault="003048A2" w:rsidP="00837B30"/>
        </w:tc>
        <w:tc>
          <w:tcPr>
            <w:tcW w:w="1321" w:type="dxa"/>
            <w:vAlign w:val="center"/>
          </w:tcPr>
          <w:p w14:paraId="24F5628D" w14:textId="0489CFD4" w:rsidR="00063B6F" w:rsidRPr="005F292D" w:rsidRDefault="006A327E" w:rsidP="00837B30">
            <w:r w:rsidRPr="005F292D">
              <w:t>2017.g.-2021.g.</w:t>
            </w:r>
          </w:p>
        </w:tc>
      </w:tr>
      <w:tr w:rsidR="009631DF" w14:paraId="6C0B37D7" w14:textId="77777777" w:rsidTr="005F292D">
        <w:trPr>
          <w:trHeight w:val="1140"/>
        </w:trPr>
        <w:tc>
          <w:tcPr>
            <w:tcW w:w="587" w:type="dxa"/>
            <w:vAlign w:val="center"/>
          </w:tcPr>
          <w:p w14:paraId="4C6B1FDB" w14:textId="506AF305" w:rsidR="009631DF" w:rsidRPr="005F292D" w:rsidRDefault="001A351D" w:rsidP="005F292D">
            <w:pPr>
              <w:jc w:val="center"/>
            </w:pPr>
            <w:r w:rsidRPr="005F292D">
              <w:t>6</w:t>
            </w:r>
          </w:p>
        </w:tc>
        <w:tc>
          <w:tcPr>
            <w:tcW w:w="1799" w:type="dxa"/>
            <w:vAlign w:val="center"/>
          </w:tcPr>
          <w:p w14:paraId="35557B7E" w14:textId="70776038" w:rsidR="009631DF" w:rsidRPr="005F292D" w:rsidRDefault="000F2869" w:rsidP="009631DF">
            <w:r w:rsidRPr="005F292D">
              <w:t>Klienti</w:t>
            </w:r>
            <w:r w:rsidR="00654B47">
              <w:t xml:space="preserve"> </w:t>
            </w:r>
          </w:p>
          <w:p w14:paraId="44B1F178" w14:textId="77777777" w:rsidR="009631DF" w:rsidRPr="005F292D" w:rsidRDefault="009631DF" w:rsidP="00423C3C"/>
        </w:tc>
        <w:tc>
          <w:tcPr>
            <w:tcW w:w="2831" w:type="dxa"/>
            <w:vAlign w:val="center"/>
          </w:tcPr>
          <w:p w14:paraId="5E644633" w14:textId="2AA20B57" w:rsidR="009631DF" w:rsidRPr="005F292D" w:rsidRDefault="009631DF" w:rsidP="009631DF">
            <w:r w:rsidRPr="005F292D">
              <w:t>Pie ūdens tīkliem pieslēgti 282 klienti.</w:t>
            </w:r>
            <w:r w:rsidR="00654B47">
              <w:t xml:space="preserve"> </w:t>
            </w:r>
          </w:p>
          <w:p w14:paraId="79896B6C" w14:textId="4FE34627" w:rsidR="009631DF" w:rsidRPr="005F292D" w:rsidRDefault="009631DF" w:rsidP="00BF4635">
            <w:r w:rsidRPr="005F292D">
              <w:t>(uz 01.01.2022. kopā: 9</w:t>
            </w:r>
            <w:r w:rsidR="00BF4635" w:rsidRPr="005F292D">
              <w:t xml:space="preserve">68 </w:t>
            </w:r>
            <w:r w:rsidRPr="005F292D">
              <w:t>klienti)</w:t>
            </w:r>
          </w:p>
        </w:tc>
        <w:tc>
          <w:tcPr>
            <w:tcW w:w="1758" w:type="dxa"/>
            <w:vAlign w:val="center"/>
          </w:tcPr>
          <w:p w14:paraId="27EAFE7B" w14:textId="74C5A582" w:rsidR="009631DF" w:rsidRPr="005F292D" w:rsidRDefault="009631DF" w:rsidP="00BF4635">
            <w:r w:rsidRPr="005F292D">
              <w:t xml:space="preserve">+ </w:t>
            </w:r>
            <w:r w:rsidR="00BF4635" w:rsidRPr="005F292D">
              <w:t>29</w:t>
            </w:r>
            <w:r w:rsidRPr="005F292D">
              <w:t>%</w:t>
            </w:r>
          </w:p>
        </w:tc>
        <w:tc>
          <w:tcPr>
            <w:tcW w:w="1321" w:type="dxa"/>
            <w:vAlign w:val="center"/>
          </w:tcPr>
          <w:p w14:paraId="7D316C0D" w14:textId="7D7B43DD" w:rsidR="009631DF" w:rsidRPr="005F292D" w:rsidRDefault="009631DF" w:rsidP="00837B30">
            <w:r w:rsidRPr="005F292D">
              <w:t>2017.g.-2021.g.</w:t>
            </w:r>
          </w:p>
        </w:tc>
      </w:tr>
      <w:tr w:rsidR="000F6F03" w14:paraId="06DE5172" w14:textId="77777777" w:rsidTr="005F292D">
        <w:tc>
          <w:tcPr>
            <w:tcW w:w="587" w:type="dxa"/>
            <w:vAlign w:val="center"/>
          </w:tcPr>
          <w:p w14:paraId="6FEF9411" w14:textId="2294EA2C" w:rsidR="00063B6F" w:rsidRPr="005F292D" w:rsidRDefault="005F292D" w:rsidP="005F292D">
            <w:pPr>
              <w:jc w:val="center"/>
            </w:pPr>
            <w:r>
              <w:t>7</w:t>
            </w:r>
          </w:p>
        </w:tc>
        <w:tc>
          <w:tcPr>
            <w:tcW w:w="1799" w:type="dxa"/>
            <w:vAlign w:val="center"/>
          </w:tcPr>
          <w:p w14:paraId="5510437D" w14:textId="18F33F39" w:rsidR="00063B6F" w:rsidRPr="005F292D" w:rsidRDefault="007B28B3" w:rsidP="00837B30">
            <w:r w:rsidRPr="005F292D">
              <w:t>Būvdarbi</w:t>
            </w:r>
            <w:r w:rsidR="00532297" w:rsidRPr="005F292D">
              <w:t>:</w:t>
            </w:r>
            <w:r w:rsidR="00654B47">
              <w:t xml:space="preserve"> </w:t>
            </w:r>
            <w:r w:rsidR="00532297" w:rsidRPr="005F292D">
              <w:t>1, 6 milj</w:t>
            </w:r>
          </w:p>
        </w:tc>
        <w:tc>
          <w:tcPr>
            <w:tcW w:w="2831" w:type="dxa"/>
            <w:vAlign w:val="center"/>
          </w:tcPr>
          <w:p w14:paraId="6BFA013A" w14:textId="7DD7672B" w:rsidR="00063B6F" w:rsidRPr="005F292D" w:rsidRDefault="00C2220E" w:rsidP="00837B30">
            <w:r w:rsidRPr="005F292D">
              <w:t xml:space="preserve">NAI </w:t>
            </w:r>
            <w:r w:rsidR="001B2177" w:rsidRPr="005F292D">
              <w:t>jaudas palielināšana</w:t>
            </w:r>
            <w:r w:rsidR="00D15154" w:rsidRPr="005F292D">
              <w:t xml:space="preserve"> </w:t>
            </w:r>
            <w:r w:rsidR="00120E03" w:rsidRPr="005F292D">
              <w:t>par</w:t>
            </w:r>
            <w:r w:rsidR="00D15154" w:rsidRPr="005F292D">
              <w:t xml:space="preserve"> 750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>3</w:t>
            </w:r>
            <w:r w:rsidR="00D15154" w:rsidRPr="005F292D">
              <w:t>/diennaktī</w:t>
            </w:r>
          </w:p>
        </w:tc>
        <w:tc>
          <w:tcPr>
            <w:tcW w:w="1758" w:type="dxa"/>
            <w:vAlign w:val="center"/>
          </w:tcPr>
          <w:p w14:paraId="710E00B5" w14:textId="16EF5991" w:rsidR="00063B6F" w:rsidRPr="005F292D" w:rsidRDefault="00C2220E" w:rsidP="00D4767D">
            <w:r w:rsidRPr="005F292D">
              <w:t xml:space="preserve"> </w:t>
            </w:r>
            <w:r w:rsidR="00D15154" w:rsidRPr="005F292D">
              <w:t>+ 54%</w:t>
            </w:r>
            <w:r w:rsidR="00120E03" w:rsidRPr="005F292D">
              <w:t xml:space="preserve"> jaudas pieaugums</w:t>
            </w:r>
          </w:p>
        </w:tc>
        <w:tc>
          <w:tcPr>
            <w:tcW w:w="1321" w:type="dxa"/>
            <w:vAlign w:val="center"/>
          </w:tcPr>
          <w:p w14:paraId="413E1CA9" w14:textId="412F4983" w:rsidR="00063B6F" w:rsidRPr="005F292D" w:rsidRDefault="006A327E" w:rsidP="00837B30">
            <w:r w:rsidRPr="005F292D">
              <w:t>2017.g.</w:t>
            </w:r>
          </w:p>
        </w:tc>
      </w:tr>
      <w:tr w:rsidR="000F6F03" w14:paraId="2BC86F0B" w14:textId="77777777" w:rsidTr="005F292D">
        <w:tc>
          <w:tcPr>
            <w:tcW w:w="587" w:type="dxa"/>
            <w:vAlign w:val="center"/>
          </w:tcPr>
          <w:p w14:paraId="19E731EC" w14:textId="7C88E9AF" w:rsidR="00063B6F" w:rsidRPr="005F292D" w:rsidRDefault="005F292D" w:rsidP="005F292D">
            <w:pPr>
              <w:jc w:val="center"/>
            </w:pPr>
            <w:r>
              <w:t>8</w:t>
            </w:r>
          </w:p>
        </w:tc>
        <w:tc>
          <w:tcPr>
            <w:tcW w:w="1799" w:type="dxa"/>
            <w:vAlign w:val="center"/>
          </w:tcPr>
          <w:p w14:paraId="5572E45A" w14:textId="4698B895" w:rsidR="00063B6F" w:rsidRPr="005F292D" w:rsidRDefault="00392C76" w:rsidP="00837B30">
            <w:r w:rsidRPr="005F292D">
              <w:t>Būvdarbi</w:t>
            </w:r>
            <w:r w:rsidR="00532297" w:rsidRPr="005F292D">
              <w:t>:</w:t>
            </w:r>
            <w:r w:rsidR="00654B47">
              <w:t xml:space="preserve"> </w:t>
            </w:r>
            <w:r w:rsidR="00532297" w:rsidRPr="005F292D">
              <w:t>2, 7 milj.</w:t>
            </w:r>
          </w:p>
        </w:tc>
        <w:tc>
          <w:tcPr>
            <w:tcW w:w="2831" w:type="dxa"/>
            <w:vAlign w:val="center"/>
          </w:tcPr>
          <w:p w14:paraId="33AF44AF" w14:textId="042D0562" w:rsidR="00063B6F" w:rsidRPr="005F292D" w:rsidRDefault="001B2177" w:rsidP="00837B30">
            <w:r w:rsidRPr="005F292D">
              <w:t>NAI jaudas palielināšana</w:t>
            </w:r>
            <w:r w:rsidR="00120E03" w:rsidRPr="005F292D">
              <w:t xml:space="preserve"> par 850 </w:t>
            </w:r>
            <w:r w:rsidR="003C787D" w:rsidRPr="005F292D">
              <w:t>m</w:t>
            </w:r>
            <w:r w:rsidR="003C787D" w:rsidRPr="005F292D">
              <w:rPr>
                <w:vertAlign w:val="superscript"/>
              </w:rPr>
              <w:t>3</w:t>
            </w:r>
            <w:r w:rsidR="00120E03" w:rsidRPr="005F292D">
              <w:t>/diennaktī</w:t>
            </w:r>
          </w:p>
        </w:tc>
        <w:tc>
          <w:tcPr>
            <w:tcW w:w="1758" w:type="dxa"/>
            <w:vAlign w:val="center"/>
          </w:tcPr>
          <w:p w14:paraId="65EACE4E" w14:textId="7A2FDD20" w:rsidR="00957796" w:rsidRPr="005F292D" w:rsidRDefault="007B28B3" w:rsidP="00D4767D">
            <w:r w:rsidRPr="005F292D">
              <w:t xml:space="preserve"> +</w:t>
            </w:r>
            <w:r w:rsidR="001B2177" w:rsidRPr="005F292D">
              <w:t xml:space="preserve"> </w:t>
            </w:r>
            <w:r w:rsidR="00D4767D">
              <w:t>38</w:t>
            </w:r>
            <w:r w:rsidR="00120E03" w:rsidRPr="005F292D">
              <w:t>% jaudas pieaugums</w:t>
            </w:r>
          </w:p>
        </w:tc>
        <w:tc>
          <w:tcPr>
            <w:tcW w:w="1321" w:type="dxa"/>
            <w:vAlign w:val="center"/>
          </w:tcPr>
          <w:p w14:paraId="17ABE4BB" w14:textId="77777777" w:rsidR="007B28B3" w:rsidRPr="005F292D" w:rsidRDefault="007B28B3" w:rsidP="007B28B3">
            <w:r w:rsidRPr="005F292D">
              <w:t>uzsākšana: 2021.g.</w:t>
            </w:r>
          </w:p>
          <w:p w14:paraId="7BF97347" w14:textId="2087A5B6" w:rsidR="00063B6F" w:rsidRPr="005F292D" w:rsidRDefault="007B28B3" w:rsidP="007B28B3">
            <w:r w:rsidRPr="005F292D">
              <w:t>pabeigšana: 2022.g.</w:t>
            </w:r>
          </w:p>
        </w:tc>
      </w:tr>
      <w:tr w:rsidR="000F6F03" w14:paraId="52967665" w14:textId="77777777" w:rsidTr="005F292D">
        <w:tc>
          <w:tcPr>
            <w:tcW w:w="587" w:type="dxa"/>
            <w:vAlign w:val="center"/>
          </w:tcPr>
          <w:p w14:paraId="4358C366" w14:textId="77B9AAB5" w:rsidR="00063B6F" w:rsidRPr="005F292D" w:rsidRDefault="005F292D" w:rsidP="005F292D">
            <w:pPr>
              <w:jc w:val="center"/>
            </w:pPr>
            <w:r>
              <w:lastRenderedPageBreak/>
              <w:t>9</w:t>
            </w:r>
          </w:p>
        </w:tc>
        <w:tc>
          <w:tcPr>
            <w:tcW w:w="1799" w:type="dxa"/>
            <w:vAlign w:val="center"/>
          </w:tcPr>
          <w:p w14:paraId="3F4D080E" w14:textId="087D1143" w:rsidR="00063B6F" w:rsidRPr="005F292D" w:rsidRDefault="00532297" w:rsidP="00837B30">
            <w:r w:rsidRPr="005F292D">
              <w:t>Būvdarbi: 0,6 milj.</w:t>
            </w:r>
          </w:p>
        </w:tc>
        <w:tc>
          <w:tcPr>
            <w:tcW w:w="2831" w:type="dxa"/>
            <w:vAlign w:val="center"/>
          </w:tcPr>
          <w:p w14:paraId="093ADF6D" w14:textId="0212AA80" w:rsidR="007B28B3" w:rsidRPr="005F292D" w:rsidRDefault="00392C76" w:rsidP="00837B30">
            <w:r w:rsidRPr="005F292D">
              <w:t>Ūdens tīklu izbūve</w:t>
            </w:r>
          </w:p>
        </w:tc>
        <w:tc>
          <w:tcPr>
            <w:tcW w:w="1758" w:type="dxa"/>
            <w:vAlign w:val="center"/>
          </w:tcPr>
          <w:p w14:paraId="329A0003" w14:textId="4225E04E" w:rsidR="00063B6F" w:rsidRPr="005F292D" w:rsidRDefault="00392C76" w:rsidP="00837B30">
            <w:r w:rsidRPr="005F292D">
              <w:t>+</w:t>
            </w:r>
            <w:r w:rsidR="001B2177" w:rsidRPr="005F292D">
              <w:t xml:space="preserve"> </w:t>
            </w:r>
            <w:r w:rsidRPr="005F292D">
              <w:t>2,1 km</w:t>
            </w:r>
          </w:p>
        </w:tc>
        <w:tc>
          <w:tcPr>
            <w:tcW w:w="1321" w:type="dxa"/>
            <w:vAlign w:val="center"/>
          </w:tcPr>
          <w:p w14:paraId="58FF3B65" w14:textId="31F7DF84" w:rsidR="00CD3FF6" w:rsidRPr="005F292D" w:rsidRDefault="00392C76" w:rsidP="00837B30">
            <w:r w:rsidRPr="005F292D">
              <w:t>2017.g.-2021.g.</w:t>
            </w:r>
          </w:p>
        </w:tc>
      </w:tr>
      <w:tr w:rsidR="00330935" w14:paraId="3FC70E10" w14:textId="77777777" w:rsidTr="005F292D">
        <w:tc>
          <w:tcPr>
            <w:tcW w:w="587" w:type="dxa"/>
            <w:vAlign w:val="center"/>
          </w:tcPr>
          <w:p w14:paraId="3D3BF3DE" w14:textId="55FACD82" w:rsidR="00330935" w:rsidRPr="005F292D" w:rsidRDefault="00330935" w:rsidP="005F292D">
            <w:pPr>
              <w:jc w:val="center"/>
            </w:pPr>
            <w:r w:rsidRPr="005F292D">
              <w:t>1</w:t>
            </w:r>
            <w:r w:rsidR="005F292D">
              <w:t>0</w:t>
            </w:r>
          </w:p>
        </w:tc>
        <w:tc>
          <w:tcPr>
            <w:tcW w:w="1799" w:type="dxa"/>
            <w:vAlign w:val="center"/>
          </w:tcPr>
          <w:p w14:paraId="4007506F" w14:textId="25876B58" w:rsidR="00330935" w:rsidRPr="005F292D" w:rsidRDefault="00330935" w:rsidP="00837B30">
            <w:r w:rsidRPr="005F292D">
              <w:t>Būvdarbi</w:t>
            </w:r>
            <w:r w:rsidR="00532297" w:rsidRPr="005F292D">
              <w:t>:</w:t>
            </w:r>
            <w:r w:rsidR="00654B47">
              <w:t xml:space="preserve"> </w:t>
            </w:r>
            <w:r w:rsidR="00532297" w:rsidRPr="005F292D">
              <w:t>0,8 milj.</w:t>
            </w:r>
          </w:p>
        </w:tc>
        <w:tc>
          <w:tcPr>
            <w:tcW w:w="2831" w:type="dxa"/>
            <w:vAlign w:val="center"/>
          </w:tcPr>
          <w:p w14:paraId="73A5826B" w14:textId="6C616469" w:rsidR="00330935" w:rsidRPr="005F292D" w:rsidRDefault="00DC4671" w:rsidP="00DC4671">
            <w:r w:rsidRPr="005F292D">
              <w:t>ES KF līdzfinansēts projekts „Ūdenssaimniecības pakalpojumu attīstība Ādažos, III kāta” Kanalizācijas tīklu izbūve</w:t>
            </w:r>
          </w:p>
        </w:tc>
        <w:tc>
          <w:tcPr>
            <w:tcW w:w="1758" w:type="dxa"/>
            <w:vAlign w:val="center"/>
          </w:tcPr>
          <w:p w14:paraId="52D8026D" w14:textId="410BFD2C" w:rsidR="00330935" w:rsidRPr="005F292D" w:rsidRDefault="00DC4671" w:rsidP="00837B30">
            <w:r w:rsidRPr="005F292D">
              <w:t xml:space="preserve">+ 1 stacija </w:t>
            </w:r>
          </w:p>
          <w:p w14:paraId="4B6C4EE1" w14:textId="77777777" w:rsidR="00DC4671" w:rsidRPr="005F292D" w:rsidRDefault="00DC4671" w:rsidP="00837B30"/>
          <w:p w14:paraId="2F8949BE" w14:textId="4380B275" w:rsidR="00DC4671" w:rsidRPr="005F292D" w:rsidRDefault="00DC4671" w:rsidP="00837B30">
            <w:r w:rsidRPr="005F292D">
              <w:t>+ 1 km</w:t>
            </w:r>
          </w:p>
        </w:tc>
        <w:tc>
          <w:tcPr>
            <w:tcW w:w="1321" w:type="dxa"/>
            <w:vAlign w:val="center"/>
          </w:tcPr>
          <w:p w14:paraId="40DED611" w14:textId="08795C20" w:rsidR="00330935" w:rsidRPr="005F292D" w:rsidRDefault="00DC4671" w:rsidP="00837B30">
            <w:r w:rsidRPr="005F292D">
              <w:t>2019.g.</w:t>
            </w:r>
          </w:p>
        </w:tc>
      </w:tr>
      <w:tr w:rsidR="000F6F03" w14:paraId="73A7A766" w14:textId="77777777" w:rsidTr="005F292D">
        <w:tc>
          <w:tcPr>
            <w:tcW w:w="587" w:type="dxa"/>
            <w:vAlign w:val="center"/>
          </w:tcPr>
          <w:p w14:paraId="7C2F81C4" w14:textId="6439AB1C" w:rsidR="00CA0851" w:rsidRPr="005F292D" w:rsidRDefault="005D11BF" w:rsidP="005F292D">
            <w:pPr>
              <w:jc w:val="center"/>
            </w:pPr>
            <w:r w:rsidRPr="005F292D">
              <w:t>1</w:t>
            </w:r>
            <w:r w:rsidR="005F292D">
              <w:t>1</w:t>
            </w:r>
          </w:p>
        </w:tc>
        <w:tc>
          <w:tcPr>
            <w:tcW w:w="1799" w:type="dxa"/>
            <w:vAlign w:val="center"/>
          </w:tcPr>
          <w:p w14:paraId="45923E5B" w14:textId="4AC1DC92" w:rsidR="00CA0851" w:rsidRPr="005F292D" w:rsidRDefault="005F36CE" w:rsidP="00837B30">
            <w:r w:rsidRPr="005F292D">
              <w:t>R</w:t>
            </w:r>
            <w:r w:rsidR="00A1203B" w:rsidRPr="005F292D">
              <w:t>e</w:t>
            </w:r>
            <w:r w:rsidRPr="005F292D">
              <w:t>novācija</w:t>
            </w:r>
            <w:r w:rsidR="00532297" w:rsidRPr="005F292D">
              <w:t>: 0,12 milj.</w:t>
            </w:r>
          </w:p>
        </w:tc>
        <w:tc>
          <w:tcPr>
            <w:tcW w:w="2831" w:type="dxa"/>
            <w:vAlign w:val="center"/>
          </w:tcPr>
          <w:p w14:paraId="166EF02B" w14:textId="1A3B02C1" w:rsidR="00CA0851" w:rsidRPr="005F292D" w:rsidRDefault="00821F83" w:rsidP="00837B30">
            <w:r w:rsidRPr="005F292D">
              <w:t>Ūdensgūtne Garkalnē</w:t>
            </w:r>
          </w:p>
        </w:tc>
        <w:tc>
          <w:tcPr>
            <w:tcW w:w="1758" w:type="dxa"/>
            <w:vAlign w:val="center"/>
          </w:tcPr>
          <w:p w14:paraId="1E488AA6" w14:textId="4DBDE679" w:rsidR="00CA0851" w:rsidRPr="005F292D" w:rsidRDefault="00E11181" w:rsidP="00837B30">
            <w:r w:rsidRPr="005F292D">
              <w:t>+ 1</w:t>
            </w:r>
            <w:r w:rsidR="00821F83" w:rsidRPr="005F292D">
              <w:t xml:space="preserve"> artēziskais urbums</w:t>
            </w:r>
          </w:p>
          <w:p w14:paraId="3900638F" w14:textId="253A11BB" w:rsidR="00821F83" w:rsidRPr="005F292D" w:rsidRDefault="00821F83" w:rsidP="00837B30">
            <w:r w:rsidRPr="005F292D">
              <w:t xml:space="preserve">+ 1 jauns </w:t>
            </w:r>
            <w:r w:rsidR="001B2177" w:rsidRPr="005F292D">
              <w:t xml:space="preserve">dziļurbuma </w:t>
            </w:r>
            <w:r w:rsidRPr="005F292D">
              <w:t>sūknis</w:t>
            </w:r>
          </w:p>
        </w:tc>
        <w:tc>
          <w:tcPr>
            <w:tcW w:w="1321" w:type="dxa"/>
            <w:vAlign w:val="center"/>
          </w:tcPr>
          <w:p w14:paraId="5EF838CB" w14:textId="0CD8DF47" w:rsidR="00CA0851" w:rsidRPr="005F292D" w:rsidRDefault="00821F83" w:rsidP="00837B30">
            <w:r w:rsidRPr="005F292D">
              <w:t>2021.g.</w:t>
            </w:r>
          </w:p>
        </w:tc>
      </w:tr>
      <w:tr w:rsidR="000F6F03" w14:paraId="61F0A7C2" w14:textId="77777777" w:rsidTr="005F292D">
        <w:tc>
          <w:tcPr>
            <w:tcW w:w="587" w:type="dxa"/>
            <w:vAlign w:val="center"/>
          </w:tcPr>
          <w:p w14:paraId="40F9EE83" w14:textId="526A39CE" w:rsidR="00821F83" w:rsidRPr="005F292D" w:rsidRDefault="005D11BF" w:rsidP="005F292D">
            <w:pPr>
              <w:jc w:val="center"/>
            </w:pPr>
            <w:r w:rsidRPr="005F292D">
              <w:t>1</w:t>
            </w:r>
            <w:r w:rsidR="005F292D">
              <w:t>2</w:t>
            </w:r>
          </w:p>
        </w:tc>
        <w:tc>
          <w:tcPr>
            <w:tcW w:w="1799" w:type="dxa"/>
            <w:vAlign w:val="center"/>
          </w:tcPr>
          <w:p w14:paraId="4F3FF793" w14:textId="14E16DB7" w:rsidR="00821F83" w:rsidRPr="005F292D" w:rsidRDefault="00821F83" w:rsidP="00837B30">
            <w:r w:rsidRPr="005F292D">
              <w:t>Renovācija</w:t>
            </w:r>
            <w:r w:rsidR="00532297" w:rsidRPr="005F292D">
              <w:t>: 0,36 milj.</w:t>
            </w:r>
          </w:p>
        </w:tc>
        <w:tc>
          <w:tcPr>
            <w:tcW w:w="2831" w:type="dxa"/>
            <w:vAlign w:val="center"/>
          </w:tcPr>
          <w:p w14:paraId="64099007" w14:textId="64E55DB5" w:rsidR="00821F83" w:rsidRPr="005F292D" w:rsidRDefault="00821F83" w:rsidP="00837B30">
            <w:r w:rsidRPr="005F292D">
              <w:t>K</w:t>
            </w:r>
            <w:r w:rsidR="00E76FE0" w:rsidRPr="005F292D">
              <w:t>analizācijas sūkņu stacija</w:t>
            </w:r>
            <w:r w:rsidR="00D832E5" w:rsidRPr="005F292D">
              <w:t>s</w:t>
            </w:r>
          </w:p>
        </w:tc>
        <w:tc>
          <w:tcPr>
            <w:tcW w:w="1758" w:type="dxa"/>
            <w:vAlign w:val="center"/>
          </w:tcPr>
          <w:p w14:paraId="62C507C3" w14:textId="69F28AB2" w:rsidR="00821F83" w:rsidRPr="005F292D" w:rsidRDefault="005C7D71" w:rsidP="00837B30">
            <w:r w:rsidRPr="005F292D">
              <w:t>+ 11 staciju renovācija</w:t>
            </w:r>
            <w:r w:rsidR="00277CCF" w:rsidRPr="005F292D">
              <w:t xml:space="preserve"> tajā skaitā</w:t>
            </w:r>
            <w:r w:rsidR="00BC0DFC" w:rsidRPr="005F292D">
              <w:t>:</w:t>
            </w:r>
            <w:r w:rsidRPr="005F292D">
              <w:t xml:space="preserve"> </w:t>
            </w:r>
          </w:p>
          <w:p w14:paraId="19B01076" w14:textId="77777777" w:rsidR="005C7D71" w:rsidRPr="005F292D" w:rsidRDefault="005C7D71" w:rsidP="00837B30">
            <w:r w:rsidRPr="005F292D">
              <w:t xml:space="preserve">+ 13 sūkņu </w:t>
            </w:r>
          </w:p>
          <w:p w14:paraId="11207019" w14:textId="624FF59B" w:rsidR="005C7D71" w:rsidRPr="005F292D" w:rsidRDefault="00BC0DFC" w:rsidP="00837B30">
            <w:r w:rsidRPr="005F292D">
              <w:t>n</w:t>
            </w:r>
            <w:r w:rsidR="005C7D71" w:rsidRPr="005F292D">
              <w:t>omaiņa</w:t>
            </w:r>
            <w:r w:rsidRPr="005F292D">
              <w:t>;</w:t>
            </w:r>
          </w:p>
          <w:p w14:paraId="5DE73D46" w14:textId="141D05F1" w:rsidR="005C7D71" w:rsidRPr="005F292D" w:rsidRDefault="005C7D71" w:rsidP="00837B30">
            <w:r w:rsidRPr="005F292D">
              <w:t>+ 8 sūkņu renovācija</w:t>
            </w:r>
          </w:p>
        </w:tc>
        <w:tc>
          <w:tcPr>
            <w:tcW w:w="1321" w:type="dxa"/>
            <w:vAlign w:val="center"/>
          </w:tcPr>
          <w:p w14:paraId="0B269361" w14:textId="6A95BC35" w:rsidR="00821F83" w:rsidRPr="005F292D" w:rsidRDefault="005C7D71" w:rsidP="00837B30">
            <w:r w:rsidRPr="005F292D">
              <w:t>2017.g.-2021.g.</w:t>
            </w:r>
          </w:p>
        </w:tc>
      </w:tr>
      <w:tr w:rsidR="000F6F03" w14:paraId="5DA4A3C5" w14:textId="77777777" w:rsidTr="005F292D">
        <w:tc>
          <w:tcPr>
            <w:tcW w:w="587" w:type="dxa"/>
            <w:vAlign w:val="center"/>
          </w:tcPr>
          <w:p w14:paraId="2DF2490E" w14:textId="1E338A46" w:rsidR="00277CCF" w:rsidRPr="005F292D" w:rsidRDefault="00277CCF" w:rsidP="005F292D">
            <w:pPr>
              <w:jc w:val="center"/>
            </w:pPr>
            <w:r w:rsidRPr="005F292D">
              <w:t>1</w:t>
            </w:r>
            <w:r w:rsidR="005F292D">
              <w:t>3</w:t>
            </w:r>
          </w:p>
        </w:tc>
        <w:tc>
          <w:tcPr>
            <w:tcW w:w="1799" w:type="dxa"/>
            <w:vAlign w:val="center"/>
          </w:tcPr>
          <w:p w14:paraId="42E973BB" w14:textId="1AEF3147" w:rsidR="00277CCF" w:rsidRPr="005F292D" w:rsidRDefault="00277CCF" w:rsidP="00837B30">
            <w:r w:rsidRPr="005F292D">
              <w:t>Remont</w:t>
            </w:r>
            <w:r w:rsidR="00AE429D" w:rsidRPr="005F292D">
              <w:t>i</w:t>
            </w:r>
          </w:p>
        </w:tc>
        <w:tc>
          <w:tcPr>
            <w:tcW w:w="2831" w:type="dxa"/>
            <w:vAlign w:val="center"/>
          </w:tcPr>
          <w:p w14:paraId="1109AF05" w14:textId="2F66FB35" w:rsidR="00277CCF" w:rsidRPr="005F292D" w:rsidRDefault="00277CCF" w:rsidP="00837B30">
            <w:r w:rsidRPr="005F292D">
              <w:t>Ugunsdzēsības hidranti</w:t>
            </w:r>
          </w:p>
        </w:tc>
        <w:tc>
          <w:tcPr>
            <w:tcW w:w="1758" w:type="dxa"/>
            <w:vAlign w:val="center"/>
          </w:tcPr>
          <w:p w14:paraId="3B8BFD60" w14:textId="6B78D59D" w:rsidR="00277CCF" w:rsidRPr="005F292D" w:rsidRDefault="003B587C" w:rsidP="000F2869">
            <w:r w:rsidRPr="005F292D">
              <w:t>+ 66 hidrant</w:t>
            </w:r>
            <w:r w:rsidR="000F2869" w:rsidRPr="005F292D">
              <w:t>u remonts</w:t>
            </w:r>
          </w:p>
        </w:tc>
        <w:tc>
          <w:tcPr>
            <w:tcW w:w="1321" w:type="dxa"/>
            <w:vAlign w:val="center"/>
          </w:tcPr>
          <w:p w14:paraId="04842C50" w14:textId="46EF5E72" w:rsidR="00277CCF" w:rsidRPr="005F292D" w:rsidRDefault="003B587C" w:rsidP="00837B30">
            <w:r w:rsidRPr="005F292D">
              <w:t>2017.g.-2021.g.</w:t>
            </w:r>
          </w:p>
        </w:tc>
      </w:tr>
      <w:tr w:rsidR="000F6F03" w14:paraId="4A3D0916" w14:textId="77777777" w:rsidTr="005F292D">
        <w:tc>
          <w:tcPr>
            <w:tcW w:w="587" w:type="dxa"/>
            <w:vAlign w:val="center"/>
          </w:tcPr>
          <w:p w14:paraId="19CE1D55" w14:textId="20541A95" w:rsidR="00821F83" w:rsidRPr="005F292D" w:rsidRDefault="005C7D71" w:rsidP="005F292D">
            <w:pPr>
              <w:jc w:val="center"/>
            </w:pPr>
            <w:r w:rsidRPr="005F292D">
              <w:t>1</w:t>
            </w:r>
            <w:r w:rsidR="005F292D">
              <w:t>4</w:t>
            </w:r>
          </w:p>
        </w:tc>
        <w:tc>
          <w:tcPr>
            <w:tcW w:w="1799" w:type="dxa"/>
            <w:vAlign w:val="center"/>
          </w:tcPr>
          <w:p w14:paraId="1347F829" w14:textId="6B875837" w:rsidR="00821F83" w:rsidRPr="005F292D" w:rsidRDefault="00467B78" w:rsidP="00467B78">
            <w:r w:rsidRPr="005F292D">
              <w:t>A</w:t>
            </w:r>
            <w:r w:rsidR="001739C4" w:rsidRPr="005F292D">
              <w:t>ttālināti nolasāmie komercuzskaites mēraparāti</w:t>
            </w:r>
          </w:p>
        </w:tc>
        <w:tc>
          <w:tcPr>
            <w:tcW w:w="2831" w:type="dxa"/>
            <w:vAlign w:val="center"/>
          </w:tcPr>
          <w:p w14:paraId="4B07EBCD" w14:textId="194303E5" w:rsidR="00821F83" w:rsidRPr="005F292D" w:rsidRDefault="00467B78" w:rsidP="00DC31FD">
            <w:r w:rsidRPr="005F292D">
              <w:t>M</w:t>
            </w:r>
            <w:r w:rsidR="001739C4" w:rsidRPr="005F292D">
              <w:t xml:space="preserve">ēraparātu </w:t>
            </w:r>
            <w:r w:rsidR="00277CCF" w:rsidRPr="005F292D">
              <w:t>komplekt</w:t>
            </w:r>
            <w:r w:rsidR="006F5C57" w:rsidRPr="005F292D">
              <w:t>a uzstādīšana</w:t>
            </w:r>
            <w:r w:rsidR="005C7D71" w:rsidRPr="005F292D">
              <w:t xml:space="preserve"> (skaitītājs</w:t>
            </w:r>
            <w:r w:rsidR="006F5C57" w:rsidRPr="005F292D">
              <w:t xml:space="preserve"> </w:t>
            </w:r>
            <w:r w:rsidR="005C7D71" w:rsidRPr="005F292D">
              <w:t>+</w:t>
            </w:r>
            <w:r w:rsidR="006F5C57" w:rsidRPr="005F292D">
              <w:t xml:space="preserve"> </w:t>
            </w:r>
            <w:r w:rsidR="005C7D71" w:rsidRPr="005F292D">
              <w:t>impulsa devējs</w:t>
            </w:r>
            <w:r w:rsidR="006F5C57" w:rsidRPr="005F292D">
              <w:t xml:space="preserve"> </w:t>
            </w:r>
            <w:r w:rsidR="005C7D71" w:rsidRPr="005F292D">
              <w:t>+ radio</w:t>
            </w:r>
            <w:r w:rsidR="00D4767D">
              <w:t xml:space="preserve"> </w:t>
            </w:r>
            <w:r w:rsidR="005C7D71" w:rsidRPr="005F292D">
              <w:t>modulis)</w:t>
            </w:r>
          </w:p>
        </w:tc>
        <w:tc>
          <w:tcPr>
            <w:tcW w:w="1758" w:type="dxa"/>
            <w:vAlign w:val="center"/>
          </w:tcPr>
          <w:p w14:paraId="59B39799" w14:textId="77777777" w:rsidR="00821F83" w:rsidRPr="005F292D" w:rsidRDefault="00277CCF" w:rsidP="00837B30">
            <w:r w:rsidRPr="005F292D">
              <w:t>+ 7</w:t>
            </w:r>
            <w:r w:rsidR="0058032C" w:rsidRPr="005F292D">
              <w:t>60 komplekti</w:t>
            </w:r>
          </w:p>
          <w:p w14:paraId="09EDE613" w14:textId="7692AC2B" w:rsidR="00BC0DFC" w:rsidRPr="005F292D" w:rsidRDefault="00BC0DFC" w:rsidP="00837B30">
            <w:r w:rsidRPr="005F292D">
              <w:t>(</w:t>
            </w:r>
            <w:r w:rsidR="007F598B" w:rsidRPr="005F292D">
              <w:t xml:space="preserve">uz 01.01.2022. kopējais skaits </w:t>
            </w:r>
            <w:r w:rsidRPr="005F292D">
              <w:t>976)</w:t>
            </w:r>
          </w:p>
        </w:tc>
        <w:tc>
          <w:tcPr>
            <w:tcW w:w="1321" w:type="dxa"/>
            <w:vAlign w:val="center"/>
          </w:tcPr>
          <w:p w14:paraId="4ECF258B" w14:textId="77777777" w:rsidR="00821F83" w:rsidRPr="005F292D" w:rsidRDefault="00277CCF" w:rsidP="00837B30">
            <w:r w:rsidRPr="005F292D">
              <w:t>2017.g.-2021.g.</w:t>
            </w:r>
          </w:p>
          <w:p w14:paraId="06A02F23" w14:textId="64593EE8" w:rsidR="00277CCF" w:rsidRPr="005F292D" w:rsidRDefault="00277CCF" w:rsidP="00837B30"/>
        </w:tc>
      </w:tr>
      <w:tr w:rsidR="000F6F03" w14:paraId="6EE37F53" w14:textId="77777777" w:rsidTr="005F292D">
        <w:tc>
          <w:tcPr>
            <w:tcW w:w="587" w:type="dxa"/>
            <w:vAlign w:val="center"/>
          </w:tcPr>
          <w:p w14:paraId="7148DF53" w14:textId="08CEA4BC" w:rsidR="00063B6F" w:rsidRPr="005F292D" w:rsidRDefault="001B2177" w:rsidP="005F292D">
            <w:pPr>
              <w:jc w:val="center"/>
            </w:pPr>
            <w:r w:rsidRPr="005F292D">
              <w:t>1</w:t>
            </w:r>
            <w:r w:rsidR="005F292D">
              <w:t>5</w:t>
            </w:r>
          </w:p>
        </w:tc>
        <w:tc>
          <w:tcPr>
            <w:tcW w:w="1799" w:type="dxa"/>
            <w:vAlign w:val="center"/>
          </w:tcPr>
          <w:p w14:paraId="13AC5CCE" w14:textId="4DCC0AF5" w:rsidR="00063B6F" w:rsidRPr="005F292D" w:rsidRDefault="00441EA2" w:rsidP="00837B30">
            <w:r w:rsidRPr="005F292D">
              <w:t xml:space="preserve"> </w:t>
            </w:r>
            <w:r w:rsidR="00692763" w:rsidRPr="005F292D">
              <w:t>Tehniska</w:t>
            </w:r>
            <w:r w:rsidR="00DC31FD" w:rsidRPr="005F292D">
              <w:t>i</w:t>
            </w:r>
            <w:r w:rsidR="00692763" w:rsidRPr="005F292D">
              <w:t>s aprīkojums</w:t>
            </w:r>
          </w:p>
        </w:tc>
        <w:tc>
          <w:tcPr>
            <w:tcW w:w="2831" w:type="dxa"/>
            <w:vAlign w:val="center"/>
          </w:tcPr>
          <w:p w14:paraId="567102CE" w14:textId="59708C87" w:rsidR="00063B6F" w:rsidRPr="005F292D" w:rsidRDefault="00DC31FD" w:rsidP="00DC31FD">
            <w:r w:rsidRPr="005F292D">
              <w:t>Iegādāti k</w:t>
            </w:r>
            <w:r w:rsidR="00441EA2" w:rsidRPr="005F292D">
              <w:t xml:space="preserve">ompresori, </w:t>
            </w:r>
            <w:r w:rsidR="00692763" w:rsidRPr="005F292D">
              <w:t>mobilie sūkņi</w:t>
            </w:r>
            <w:r w:rsidR="007F598B" w:rsidRPr="005F292D">
              <w:t xml:space="preserve"> un ierīces</w:t>
            </w:r>
            <w:r w:rsidR="00692763" w:rsidRPr="005F292D">
              <w:t xml:space="preserve">, </w:t>
            </w:r>
            <w:r w:rsidR="00441EA2" w:rsidRPr="005F292D">
              <w:t>remonta piederumi</w:t>
            </w:r>
            <w:r w:rsidR="00692763" w:rsidRPr="005F292D">
              <w:t xml:space="preserve"> un i</w:t>
            </w:r>
            <w:r w:rsidR="007F598B" w:rsidRPr="005F292D">
              <w:t>ekārtas</w:t>
            </w:r>
          </w:p>
        </w:tc>
        <w:tc>
          <w:tcPr>
            <w:tcW w:w="1758" w:type="dxa"/>
            <w:vAlign w:val="center"/>
          </w:tcPr>
          <w:p w14:paraId="48858CF9" w14:textId="440691B4" w:rsidR="00063B6F" w:rsidRPr="005F292D" w:rsidRDefault="00441EA2" w:rsidP="003C787D">
            <w:r w:rsidRPr="005F292D">
              <w:t>+ 32 komplekti</w:t>
            </w:r>
          </w:p>
        </w:tc>
        <w:tc>
          <w:tcPr>
            <w:tcW w:w="1321" w:type="dxa"/>
            <w:vAlign w:val="center"/>
          </w:tcPr>
          <w:p w14:paraId="467E1B20" w14:textId="3F6D33C1" w:rsidR="00063B6F" w:rsidRPr="005F292D" w:rsidRDefault="00E65AAF" w:rsidP="00837B30">
            <w:r w:rsidRPr="005F292D">
              <w:t>2017.g.- 2021.g.</w:t>
            </w:r>
          </w:p>
        </w:tc>
      </w:tr>
      <w:tr w:rsidR="000F6F03" w14:paraId="639801BE" w14:textId="77777777" w:rsidTr="005F292D">
        <w:tc>
          <w:tcPr>
            <w:tcW w:w="587" w:type="dxa"/>
            <w:vAlign w:val="center"/>
          </w:tcPr>
          <w:p w14:paraId="28989827" w14:textId="60089DBF" w:rsidR="00063B6F" w:rsidRPr="005F292D" w:rsidRDefault="001B2177" w:rsidP="005F292D">
            <w:pPr>
              <w:jc w:val="center"/>
            </w:pPr>
            <w:r w:rsidRPr="005F292D">
              <w:t>1</w:t>
            </w:r>
            <w:r w:rsidR="005F292D">
              <w:t>6</w:t>
            </w:r>
          </w:p>
        </w:tc>
        <w:tc>
          <w:tcPr>
            <w:tcW w:w="1799" w:type="dxa"/>
            <w:vAlign w:val="center"/>
          </w:tcPr>
          <w:p w14:paraId="0111D388" w14:textId="2104255E" w:rsidR="00063B6F" w:rsidRPr="005F292D" w:rsidRDefault="00420D96" w:rsidP="00837B30">
            <w:r w:rsidRPr="005F292D">
              <w:t>Tehnikas vienības</w:t>
            </w:r>
          </w:p>
        </w:tc>
        <w:tc>
          <w:tcPr>
            <w:tcW w:w="2831" w:type="dxa"/>
            <w:vAlign w:val="center"/>
          </w:tcPr>
          <w:p w14:paraId="369602C3" w14:textId="77777777" w:rsidR="00063B6F" w:rsidRPr="005F292D" w:rsidRDefault="00420D96" w:rsidP="00837B30">
            <w:r w:rsidRPr="005F292D">
              <w:t>Kanalizācijas automašīna</w:t>
            </w:r>
          </w:p>
          <w:p w14:paraId="23ECC733" w14:textId="5B63D59E" w:rsidR="00420D96" w:rsidRPr="005F292D" w:rsidRDefault="00420D96" w:rsidP="00837B30">
            <w:r w:rsidRPr="005F292D">
              <w:t>Mini ekska</w:t>
            </w:r>
            <w:r w:rsidR="00E11181" w:rsidRPr="005F292D">
              <w:t>v</w:t>
            </w:r>
            <w:r w:rsidRPr="005F292D">
              <w:t>ators</w:t>
            </w:r>
          </w:p>
        </w:tc>
        <w:tc>
          <w:tcPr>
            <w:tcW w:w="1758" w:type="dxa"/>
            <w:vAlign w:val="center"/>
          </w:tcPr>
          <w:p w14:paraId="2BC39A71" w14:textId="5C7A866D" w:rsidR="00063B6F" w:rsidRPr="005F292D" w:rsidRDefault="001B2312" w:rsidP="00837B30">
            <w:r w:rsidRPr="005F292D">
              <w:t xml:space="preserve">+ </w:t>
            </w:r>
            <w:r w:rsidR="00420D96" w:rsidRPr="005F292D">
              <w:t>1 vienība</w:t>
            </w:r>
          </w:p>
          <w:p w14:paraId="4DA2AB3F" w14:textId="59425046" w:rsidR="00420D96" w:rsidRPr="005F292D" w:rsidRDefault="001B2312" w:rsidP="00837B30">
            <w:r w:rsidRPr="005F292D">
              <w:t xml:space="preserve">+ </w:t>
            </w:r>
            <w:r w:rsidR="00420D96" w:rsidRPr="005F292D">
              <w:t>1 vienība</w:t>
            </w:r>
          </w:p>
        </w:tc>
        <w:tc>
          <w:tcPr>
            <w:tcW w:w="1321" w:type="dxa"/>
            <w:vAlign w:val="center"/>
          </w:tcPr>
          <w:p w14:paraId="2BBB6FAC" w14:textId="77777777" w:rsidR="00063B6F" w:rsidRPr="005F292D" w:rsidRDefault="00420D96" w:rsidP="00837B30">
            <w:r w:rsidRPr="005F292D">
              <w:t>2019.g.</w:t>
            </w:r>
          </w:p>
          <w:p w14:paraId="74906C4F" w14:textId="50E9613F" w:rsidR="00420D96" w:rsidRPr="005F292D" w:rsidRDefault="00420D96" w:rsidP="00837B30">
            <w:r w:rsidRPr="005F292D">
              <w:t>2021.g.</w:t>
            </w:r>
          </w:p>
        </w:tc>
      </w:tr>
      <w:tr w:rsidR="000F6F03" w14:paraId="5248333F" w14:textId="77777777" w:rsidTr="005F292D">
        <w:tc>
          <w:tcPr>
            <w:tcW w:w="587" w:type="dxa"/>
            <w:vAlign w:val="center"/>
          </w:tcPr>
          <w:p w14:paraId="5987B75B" w14:textId="087DA917" w:rsidR="00063B6F" w:rsidRPr="005F292D" w:rsidRDefault="005D11BF" w:rsidP="005F292D">
            <w:pPr>
              <w:jc w:val="center"/>
            </w:pPr>
            <w:bookmarkStart w:id="0" w:name="_Hlk93610892"/>
            <w:r w:rsidRPr="005F292D">
              <w:t>1</w:t>
            </w:r>
            <w:r w:rsidR="005F292D">
              <w:t>7</w:t>
            </w:r>
          </w:p>
        </w:tc>
        <w:tc>
          <w:tcPr>
            <w:tcW w:w="1799" w:type="dxa"/>
            <w:vAlign w:val="center"/>
          </w:tcPr>
          <w:p w14:paraId="4691F606" w14:textId="06217A46" w:rsidR="00063B6F" w:rsidRPr="005F292D" w:rsidRDefault="00420D96" w:rsidP="00DC31FD">
            <w:r w:rsidRPr="005F292D">
              <w:t xml:space="preserve">Apgrozījums uz </w:t>
            </w:r>
            <w:r w:rsidR="00DC31FD" w:rsidRPr="005F292D">
              <w:t>vienu</w:t>
            </w:r>
            <w:r w:rsidRPr="005F292D">
              <w:t xml:space="preserve"> darbinieku</w:t>
            </w:r>
          </w:p>
        </w:tc>
        <w:tc>
          <w:tcPr>
            <w:tcW w:w="2831" w:type="dxa"/>
            <w:vAlign w:val="center"/>
          </w:tcPr>
          <w:p w14:paraId="68982775" w14:textId="65C1E6E6" w:rsidR="00063B6F" w:rsidRPr="005F292D" w:rsidRDefault="00E11181" w:rsidP="00837B30">
            <w:r w:rsidRPr="005F292D">
              <w:t>Pieaugums</w:t>
            </w:r>
            <w:r w:rsidR="00B90862" w:rsidRPr="005F292D">
              <w:t xml:space="preserve"> 29,6 tūkst. EUR: </w:t>
            </w:r>
            <w:r w:rsidRPr="005F292D">
              <w:t>n</w:t>
            </w:r>
            <w:r w:rsidR="00420D96" w:rsidRPr="005F292D">
              <w:t>o</w:t>
            </w:r>
            <w:r w:rsidR="005F292D" w:rsidRPr="005F292D">
              <w:t xml:space="preserve"> 56,1</w:t>
            </w:r>
            <w:r w:rsidR="00420D96" w:rsidRPr="005F292D">
              <w:t xml:space="preserve"> tūkst. līdz 7</w:t>
            </w:r>
            <w:r w:rsidR="005F292D" w:rsidRPr="005F292D">
              <w:t>4</w:t>
            </w:r>
            <w:r w:rsidR="00420D96" w:rsidRPr="005F292D">
              <w:t>,</w:t>
            </w:r>
            <w:r w:rsidR="005F292D" w:rsidRPr="005F292D">
              <w:t>3</w:t>
            </w:r>
            <w:r w:rsidR="00420D96" w:rsidRPr="005F292D">
              <w:t xml:space="preserve"> tūkst. EUR</w:t>
            </w:r>
          </w:p>
        </w:tc>
        <w:tc>
          <w:tcPr>
            <w:tcW w:w="1758" w:type="dxa"/>
            <w:vAlign w:val="center"/>
          </w:tcPr>
          <w:p w14:paraId="302EA732" w14:textId="307FBA96" w:rsidR="00063B6F" w:rsidRPr="005F292D" w:rsidRDefault="00420D96" w:rsidP="00837B30">
            <w:r w:rsidRPr="005F292D">
              <w:t>+ 63%</w:t>
            </w:r>
            <w:r w:rsidR="00E11181" w:rsidRPr="005F292D">
              <w:t xml:space="preserve"> </w:t>
            </w:r>
          </w:p>
        </w:tc>
        <w:tc>
          <w:tcPr>
            <w:tcW w:w="1321" w:type="dxa"/>
            <w:vAlign w:val="center"/>
          </w:tcPr>
          <w:p w14:paraId="08D0EE07" w14:textId="2FD72743" w:rsidR="00063B6F" w:rsidRPr="005F292D" w:rsidRDefault="00420D96" w:rsidP="00837B30">
            <w:r w:rsidRPr="005F292D">
              <w:t>2017.g.-2021.g</w:t>
            </w:r>
          </w:p>
        </w:tc>
      </w:tr>
      <w:bookmarkEnd w:id="0"/>
      <w:tr w:rsidR="000F6F03" w14:paraId="235D9905" w14:textId="77777777" w:rsidTr="005F292D">
        <w:tc>
          <w:tcPr>
            <w:tcW w:w="587" w:type="dxa"/>
            <w:vAlign w:val="center"/>
          </w:tcPr>
          <w:p w14:paraId="36E2D446" w14:textId="0552D67C" w:rsidR="00063B6F" w:rsidRPr="005F292D" w:rsidRDefault="005F292D" w:rsidP="005F292D">
            <w:pPr>
              <w:jc w:val="center"/>
            </w:pPr>
            <w:r>
              <w:t>18</w:t>
            </w:r>
          </w:p>
        </w:tc>
        <w:tc>
          <w:tcPr>
            <w:tcW w:w="1799" w:type="dxa"/>
            <w:vAlign w:val="center"/>
          </w:tcPr>
          <w:p w14:paraId="36F659D9" w14:textId="7135216F" w:rsidR="00063B6F" w:rsidRPr="005F292D" w:rsidRDefault="005E7CED" w:rsidP="00837B30">
            <w:r w:rsidRPr="005F292D">
              <w:t>E</w:t>
            </w:r>
            <w:r w:rsidR="001B2312" w:rsidRPr="005F292D">
              <w:t>nergoaudits</w:t>
            </w:r>
          </w:p>
        </w:tc>
        <w:tc>
          <w:tcPr>
            <w:tcW w:w="2831" w:type="dxa"/>
            <w:vAlign w:val="center"/>
          </w:tcPr>
          <w:p w14:paraId="23E19A33" w14:textId="72D2821F" w:rsidR="00063B6F" w:rsidRPr="005F292D" w:rsidRDefault="001B2312" w:rsidP="00837B30">
            <w:r w:rsidRPr="005F292D">
              <w:t xml:space="preserve">Elektroiekārtu </w:t>
            </w:r>
            <w:r w:rsidR="0084127E" w:rsidRPr="005F292D">
              <w:t xml:space="preserve">un transporta </w:t>
            </w:r>
            <w:r w:rsidRPr="005F292D">
              <w:t xml:space="preserve">darbības </w:t>
            </w:r>
            <w:r w:rsidR="005E7CED" w:rsidRPr="005F292D">
              <w:t xml:space="preserve">ikgadējais </w:t>
            </w:r>
            <w:r w:rsidRPr="005F292D">
              <w:t>novērtējums</w:t>
            </w:r>
            <w:r w:rsidR="00FD59B1" w:rsidRPr="005F292D">
              <w:t>, uzņēmuma energosertificēšana (</w:t>
            </w:r>
            <w:r w:rsidR="00DC4671" w:rsidRPr="005F292D">
              <w:t xml:space="preserve">saņemts </w:t>
            </w:r>
            <w:r w:rsidR="003C787D" w:rsidRPr="005F292D">
              <w:t>sertifikāts</w:t>
            </w:r>
            <w:r w:rsidR="00640E70" w:rsidRPr="005F292D">
              <w:t xml:space="preserve"> </w:t>
            </w:r>
            <w:r w:rsidR="00FD59B1" w:rsidRPr="005F292D">
              <w:t>ISO</w:t>
            </w:r>
            <w:r w:rsidR="005E7CED" w:rsidRPr="005F292D">
              <w:t xml:space="preserve"> 50001:2018</w:t>
            </w:r>
            <w:r w:rsidR="00FD59B1" w:rsidRPr="005F292D">
              <w:t>)</w:t>
            </w:r>
          </w:p>
        </w:tc>
        <w:tc>
          <w:tcPr>
            <w:tcW w:w="1758" w:type="dxa"/>
            <w:vAlign w:val="center"/>
          </w:tcPr>
          <w:p w14:paraId="26CFCEE2" w14:textId="4008AFF5" w:rsidR="001B2312" w:rsidRPr="005F292D" w:rsidRDefault="001B2312" w:rsidP="00837B30">
            <w:r w:rsidRPr="005F292D">
              <w:t>Elektr</w:t>
            </w:r>
            <w:r w:rsidR="005D37FA" w:rsidRPr="005F292D">
              <w:t>oenerģijas</w:t>
            </w:r>
            <w:r w:rsidRPr="005F292D">
              <w:t xml:space="preserve"> ietaupījums </w:t>
            </w:r>
          </w:p>
          <w:p w14:paraId="20E54B21" w14:textId="162F6B8C" w:rsidR="00063B6F" w:rsidRPr="005F292D" w:rsidRDefault="001B2312" w:rsidP="00837B30">
            <w:r w:rsidRPr="005F292D">
              <w:t>1 līdz</w:t>
            </w:r>
            <w:r w:rsidR="00E16726" w:rsidRPr="005F292D">
              <w:t xml:space="preserve"> </w:t>
            </w:r>
            <w:r w:rsidRPr="005F292D">
              <w:t>1,5% gadā</w:t>
            </w:r>
            <w:r w:rsidR="00654B47">
              <w:t xml:space="preserve"> </w:t>
            </w:r>
            <w:r w:rsidR="00BC0DFC" w:rsidRPr="005F292D">
              <w:t>(</w:t>
            </w:r>
            <w:r w:rsidR="00E16726" w:rsidRPr="005F292D">
              <w:t>2 – 3 tūkst. EUR gadā</w:t>
            </w:r>
            <w:r w:rsidR="00BC0DFC" w:rsidRPr="005F292D">
              <w:t>)</w:t>
            </w:r>
          </w:p>
        </w:tc>
        <w:tc>
          <w:tcPr>
            <w:tcW w:w="1321" w:type="dxa"/>
            <w:vAlign w:val="center"/>
          </w:tcPr>
          <w:p w14:paraId="177FF819" w14:textId="37A4F6C1" w:rsidR="00063B6F" w:rsidRPr="005F292D" w:rsidRDefault="001B2312" w:rsidP="00837B30">
            <w:r w:rsidRPr="005F292D">
              <w:t>201</w:t>
            </w:r>
            <w:r w:rsidR="005E7CED" w:rsidRPr="005F292D">
              <w:t>8</w:t>
            </w:r>
            <w:r w:rsidRPr="005F292D">
              <w:t>.g.- 2021.g.</w:t>
            </w:r>
          </w:p>
        </w:tc>
      </w:tr>
      <w:tr w:rsidR="000F6F03" w14:paraId="49C2E7C8" w14:textId="77777777" w:rsidTr="00D4767D">
        <w:tc>
          <w:tcPr>
            <w:tcW w:w="587" w:type="dxa"/>
            <w:vAlign w:val="center"/>
          </w:tcPr>
          <w:p w14:paraId="58C428A9" w14:textId="2F67C343" w:rsidR="00063B6F" w:rsidRPr="005F292D" w:rsidRDefault="005F292D" w:rsidP="005F292D">
            <w:pPr>
              <w:jc w:val="center"/>
            </w:pPr>
            <w:r>
              <w:t>19</w:t>
            </w:r>
          </w:p>
        </w:tc>
        <w:tc>
          <w:tcPr>
            <w:tcW w:w="1799" w:type="dxa"/>
            <w:vAlign w:val="center"/>
          </w:tcPr>
          <w:p w14:paraId="7858BF0C" w14:textId="4CDD8B8E" w:rsidR="00063B6F" w:rsidRPr="005F292D" w:rsidRDefault="004A1D0C" w:rsidP="00837B30">
            <w:r w:rsidRPr="005F292D">
              <w:t>Būvprojekti</w:t>
            </w:r>
          </w:p>
        </w:tc>
        <w:tc>
          <w:tcPr>
            <w:tcW w:w="2831" w:type="dxa"/>
            <w:vAlign w:val="center"/>
          </w:tcPr>
          <w:p w14:paraId="7FA61F86" w14:textId="6996B95F" w:rsidR="00063B6F" w:rsidRPr="005F292D" w:rsidRDefault="004A1D0C" w:rsidP="00837B30">
            <w:r w:rsidRPr="005F292D">
              <w:t>Ūdenssaimniecības tīklu, kanalizācijas sūkņu staciju, attīrīšanas iekārtu būvprojektu izstrāde</w:t>
            </w:r>
          </w:p>
        </w:tc>
        <w:tc>
          <w:tcPr>
            <w:tcW w:w="1758" w:type="dxa"/>
            <w:vAlign w:val="center"/>
          </w:tcPr>
          <w:p w14:paraId="231454BD" w14:textId="7AC4A33B" w:rsidR="004A1D0C" w:rsidRPr="005F292D" w:rsidRDefault="004A1D0C" w:rsidP="00FD59B1">
            <w:r w:rsidRPr="005F292D">
              <w:t>+ 6 būvprojekti</w:t>
            </w:r>
            <w:r w:rsidR="00654B47">
              <w:t xml:space="preserve">    </w:t>
            </w:r>
            <w:r w:rsidR="00FD59B1" w:rsidRPr="005F292D">
              <w:t xml:space="preserve">(4 realizēti; 2 </w:t>
            </w:r>
            <w:r w:rsidR="000F6C44" w:rsidRPr="005F292D">
              <w:t>r</w:t>
            </w:r>
            <w:r w:rsidR="00FD59B1" w:rsidRPr="005F292D">
              <w:t>ealizācijas procesā)</w:t>
            </w:r>
          </w:p>
        </w:tc>
        <w:tc>
          <w:tcPr>
            <w:tcW w:w="1321" w:type="dxa"/>
            <w:vAlign w:val="center"/>
          </w:tcPr>
          <w:p w14:paraId="5E039047" w14:textId="14D2DB0E" w:rsidR="00063B6F" w:rsidRPr="005F292D" w:rsidRDefault="004A1D0C" w:rsidP="00837B30">
            <w:r w:rsidRPr="005F292D">
              <w:t>2017.g.-202</w:t>
            </w:r>
            <w:r w:rsidR="00495AFF" w:rsidRPr="005F292D">
              <w:t>1</w:t>
            </w:r>
            <w:r w:rsidRPr="005F292D">
              <w:t>.g.</w:t>
            </w:r>
          </w:p>
        </w:tc>
      </w:tr>
      <w:tr w:rsidR="000F6F03" w14:paraId="4DA71CDD" w14:textId="77777777" w:rsidTr="005F292D">
        <w:tc>
          <w:tcPr>
            <w:tcW w:w="587" w:type="dxa"/>
            <w:vAlign w:val="center"/>
          </w:tcPr>
          <w:p w14:paraId="5542C463" w14:textId="23EE9BF6" w:rsidR="00063B6F" w:rsidRPr="005F292D" w:rsidRDefault="004A1D0C" w:rsidP="005F292D">
            <w:pPr>
              <w:jc w:val="center"/>
            </w:pPr>
            <w:r w:rsidRPr="005F292D">
              <w:t>2</w:t>
            </w:r>
            <w:r w:rsidR="005F292D">
              <w:t>0</w:t>
            </w:r>
          </w:p>
        </w:tc>
        <w:tc>
          <w:tcPr>
            <w:tcW w:w="1799" w:type="dxa"/>
            <w:vAlign w:val="center"/>
          </w:tcPr>
          <w:p w14:paraId="7D74F6E8" w14:textId="27359BFF" w:rsidR="00063B6F" w:rsidRPr="005F292D" w:rsidRDefault="00280CF6" w:rsidP="00A74443">
            <w:r w:rsidRPr="005F292D">
              <w:t>ES struktūrfondu p</w:t>
            </w:r>
            <w:r w:rsidR="004A1D0C" w:rsidRPr="005F292D">
              <w:t>rojekt</w:t>
            </w:r>
            <w:r w:rsidR="00A74443" w:rsidRPr="005F292D">
              <w:t>i</w:t>
            </w:r>
            <w:r w:rsidR="004A1D0C" w:rsidRPr="005F292D">
              <w:t xml:space="preserve"> </w:t>
            </w:r>
          </w:p>
        </w:tc>
        <w:tc>
          <w:tcPr>
            <w:tcW w:w="2831" w:type="dxa"/>
            <w:vAlign w:val="center"/>
          </w:tcPr>
          <w:p w14:paraId="16D1206A" w14:textId="77777777" w:rsidR="00A74443" w:rsidRPr="005F292D" w:rsidRDefault="00A74443" w:rsidP="00A74443">
            <w:r w:rsidRPr="005F292D">
              <w:t>Realizēts ūdenssaimniecības</w:t>
            </w:r>
            <w:r w:rsidR="004A1D0C" w:rsidRPr="005F292D">
              <w:t xml:space="preserve"> </w:t>
            </w:r>
            <w:r w:rsidRPr="005F292D">
              <w:t xml:space="preserve">projekts </w:t>
            </w:r>
          </w:p>
          <w:p w14:paraId="0B312689" w14:textId="12DA2860" w:rsidR="00063B6F" w:rsidRPr="005F292D" w:rsidRDefault="00A74443" w:rsidP="00A74443">
            <w:r w:rsidRPr="005F292D">
              <w:t xml:space="preserve">Realizācijas procesā </w:t>
            </w:r>
            <w:r w:rsidR="005F292D" w:rsidRPr="005F292D">
              <w:t>- s</w:t>
            </w:r>
            <w:r w:rsidRPr="005F292D">
              <w:t>olārās elektrostacijas projekti</w:t>
            </w:r>
          </w:p>
        </w:tc>
        <w:tc>
          <w:tcPr>
            <w:tcW w:w="1758" w:type="dxa"/>
            <w:vAlign w:val="center"/>
          </w:tcPr>
          <w:p w14:paraId="0378A7B1" w14:textId="5DF11F92" w:rsidR="00F23A62" w:rsidRPr="005F292D" w:rsidRDefault="00FC7E65" w:rsidP="00837B30">
            <w:r w:rsidRPr="005F292D">
              <w:t xml:space="preserve">+ </w:t>
            </w:r>
            <w:r w:rsidR="00A74443" w:rsidRPr="005F292D">
              <w:t>1</w:t>
            </w:r>
            <w:r w:rsidRPr="005F292D">
              <w:t xml:space="preserve"> </w:t>
            </w:r>
          </w:p>
          <w:p w14:paraId="6BA5E1DC" w14:textId="77777777" w:rsidR="00FC7E65" w:rsidRPr="005F292D" w:rsidRDefault="00FC7E65" w:rsidP="00A74443"/>
          <w:p w14:paraId="779FF9CF" w14:textId="11D995CD" w:rsidR="00A74443" w:rsidRPr="005F292D" w:rsidRDefault="00A74443" w:rsidP="00A74443">
            <w:r w:rsidRPr="005F292D">
              <w:t>+ 2</w:t>
            </w:r>
          </w:p>
        </w:tc>
        <w:tc>
          <w:tcPr>
            <w:tcW w:w="1321" w:type="dxa"/>
            <w:vAlign w:val="center"/>
          </w:tcPr>
          <w:p w14:paraId="40C071CB" w14:textId="77777777" w:rsidR="00063B6F" w:rsidRPr="005F292D" w:rsidRDefault="00A74443" w:rsidP="00A74443">
            <w:r w:rsidRPr="005F292D">
              <w:t>2018</w:t>
            </w:r>
            <w:r w:rsidR="00FC7E65" w:rsidRPr="005F292D">
              <w:t>.g.</w:t>
            </w:r>
            <w:r w:rsidRPr="005F292D">
              <w:t xml:space="preserve"> </w:t>
            </w:r>
          </w:p>
          <w:p w14:paraId="31DA5835" w14:textId="77777777" w:rsidR="00A74443" w:rsidRPr="005F292D" w:rsidRDefault="00A74443" w:rsidP="00A74443"/>
          <w:p w14:paraId="4F3F6233" w14:textId="2076AC78" w:rsidR="00A74443" w:rsidRPr="005F292D" w:rsidRDefault="00A74443" w:rsidP="00A74443">
            <w:r w:rsidRPr="005F292D">
              <w:t>2021.g.-2022.g.</w:t>
            </w:r>
          </w:p>
        </w:tc>
      </w:tr>
      <w:tr w:rsidR="000F6F03" w14:paraId="1E662CD4" w14:textId="77777777" w:rsidTr="005F292D">
        <w:tc>
          <w:tcPr>
            <w:tcW w:w="587" w:type="dxa"/>
            <w:vAlign w:val="center"/>
          </w:tcPr>
          <w:p w14:paraId="57612923" w14:textId="5D2C9DEE" w:rsidR="00063B6F" w:rsidRPr="005F292D" w:rsidRDefault="00C44C2A" w:rsidP="005F292D">
            <w:pPr>
              <w:jc w:val="center"/>
            </w:pPr>
            <w:r w:rsidRPr="005F292D">
              <w:lastRenderedPageBreak/>
              <w:t>2</w:t>
            </w:r>
            <w:r w:rsidR="005F292D">
              <w:t>1</w:t>
            </w:r>
          </w:p>
        </w:tc>
        <w:tc>
          <w:tcPr>
            <w:tcW w:w="1799" w:type="dxa"/>
            <w:vAlign w:val="center"/>
          </w:tcPr>
          <w:p w14:paraId="457402E0" w14:textId="1952A979" w:rsidR="00063B6F" w:rsidRPr="005F292D" w:rsidRDefault="006A0E2A" w:rsidP="00837B30">
            <w:r w:rsidRPr="005F292D">
              <w:t>Ārpakalpojums</w:t>
            </w:r>
          </w:p>
        </w:tc>
        <w:tc>
          <w:tcPr>
            <w:tcW w:w="2831" w:type="dxa"/>
            <w:vAlign w:val="center"/>
          </w:tcPr>
          <w:p w14:paraId="0E9F1914" w14:textId="12F52766" w:rsidR="00063B6F" w:rsidRPr="005F292D" w:rsidRDefault="00A579A1" w:rsidP="00837B30">
            <w:r w:rsidRPr="005F292D">
              <w:t>Izvest</w:t>
            </w:r>
            <w:r w:rsidR="006A0E2A" w:rsidRPr="005F292D">
              <w:t>o notekūdeņu apjoms pieaudzis</w:t>
            </w:r>
            <w:r w:rsidR="008E3A7B" w:rsidRPr="005F292D">
              <w:t>:</w:t>
            </w:r>
            <w:r w:rsidR="006A0E2A" w:rsidRPr="005F292D">
              <w:t xml:space="preserve"> no 240 </w:t>
            </w:r>
            <w:r w:rsidR="005F292D" w:rsidRPr="005F292D">
              <w:t>m</w:t>
            </w:r>
            <w:r w:rsidR="005F292D" w:rsidRPr="005F292D">
              <w:rPr>
                <w:vertAlign w:val="superscript"/>
              </w:rPr>
              <w:t>3</w:t>
            </w:r>
            <w:r w:rsidR="006A0E2A" w:rsidRPr="005F292D">
              <w:t xml:space="preserve">/gadā līdz 4334 </w:t>
            </w:r>
            <w:r w:rsidR="005F292D" w:rsidRPr="005F292D">
              <w:t>m</w:t>
            </w:r>
            <w:r w:rsidR="005F292D" w:rsidRPr="005F292D">
              <w:rPr>
                <w:vertAlign w:val="superscript"/>
              </w:rPr>
              <w:t>3</w:t>
            </w:r>
            <w:r w:rsidR="00AB0A24" w:rsidRPr="005F292D">
              <w:t>/gadā</w:t>
            </w:r>
          </w:p>
        </w:tc>
        <w:tc>
          <w:tcPr>
            <w:tcW w:w="1758" w:type="dxa"/>
            <w:vAlign w:val="center"/>
          </w:tcPr>
          <w:p w14:paraId="0891D59B" w14:textId="52D477E9" w:rsidR="00AB0A24" w:rsidRPr="005F292D" w:rsidRDefault="00AB0A24" w:rsidP="00837B30">
            <w:r w:rsidRPr="005F292D">
              <w:t>18 reizes vairāk</w:t>
            </w:r>
          </w:p>
        </w:tc>
        <w:tc>
          <w:tcPr>
            <w:tcW w:w="1321" w:type="dxa"/>
            <w:vAlign w:val="center"/>
          </w:tcPr>
          <w:p w14:paraId="5DBC5DC5" w14:textId="6D41BBE0" w:rsidR="00063B6F" w:rsidRPr="005F292D" w:rsidRDefault="00AB0A24" w:rsidP="00837B30">
            <w:r w:rsidRPr="005F292D">
              <w:t>2017.g.-2021.g.</w:t>
            </w:r>
          </w:p>
        </w:tc>
      </w:tr>
      <w:tr w:rsidR="000F6F03" w14:paraId="5E72014E" w14:textId="77777777" w:rsidTr="005F292D">
        <w:tc>
          <w:tcPr>
            <w:tcW w:w="587" w:type="dxa"/>
            <w:vAlign w:val="center"/>
          </w:tcPr>
          <w:p w14:paraId="07667067" w14:textId="6C62BC12" w:rsidR="00063B6F" w:rsidRPr="005F292D" w:rsidRDefault="00BB47BE" w:rsidP="005F292D">
            <w:pPr>
              <w:jc w:val="center"/>
            </w:pPr>
            <w:r w:rsidRPr="005F292D">
              <w:t>2</w:t>
            </w:r>
            <w:r w:rsidR="005F292D">
              <w:t>2</w:t>
            </w:r>
          </w:p>
        </w:tc>
        <w:tc>
          <w:tcPr>
            <w:tcW w:w="1799" w:type="dxa"/>
            <w:vAlign w:val="center"/>
          </w:tcPr>
          <w:p w14:paraId="7FF2E3E6" w14:textId="5F59CA2C" w:rsidR="00063B6F" w:rsidRPr="005F292D" w:rsidRDefault="00BB47BE" w:rsidP="00837B30">
            <w:r w:rsidRPr="005F292D">
              <w:t>Ārpakalpojums</w:t>
            </w:r>
          </w:p>
        </w:tc>
        <w:tc>
          <w:tcPr>
            <w:tcW w:w="2831" w:type="dxa"/>
            <w:vAlign w:val="center"/>
          </w:tcPr>
          <w:p w14:paraId="241DEF82" w14:textId="0BC1FF12" w:rsidR="00063B6F" w:rsidRPr="005F292D" w:rsidRDefault="00BB47BE" w:rsidP="00837B30">
            <w:r w:rsidRPr="005F292D">
              <w:t>Kanalizācijas tīklu skalošana ar hidrodinamisko automašīnu</w:t>
            </w:r>
            <w:r w:rsidR="00B5194C" w:rsidRPr="005F292D">
              <w:t xml:space="preserve">: no 13 stundām gadā līdz 97 stundām gadā </w:t>
            </w:r>
          </w:p>
        </w:tc>
        <w:tc>
          <w:tcPr>
            <w:tcW w:w="1758" w:type="dxa"/>
            <w:vAlign w:val="center"/>
          </w:tcPr>
          <w:p w14:paraId="710F9116" w14:textId="77777777" w:rsidR="00063B6F" w:rsidRPr="005F292D" w:rsidRDefault="00063B6F" w:rsidP="00837B30"/>
          <w:p w14:paraId="48FEB96B" w14:textId="77777777" w:rsidR="00B5194C" w:rsidRPr="005F292D" w:rsidRDefault="00B5194C" w:rsidP="00837B30"/>
          <w:p w14:paraId="2B7A18EF" w14:textId="48539655" w:rsidR="00B5194C" w:rsidRPr="005F292D" w:rsidRDefault="00B5194C" w:rsidP="00837B30">
            <w:r w:rsidRPr="005F292D">
              <w:t>7 reizes vairāk</w:t>
            </w:r>
          </w:p>
        </w:tc>
        <w:tc>
          <w:tcPr>
            <w:tcW w:w="1321" w:type="dxa"/>
            <w:vAlign w:val="center"/>
          </w:tcPr>
          <w:p w14:paraId="061B3FFA" w14:textId="744AF8CB" w:rsidR="00063B6F" w:rsidRPr="005F292D" w:rsidRDefault="00BB47BE" w:rsidP="00837B30">
            <w:r w:rsidRPr="005F292D">
              <w:t>201</w:t>
            </w:r>
            <w:r w:rsidR="008E3A7B" w:rsidRPr="005F292D">
              <w:t>7</w:t>
            </w:r>
            <w:r w:rsidRPr="005F292D">
              <w:t>.g.-2021.g.</w:t>
            </w:r>
          </w:p>
        </w:tc>
      </w:tr>
      <w:tr w:rsidR="0058481E" w14:paraId="3AC46025" w14:textId="77777777" w:rsidTr="005F292D">
        <w:tc>
          <w:tcPr>
            <w:tcW w:w="587" w:type="dxa"/>
            <w:vAlign w:val="center"/>
          </w:tcPr>
          <w:p w14:paraId="5B633D07" w14:textId="042DACB5" w:rsidR="0058481E" w:rsidRPr="005F292D" w:rsidRDefault="0058481E" w:rsidP="005F292D">
            <w:pPr>
              <w:jc w:val="center"/>
            </w:pPr>
            <w:r w:rsidRPr="005F292D">
              <w:t>2</w:t>
            </w:r>
            <w:r w:rsidR="005F292D">
              <w:t>3</w:t>
            </w:r>
          </w:p>
        </w:tc>
        <w:tc>
          <w:tcPr>
            <w:tcW w:w="1799" w:type="dxa"/>
            <w:vAlign w:val="center"/>
          </w:tcPr>
          <w:p w14:paraId="092911B5" w14:textId="3FF39F10" w:rsidR="0058481E" w:rsidRPr="005F292D" w:rsidRDefault="0058481E" w:rsidP="00837B30">
            <w:r w:rsidRPr="005F292D">
              <w:t>Ārpakalpojums</w:t>
            </w:r>
          </w:p>
        </w:tc>
        <w:tc>
          <w:tcPr>
            <w:tcW w:w="2831" w:type="dxa"/>
            <w:vAlign w:val="center"/>
          </w:tcPr>
          <w:p w14:paraId="07991045" w14:textId="704C495F" w:rsidR="00193F1E" w:rsidRPr="005F292D" w:rsidRDefault="0058481E" w:rsidP="00193F1E">
            <w:r w:rsidRPr="005F292D">
              <w:t>Decentralizētās kanalizācijas reģistra izveide</w:t>
            </w:r>
            <w:r w:rsidR="00193F1E" w:rsidRPr="005F292D">
              <w:t xml:space="preserve"> un uzturēšana</w:t>
            </w:r>
          </w:p>
        </w:tc>
        <w:tc>
          <w:tcPr>
            <w:tcW w:w="1758" w:type="dxa"/>
            <w:vAlign w:val="center"/>
          </w:tcPr>
          <w:p w14:paraId="1611CD6F" w14:textId="1ACB0C9E" w:rsidR="0058481E" w:rsidRPr="005F292D" w:rsidRDefault="00193F1E" w:rsidP="00837B30">
            <w:r w:rsidRPr="005F292D">
              <w:t>Reģistrēti 743 objekti</w:t>
            </w:r>
          </w:p>
        </w:tc>
        <w:tc>
          <w:tcPr>
            <w:tcW w:w="1321" w:type="dxa"/>
            <w:vAlign w:val="center"/>
          </w:tcPr>
          <w:p w14:paraId="4402CECD" w14:textId="1B4BF1F3" w:rsidR="0058481E" w:rsidRPr="005F292D" w:rsidRDefault="00193F1E" w:rsidP="00837B30">
            <w:r w:rsidRPr="005F292D">
              <w:t>2019.g.- 2021.g.</w:t>
            </w:r>
          </w:p>
        </w:tc>
      </w:tr>
    </w:tbl>
    <w:p w14:paraId="4668A1C2" w14:textId="31615CD2" w:rsidR="0065616E" w:rsidRDefault="0065616E" w:rsidP="00837B30">
      <w:pPr>
        <w:spacing w:after="0"/>
      </w:pPr>
    </w:p>
    <w:sectPr w:rsidR="0065616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27E4" w14:textId="77777777" w:rsidR="002219A6" w:rsidRDefault="002219A6" w:rsidP="0063589B">
      <w:pPr>
        <w:spacing w:after="0" w:line="240" w:lineRule="auto"/>
      </w:pPr>
      <w:r>
        <w:separator/>
      </w:r>
    </w:p>
  </w:endnote>
  <w:endnote w:type="continuationSeparator" w:id="0">
    <w:p w14:paraId="1BD5A4ED" w14:textId="77777777" w:rsidR="002219A6" w:rsidRDefault="002219A6" w:rsidP="0063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520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554E9" w14:textId="078B8DB0" w:rsidR="0063589B" w:rsidRDefault="006358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55590" w14:textId="77777777" w:rsidR="0063589B" w:rsidRDefault="00635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448F" w14:textId="77777777" w:rsidR="002219A6" w:rsidRDefault="002219A6" w:rsidP="0063589B">
      <w:pPr>
        <w:spacing w:after="0" w:line="240" w:lineRule="auto"/>
      </w:pPr>
      <w:r>
        <w:separator/>
      </w:r>
    </w:p>
  </w:footnote>
  <w:footnote w:type="continuationSeparator" w:id="0">
    <w:p w14:paraId="792B0E03" w14:textId="77777777" w:rsidR="002219A6" w:rsidRDefault="002219A6" w:rsidP="00635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63C4"/>
    <w:multiLevelType w:val="hybridMultilevel"/>
    <w:tmpl w:val="F174B56A"/>
    <w:lvl w:ilvl="0" w:tplc="39C258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104E3"/>
    <w:multiLevelType w:val="multilevel"/>
    <w:tmpl w:val="69D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33539"/>
    <w:multiLevelType w:val="hybridMultilevel"/>
    <w:tmpl w:val="D974D894"/>
    <w:lvl w:ilvl="0" w:tplc="9B14C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47E8C"/>
    <w:multiLevelType w:val="hybridMultilevel"/>
    <w:tmpl w:val="63729C58"/>
    <w:lvl w:ilvl="0" w:tplc="DD602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4997"/>
    <w:multiLevelType w:val="multilevel"/>
    <w:tmpl w:val="AF38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C345B"/>
    <w:multiLevelType w:val="hybridMultilevel"/>
    <w:tmpl w:val="F7C01A6A"/>
    <w:lvl w:ilvl="0" w:tplc="C94614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35B96"/>
    <w:multiLevelType w:val="hybridMultilevel"/>
    <w:tmpl w:val="AFD89AAA"/>
    <w:lvl w:ilvl="0" w:tplc="DD602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15C20"/>
    <w:multiLevelType w:val="hybridMultilevel"/>
    <w:tmpl w:val="B5028B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C"/>
    <w:rsid w:val="000220D2"/>
    <w:rsid w:val="00022B7D"/>
    <w:rsid w:val="00030E66"/>
    <w:rsid w:val="00031F23"/>
    <w:rsid w:val="000331CA"/>
    <w:rsid w:val="000354C6"/>
    <w:rsid w:val="00063B6F"/>
    <w:rsid w:val="000A35C3"/>
    <w:rsid w:val="000B16B5"/>
    <w:rsid w:val="000E1955"/>
    <w:rsid w:val="000F2869"/>
    <w:rsid w:val="000F5FD4"/>
    <w:rsid w:val="000F6C44"/>
    <w:rsid w:val="000F6F03"/>
    <w:rsid w:val="000F739A"/>
    <w:rsid w:val="001130D7"/>
    <w:rsid w:val="00120E03"/>
    <w:rsid w:val="0012685D"/>
    <w:rsid w:val="00133CDE"/>
    <w:rsid w:val="00137BE0"/>
    <w:rsid w:val="00173991"/>
    <w:rsid w:val="001739C4"/>
    <w:rsid w:val="00176B08"/>
    <w:rsid w:val="00184FCB"/>
    <w:rsid w:val="00193F1E"/>
    <w:rsid w:val="001942DB"/>
    <w:rsid w:val="001A351D"/>
    <w:rsid w:val="001B2177"/>
    <w:rsid w:val="001B2312"/>
    <w:rsid w:val="001C20E7"/>
    <w:rsid w:val="001F790E"/>
    <w:rsid w:val="00203CBF"/>
    <w:rsid w:val="002219A6"/>
    <w:rsid w:val="0022505C"/>
    <w:rsid w:val="002431CC"/>
    <w:rsid w:val="00277CCF"/>
    <w:rsid w:val="00277F28"/>
    <w:rsid w:val="00280CF6"/>
    <w:rsid w:val="00280D07"/>
    <w:rsid w:val="00283F3A"/>
    <w:rsid w:val="00287463"/>
    <w:rsid w:val="002B45E0"/>
    <w:rsid w:val="002B53B2"/>
    <w:rsid w:val="002B6FA3"/>
    <w:rsid w:val="002D16C2"/>
    <w:rsid w:val="002E4F40"/>
    <w:rsid w:val="002E4FD7"/>
    <w:rsid w:val="0030278D"/>
    <w:rsid w:val="003048A2"/>
    <w:rsid w:val="00311493"/>
    <w:rsid w:val="00330935"/>
    <w:rsid w:val="00333EA0"/>
    <w:rsid w:val="0037525D"/>
    <w:rsid w:val="003759CF"/>
    <w:rsid w:val="00384891"/>
    <w:rsid w:val="00392C76"/>
    <w:rsid w:val="003B17EC"/>
    <w:rsid w:val="003B587C"/>
    <w:rsid w:val="003C787D"/>
    <w:rsid w:val="003E33AC"/>
    <w:rsid w:val="003E4101"/>
    <w:rsid w:val="003E6057"/>
    <w:rsid w:val="00420A0E"/>
    <w:rsid w:val="00420D96"/>
    <w:rsid w:val="004219D9"/>
    <w:rsid w:val="00423C3C"/>
    <w:rsid w:val="00425CE7"/>
    <w:rsid w:val="004348CD"/>
    <w:rsid w:val="00441CB3"/>
    <w:rsid w:val="00441EA2"/>
    <w:rsid w:val="00467B78"/>
    <w:rsid w:val="00476737"/>
    <w:rsid w:val="00495AFF"/>
    <w:rsid w:val="004A1D0C"/>
    <w:rsid w:val="004A42E9"/>
    <w:rsid w:val="004A76C0"/>
    <w:rsid w:val="004C4082"/>
    <w:rsid w:val="004D2810"/>
    <w:rsid w:val="004D3487"/>
    <w:rsid w:val="004E43D8"/>
    <w:rsid w:val="004F22B5"/>
    <w:rsid w:val="00501D12"/>
    <w:rsid w:val="00532297"/>
    <w:rsid w:val="00565439"/>
    <w:rsid w:val="005655EC"/>
    <w:rsid w:val="0057310C"/>
    <w:rsid w:val="0058032C"/>
    <w:rsid w:val="0058481E"/>
    <w:rsid w:val="005A6A13"/>
    <w:rsid w:val="005C7D71"/>
    <w:rsid w:val="005D11BF"/>
    <w:rsid w:val="005D37FA"/>
    <w:rsid w:val="005E7CED"/>
    <w:rsid w:val="005F292D"/>
    <w:rsid w:val="005F36CE"/>
    <w:rsid w:val="006002BD"/>
    <w:rsid w:val="00601EC1"/>
    <w:rsid w:val="00613EF6"/>
    <w:rsid w:val="0062625E"/>
    <w:rsid w:val="00627809"/>
    <w:rsid w:val="00627948"/>
    <w:rsid w:val="0063589B"/>
    <w:rsid w:val="00640E70"/>
    <w:rsid w:val="00644345"/>
    <w:rsid w:val="00654B47"/>
    <w:rsid w:val="00655850"/>
    <w:rsid w:val="0065616E"/>
    <w:rsid w:val="00667DB7"/>
    <w:rsid w:val="00692763"/>
    <w:rsid w:val="00693D64"/>
    <w:rsid w:val="00696B33"/>
    <w:rsid w:val="006A0E2A"/>
    <w:rsid w:val="006A327E"/>
    <w:rsid w:val="006B5158"/>
    <w:rsid w:val="006C7AEE"/>
    <w:rsid w:val="006D2062"/>
    <w:rsid w:val="006D383E"/>
    <w:rsid w:val="006E682B"/>
    <w:rsid w:val="006F5C57"/>
    <w:rsid w:val="00711A2B"/>
    <w:rsid w:val="00720824"/>
    <w:rsid w:val="00743933"/>
    <w:rsid w:val="007469E2"/>
    <w:rsid w:val="0075474E"/>
    <w:rsid w:val="0076174E"/>
    <w:rsid w:val="007937B7"/>
    <w:rsid w:val="007A0EE6"/>
    <w:rsid w:val="007B28B3"/>
    <w:rsid w:val="007B404E"/>
    <w:rsid w:val="007F18FB"/>
    <w:rsid w:val="007F598B"/>
    <w:rsid w:val="00800AA8"/>
    <w:rsid w:val="008050E1"/>
    <w:rsid w:val="0080573B"/>
    <w:rsid w:val="0081004B"/>
    <w:rsid w:val="00821F83"/>
    <w:rsid w:val="00837B30"/>
    <w:rsid w:val="0084127E"/>
    <w:rsid w:val="00846F3C"/>
    <w:rsid w:val="00857AB8"/>
    <w:rsid w:val="00870AE6"/>
    <w:rsid w:val="008A1B56"/>
    <w:rsid w:val="008A3F42"/>
    <w:rsid w:val="008C769B"/>
    <w:rsid w:val="008E221C"/>
    <w:rsid w:val="008E30E7"/>
    <w:rsid w:val="008E3A7B"/>
    <w:rsid w:val="00901C75"/>
    <w:rsid w:val="00910AB7"/>
    <w:rsid w:val="00914E54"/>
    <w:rsid w:val="0092060C"/>
    <w:rsid w:val="00942A80"/>
    <w:rsid w:val="009461B5"/>
    <w:rsid w:val="00954293"/>
    <w:rsid w:val="00957796"/>
    <w:rsid w:val="009631DF"/>
    <w:rsid w:val="009668AA"/>
    <w:rsid w:val="00996FA7"/>
    <w:rsid w:val="009A2AD9"/>
    <w:rsid w:val="009A503A"/>
    <w:rsid w:val="009C57DB"/>
    <w:rsid w:val="009E3311"/>
    <w:rsid w:val="009E68E7"/>
    <w:rsid w:val="009F0178"/>
    <w:rsid w:val="009F7537"/>
    <w:rsid w:val="00A1203B"/>
    <w:rsid w:val="00A35CFB"/>
    <w:rsid w:val="00A52DDC"/>
    <w:rsid w:val="00A55F6F"/>
    <w:rsid w:val="00A579A1"/>
    <w:rsid w:val="00A74443"/>
    <w:rsid w:val="00A9477C"/>
    <w:rsid w:val="00A97DE8"/>
    <w:rsid w:val="00AA1071"/>
    <w:rsid w:val="00AB0A24"/>
    <w:rsid w:val="00AC093C"/>
    <w:rsid w:val="00AD06DD"/>
    <w:rsid w:val="00AD0E34"/>
    <w:rsid w:val="00AD6D43"/>
    <w:rsid w:val="00AE429D"/>
    <w:rsid w:val="00AF1A20"/>
    <w:rsid w:val="00AF397F"/>
    <w:rsid w:val="00B12646"/>
    <w:rsid w:val="00B21BA6"/>
    <w:rsid w:val="00B35188"/>
    <w:rsid w:val="00B35F6B"/>
    <w:rsid w:val="00B506A4"/>
    <w:rsid w:val="00B5194C"/>
    <w:rsid w:val="00B537FD"/>
    <w:rsid w:val="00B72558"/>
    <w:rsid w:val="00B90862"/>
    <w:rsid w:val="00B94AD6"/>
    <w:rsid w:val="00BA545E"/>
    <w:rsid w:val="00BB47BE"/>
    <w:rsid w:val="00BC0DFC"/>
    <w:rsid w:val="00BC69C3"/>
    <w:rsid w:val="00BD4EE8"/>
    <w:rsid w:val="00BE36CB"/>
    <w:rsid w:val="00BF3DEC"/>
    <w:rsid w:val="00BF4635"/>
    <w:rsid w:val="00C2220E"/>
    <w:rsid w:val="00C319FA"/>
    <w:rsid w:val="00C33A2F"/>
    <w:rsid w:val="00C44C2A"/>
    <w:rsid w:val="00C46C81"/>
    <w:rsid w:val="00C6046A"/>
    <w:rsid w:val="00C72473"/>
    <w:rsid w:val="00C72F35"/>
    <w:rsid w:val="00C73711"/>
    <w:rsid w:val="00CA0851"/>
    <w:rsid w:val="00CB6DD2"/>
    <w:rsid w:val="00CB70E3"/>
    <w:rsid w:val="00CD3FF6"/>
    <w:rsid w:val="00CD4D74"/>
    <w:rsid w:val="00CD7973"/>
    <w:rsid w:val="00CE3C0A"/>
    <w:rsid w:val="00CE7B64"/>
    <w:rsid w:val="00CF6914"/>
    <w:rsid w:val="00D075BC"/>
    <w:rsid w:val="00D12234"/>
    <w:rsid w:val="00D15154"/>
    <w:rsid w:val="00D17C09"/>
    <w:rsid w:val="00D24C29"/>
    <w:rsid w:val="00D30C36"/>
    <w:rsid w:val="00D3579E"/>
    <w:rsid w:val="00D42080"/>
    <w:rsid w:val="00D42100"/>
    <w:rsid w:val="00D4767D"/>
    <w:rsid w:val="00D520A9"/>
    <w:rsid w:val="00D541D2"/>
    <w:rsid w:val="00D556F0"/>
    <w:rsid w:val="00D55D6C"/>
    <w:rsid w:val="00D6660F"/>
    <w:rsid w:val="00D711AA"/>
    <w:rsid w:val="00D832E5"/>
    <w:rsid w:val="00D85627"/>
    <w:rsid w:val="00DA17EB"/>
    <w:rsid w:val="00DB156D"/>
    <w:rsid w:val="00DB19CA"/>
    <w:rsid w:val="00DC1E84"/>
    <w:rsid w:val="00DC31FD"/>
    <w:rsid w:val="00DC4671"/>
    <w:rsid w:val="00DC6D3D"/>
    <w:rsid w:val="00DE262B"/>
    <w:rsid w:val="00E067BF"/>
    <w:rsid w:val="00E11181"/>
    <w:rsid w:val="00E13838"/>
    <w:rsid w:val="00E16726"/>
    <w:rsid w:val="00E17E63"/>
    <w:rsid w:val="00E63E6D"/>
    <w:rsid w:val="00E65AAF"/>
    <w:rsid w:val="00E7115C"/>
    <w:rsid w:val="00E76FE0"/>
    <w:rsid w:val="00E81C03"/>
    <w:rsid w:val="00E85063"/>
    <w:rsid w:val="00EC1BF6"/>
    <w:rsid w:val="00EF4CFA"/>
    <w:rsid w:val="00F148F5"/>
    <w:rsid w:val="00F23A62"/>
    <w:rsid w:val="00F4501C"/>
    <w:rsid w:val="00F47AD3"/>
    <w:rsid w:val="00F65A9C"/>
    <w:rsid w:val="00FC3166"/>
    <w:rsid w:val="00FC7E65"/>
    <w:rsid w:val="00FD59B1"/>
    <w:rsid w:val="00FE39D5"/>
    <w:rsid w:val="00FF7A7C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25258"/>
  <w15:docId w15:val="{5A8BC27D-1CB7-4CC8-9E85-A86F727D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6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89B"/>
  </w:style>
  <w:style w:type="paragraph" w:styleId="Footer">
    <w:name w:val="footer"/>
    <w:basedOn w:val="Normal"/>
    <w:link w:val="FooterChar"/>
    <w:uiPriority w:val="99"/>
    <w:unhideWhenUsed/>
    <w:rsid w:val="00635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2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968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single" w:sz="6" w:space="31" w:color="CCCCCC"/>
                            <w:bottom w:val="none" w:sz="0" w:space="5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CCCCCC"/>
                    <w:right w:val="none" w:sz="0" w:space="0" w:color="auto"/>
                  </w:divBdr>
                  <w:divsChild>
                    <w:div w:id="12256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65982">
                  <w:marLeft w:val="0"/>
                  <w:marRight w:val="0"/>
                  <w:marTop w:val="0"/>
                  <w:marBottom w:val="0"/>
                  <w:divBdr>
                    <w:top w:val="none" w:sz="0" w:space="17" w:color="auto"/>
                    <w:left w:val="none" w:sz="0" w:space="0" w:color="auto"/>
                    <w:bottom w:val="single" w:sz="6" w:space="17" w:color="CCCCCC"/>
                    <w:right w:val="none" w:sz="0" w:space="0" w:color="auto"/>
                  </w:divBdr>
                  <w:divsChild>
                    <w:div w:id="12733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CCCCCC"/>
                        <w:right w:val="none" w:sz="0" w:space="0" w:color="auto"/>
                      </w:divBdr>
                      <w:divsChild>
                        <w:div w:id="20803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none" w:sz="0" w:space="0" w:color="auto"/>
                        <w:bottom w:val="single" w:sz="6" w:space="17" w:color="CCCCCC"/>
                        <w:right w:val="none" w:sz="0" w:space="0" w:color="auto"/>
                      </w:divBdr>
                    </w:div>
                    <w:div w:id="11903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95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019642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3322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3782133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709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  <w:divsChild>
                        <w:div w:id="5927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29842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392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DD2A-39F5-48B6-A5A7-2A409723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</dc:creator>
  <cp:lastModifiedBy>Jevgēnija Sviridenkova</cp:lastModifiedBy>
  <cp:revision>2</cp:revision>
  <cp:lastPrinted>2022-03-01T06:59:00Z</cp:lastPrinted>
  <dcterms:created xsi:type="dcterms:W3CDTF">2022-03-29T12:43:00Z</dcterms:created>
  <dcterms:modified xsi:type="dcterms:W3CDTF">2022-03-29T12:43:00Z</dcterms:modified>
</cp:coreProperties>
</file>