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B1A1" w14:textId="33C648E1" w:rsidR="007E01AD" w:rsidRPr="00BC3E68" w:rsidRDefault="00BC3E68" w:rsidP="006C32B8">
      <w:pPr>
        <w:contextualSpacing/>
        <w:jc w:val="center"/>
        <w:rPr>
          <w:b/>
          <w:sz w:val="28"/>
          <w:szCs w:val="28"/>
        </w:rPr>
      </w:pPr>
      <w:r w:rsidRPr="00BC3E68">
        <w:rPr>
          <w:b/>
          <w:sz w:val="28"/>
          <w:szCs w:val="28"/>
        </w:rPr>
        <w:t>Preventīvo pasākumu plāns ceļu satiksmes drošības uzlabošanai Liepu alejā un Ludmilas Azarovas ielā</w:t>
      </w:r>
    </w:p>
    <w:p w14:paraId="2570F2FD" w14:textId="14D6A692" w:rsidR="007E01AD" w:rsidRPr="00252E40" w:rsidRDefault="00BC3E68" w:rsidP="007E01AD">
      <w:pPr>
        <w:jc w:val="center"/>
      </w:pPr>
      <w:r>
        <w:t xml:space="preserve"> </w:t>
      </w:r>
      <w:r w:rsidR="007E01AD">
        <w:t>(</w:t>
      </w:r>
      <w:r w:rsidR="007E01AD" w:rsidRPr="00252E40">
        <w:t>no 2022.</w:t>
      </w:r>
      <w:r w:rsidR="007E01AD">
        <w:t xml:space="preserve"> </w:t>
      </w:r>
      <w:r>
        <w:t>gada 1</w:t>
      </w:r>
      <w:r w:rsidR="007E01AD" w:rsidRPr="00252E40">
        <w:t>.</w:t>
      </w:r>
      <w:r w:rsidR="007E01AD">
        <w:t xml:space="preserve"> </w:t>
      </w:r>
      <w:r>
        <w:t>septembra</w:t>
      </w:r>
      <w:r w:rsidR="007E01AD" w:rsidRPr="00252E40">
        <w:t xml:space="preserve"> līdz 31.</w:t>
      </w:r>
      <w:r w:rsidR="007E01AD">
        <w:t xml:space="preserve"> </w:t>
      </w:r>
      <w:r w:rsidR="007E01AD" w:rsidRPr="00252E40">
        <w:t>decembrim</w:t>
      </w:r>
      <w:r w:rsidR="007E01AD">
        <w:t>)</w:t>
      </w:r>
    </w:p>
    <w:tbl>
      <w:tblPr>
        <w:tblW w:w="15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3929"/>
        <w:gridCol w:w="4714"/>
        <w:gridCol w:w="2845"/>
        <w:gridCol w:w="1417"/>
        <w:gridCol w:w="1418"/>
        <w:gridCol w:w="17"/>
      </w:tblGrid>
      <w:tr w:rsidR="0000244E" w:rsidRPr="001D4D87" w14:paraId="329EDB48" w14:textId="18552137" w:rsidTr="000A6D32">
        <w:trPr>
          <w:trHeight w:val="642"/>
        </w:trPr>
        <w:tc>
          <w:tcPr>
            <w:tcW w:w="698" w:type="dxa"/>
            <w:vAlign w:val="center"/>
          </w:tcPr>
          <w:p w14:paraId="79269099" w14:textId="77777777" w:rsidR="0000244E" w:rsidRPr="001D4D87" w:rsidRDefault="0000244E" w:rsidP="0085580F">
            <w:pPr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578642BA" w14:textId="77777777" w:rsidR="0000244E" w:rsidRPr="001D4D87" w:rsidRDefault="0000244E" w:rsidP="0085580F">
            <w:pPr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3929" w:type="dxa"/>
            <w:vAlign w:val="center"/>
          </w:tcPr>
          <w:p w14:paraId="2A99244D" w14:textId="77777777" w:rsidR="0000244E" w:rsidRDefault="0000244E" w:rsidP="00EF4331">
            <w:pPr>
              <w:widowControl w:val="0"/>
              <w:autoSpaceDE w:val="0"/>
              <w:autoSpaceDN w:val="0"/>
              <w:spacing w:after="0" w:line="320" w:lineRule="exact"/>
              <w:ind w:right="141"/>
              <w:rPr>
                <w:rFonts w:eastAsia="Times New Roman"/>
                <w:b/>
                <w:lang w:eastAsia="lv"/>
              </w:rPr>
            </w:pPr>
            <w:r>
              <w:rPr>
                <w:rFonts w:eastAsia="Times New Roman"/>
                <w:b/>
                <w:lang w:eastAsia="lv"/>
              </w:rPr>
              <w:t xml:space="preserve">        </w:t>
            </w:r>
          </w:p>
          <w:p w14:paraId="54BAD13B" w14:textId="6C1B9FCE" w:rsidR="0000244E" w:rsidRPr="001D4D87" w:rsidRDefault="0000244E" w:rsidP="00EF4331">
            <w:pPr>
              <w:widowControl w:val="0"/>
              <w:autoSpaceDE w:val="0"/>
              <w:autoSpaceDN w:val="0"/>
              <w:spacing w:after="0" w:line="320" w:lineRule="exact"/>
              <w:ind w:right="141"/>
              <w:rPr>
                <w:rFonts w:eastAsia="Times New Roman"/>
                <w:b/>
                <w:lang w:eastAsia="lv"/>
              </w:rPr>
            </w:pPr>
            <w:r>
              <w:rPr>
                <w:rFonts w:eastAsia="Times New Roman"/>
                <w:b/>
                <w:lang w:eastAsia="lv"/>
              </w:rPr>
              <w:t xml:space="preserve">      Iedzīvotāju izteiktā problēma</w:t>
            </w:r>
          </w:p>
        </w:tc>
        <w:tc>
          <w:tcPr>
            <w:tcW w:w="4714" w:type="dxa"/>
            <w:vAlign w:val="center"/>
          </w:tcPr>
          <w:p w14:paraId="21FAB908" w14:textId="77777777" w:rsidR="0000244E" w:rsidRDefault="0000244E" w:rsidP="00EF4331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</w:p>
          <w:p w14:paraId="1DF9A159" w14:textId="103CF49B" w:rsidR="0000244E" w:rsidRPr="001D4D87" w:rsidRDefault="0000244E" w:rsidP="00EF4331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>
              <w:rPr>
                <w:rFonts w:eastAsia="Times New Roman"/>
                <w:b/>
                <w:lang w:eastAsia="lv"/>
              </w:rPr>
              <w:t>Skaidrojums</w:t>
            </w:r>
          </w:p>
        </w:tc>
        <w:tc>
          <w:tcPr>
            <w:tcW w:w="2845" w:type="dxa"/>
          </w:tcPr>
          <w:p w14:paraId="52D4475F" w14:textId="77777777" w:rsidR="0000244E" w:rsidRDefault="0000244E" w:rsidP="0000244E">
            <w:pPr>
              <w:widowControl w:val="0"/>
              <w:autoSpaceDE w:val="0"/>
              <w:autoSpaceDN w:val="0"/>
              <w:spacing w:after="0" w:line="320" w:lineRule="exact"/>
              <w:jc w:val="left"/>
              <w:rPr>
                <w:rFonts w:eastAsia="Times New Roman"/>
                <w:b/>
                <w:lang w:eastAsia="lv"/>
              </w:rPr>
            </w:pPr>
          </w:p>
          <w:p w14:paraId="64C841DD" w14:textId="721B98A8" w:rsidR="0000244E" w:rsidRPr="001D4D87" w:rsidRDefault="0000244E" w:rsidP="0000244E">
            <w:pPr>
              <w:widowControl w:val="0"/>
              <w:autoSpaceDE w:val="0"/>
              <w:autoSpaceDN w:val="0"/>
              <w:spacing w:after="0" w:line="320" w:lineRule="exact"/>
              <w:jc w:val="center"/>
              <w:rPr>
                <w:rFonts w:eastAsia="Times New Roman"/>
                <w:b/>
                <w:lang w:eastAsia="lv"/>
              </w:rPr>
            </w:pPr>
            <w:r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1417" w:type="dxa"/>
            <w:vAlign w:val="center"/>
          </w:tcPr>
          <w:p w14:paraId="05DD9DC8" w14:textId="77777777" w:rsidR="0000244E" w:rsidRDefault="0000244E" w:rsidP="004237DE">
            <w:pPr>
              <w:widowControl w:val="0"/>
              <w:autoSpaceDE w:val="0"/>
              <w:autoSpaceDN w:val="0"/>
              <w:spacing w:after="0" w:line="320" w:lineRule="exact"/>
              <w:ind w:left="408"/>
              <w:jc w:val="left"/>
              <w:rPr>
                <w:rFonts w:eastAsia="Times New Roman"/>
                <w:b/>
                <w:lang w:eastAsia="lv"/>
              </w:rPr>
            </w:pPr>
          </w:p>
          <w:p w14:paraId="0CAF8FCD" w14:textId="461312E2" w:rsidR="0000244E" w:rsidRPr="001D4D87" w:rsidRDefault="0000244E" w:rsidP="00F150A0">
            <w:pPr>
              <w:widowControl w:val="0"/>
              <w:autoSpaceDE w:val="0"/>
              <w:autoSpaceDN w:val="0"/>
              <w:spacing w:after="0" w:line="320" w:lineRule="exact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  <w:tc>
          <w:tcPr>
            <w:tcW w:w="1435" w:type="dxa"/>
            <w:gridSpan w:val="2"/>
          </w:tcPr>
          <w:p w14:paraId="16423AFC" w14:textId="77777777" w:rsidR="0000244E" w:rsidRDefault="0000244E" w:rsidP="004237DE">
            <w:pPr>
              <w:widowControl w:val="0"/>
              <w:autoSpaceDE w:val="0"/>
              <w:autoSpaceDN w:val="0"/>
              <w:spacing w:after="0" w:line="320" w:lineRule="exact"/>
              <w:ind w:left="408"/>
              <w:jc w:val="left"/>
              <w:rPr>
                <w:rFonts w:eastAsia="Times New Roman"/>
                <w:b/>
                <w:lang w:eastAsia="lv"/>
              </w:rPr>
            </w:pPr>
          </w:p>
          <w:p w14:paraId="14E7F940" w14:textId="2D3EFE57" w:rsidR="0000244E" w:rsidRPr="001D4D87" w:rsidRDefault="0000244E" w:rsidP="004237DE">
            <w:pPr>
              <w:widowControl w:val="0"/>
              <w:autoSpaceDE w:val="0"/>
              <w:autoSpaceDN w:val="0"/>
              <w:spacing w:after="0" w:line="320" w:lineRule="exact"/>
              <w:ind w:left="408"/>
              <w:jc w:val="left"/>
              <w:rPr>
                <w:rFonts w:eastAsia="Times New Roman"/>
                <w:b/>
                <w:lang w:eastAsia="lv"/>
              </w:rPr>
            </w:pPr>
            <w:r>
              <w:rPr>
                <w:rFonts w:eastAsia="Times New Roman"/>
                <w:b/>
                <w:lang w:eastAsia="lv"/>
              </w:rPr>
              <w:t>Termiņš</w:t>
            </w:r>
          </w:p>
        </w:tc>
      </w:tr>
      <w:tr w:rsidR="0000244E" w:rsidRPr="00C01FB9" w14:paraId="5CAFEC59" w14:textId="2251BD8E" w:rsidTr="000A6D32">
        <w:trPr>
          <w:gridAfter w:val="1"/>
          <w:wAfter w:w="17" w:type="dxa"/>
          <w:trHeight w:val="2325"/>
        </w:trPr>
        <w:tc>
          <w:tcPr>
            <w:tcW w:w="698" w:type="dxa"/>
            <w:shd w:val="clear" w:color="auto" w:fill="auto"/>
            <w:vAlign w:val="center"/>
          </w:tcPr>
          <w:p w14:paraId="134F2DFA" w14:textId="5390361D" w:rsidR="0000244E" w:rsidRPr="005163D3" w:rsidRDefault="0000244E" w:rsidP="0085580F">
            <w:pPr>
              <w:widowControl w:val="0"/>
              <w:tabs>
                <w:tab w:val="left" w:pos="588"/>
              </w:tabs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 xml:space="preserve">1. </w:t>
            </w:r>
          </w:p>
        </w:tc>
        <w:tc>
          <w:tcPr>
            <w:tcW w:w="392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FA39AF9" w14:textId="2733D696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ind w:right="141"/>
              <w:rPr>
                <w:rFonts w:eastAsia="Times New Roman"/>
                <w:color w:val="000000" w:themeColor="text1"/>
                <w:lang w:val="lv" w:eastAsia="lv"/>
              </w:rPr>
            </w:pPr>
            <w:r>
              <w:rPr>
                <w:rFonts w:eastAsia="Times New Roman"/>
                <w:color w:val="000000" w:themeColor="text1"/>
                <w:lang w:val="lv" w:eastAsia="lv"/>
              </w:rPr>
              <w:t xml:space="preserve">Nav gājēju ietves. Ielas ir šauras, apgrūtinot iespēju samainīties divām pretējos virzienos braucošam automašīnām. </w:t>
            </w:r>
          </w:p>
        </w:tc>
        <w:tc>
          <w:tcPr>
            <w:tcW w:w="4714" w:type="dxa"/>
            <w:shd w:val="clear" w:color="auto" w:fill="auto"/>
            <w:tcMar>
              <w:top w:w="0" w:type="dxa"/>
              <w:left w:w="113" w:type="dxa"/>
              <w:right w:w="113" w:type="dxa"/>
            </w:tcMar>
            <w:vAlign w:val="center"/>
          </w:tcPr>
          <w:p w14:paraId="647C0583" w14:textId="41DEA95C" w:rsidR="0000244E" w:rsidRPr="000A6D32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 w:rsidRPr="000A6D32">
              <w:rPr>
                <w:rFonts w:eastAsia="Times New Roman"/>
                <w:color w:val="000000" w:themeColor="text1"/>
                <w:lang w:eastAsia="lv"/>
              </w:rPr>
              <w:t>Ludmilas Azarovas ielā- 2022. gada jūlijā pabeigti ceļu seguma atjaunošanas darbi- asfaltēta iela. Šajā teritorijā nav plānoti citi pārbūves darbi tuvāko gadu laikā.</w:t>
            </w:r>
          </w:p>
          <w:p w14:paraId="227D236B" w14:textId="1614142D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 w:rsidRPr="000A6D32">
              <w:rPr>
                <w:rFonts w:eastAsia="Times New Roman"/>
                <w:color w:val="000000" w:themeColor="text1"/>
                <w:lang w:eastAsia="lv"/>
              </w:rPr>
              <w:t>Liepu alejā- 2022. gadā bija plānoti ceļa seguma pārbūves darbi, bet finansējuma trūkuma dēļ netika īstenoti.</w:t>
            </w:r>
          </w:p>
        </w:tc>
        <w:tc>
          <w:tcPr>
            <w:tcW w:w="2845" w:type="dxa"/>
            <w:tcMar>
              <w:left w:w="113" w:type="dxa"/>
              <w:right w:w="113" w:type="dxa"/>
            </w:tcMar>
          </w:tcPr>
          <w:p w14:paraId="4947D635" w14:textId="0501951F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Liepu alejas seguma pārbūvi- ieplānot 2023. gada budžetā</w:t>
            </w:r>
          </w:p>
        </w:tc>
        <w:tc>
          <w:tcPr>
            <w:tcW w:w="1417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C474FF" w14:textId="61037FDF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  <w:tc>
          <w:tcPr>
            <w:tcW w:w="1418" w:type="dxa"/>
          </w:tcPr>
          <w:p w14:paraId="34E1B7FE" w14:textId="77777777" w:rsidR="0000244E" w:rsidRDefault="0000244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</w:tr>
      <w:tr w:rsidR="0000244E" w:rsidRPr="001D4D87" w14:paraId="78D72719" w14:textId="525C6915" w:rsidTr="000A6D32">
        <w:trPr>
          <w:gridAfter w:val="1"/>
          <w:wAfter w:w="17" w:type="dxa"/>
          <w:trHeight w:val="645"/>
        </w:trPr>
        <w:tc>
          <w:tcPr>
            <w:tcW w:w="698" w:type="dxa"/>
            <w:shd w:val="clear" w:color="auto" w:fill="auto"/>
            <w:vAlign w:val="center"/>
          </w:tcPr>
          <w:p w14:paraId="640AE8CC" w14:textId="5F683BCF" w:rsidR="0000244E" w:rsidRPr="0085580F" w:rsidRDefault="0000244E" w:rsidP="0085580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40" w:after="40"/>
              <w:ind w:left="0" w:firstLine="0"/>
              <w:contextualSpacing w:val="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392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191CB7B" w14:textId="08A4DB14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Iedzīvotāji pārvietojas nevis pa brauktuves malu vienā rindā kā to paredz ceļu satiksmes noteikumi, bet gan pa brauktuvi visā platumā. </w:t>
            </w:r>
          </w:p>
        </w:tc>
        <w:tc>
          <w:tcPr>
            <w:tcW w:w="471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137DA58" w14:textId="1B492CB6" w:rsidR="0000244E" w:rsidRPr="00A4539A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</w:p>
        </w:tc>
        <w:tc>
          <w:tcPr>
            <w:tcW w:w="2845" w:type="dxa"/>
            <w:tcMar>
              <w:left w:w="113" w:type="dxa"/>
              <w:right w:w="113" w:type="dxa"/>
            </w:tcMar>
            <w:vAlign w:val="center"/>
          </w:tcPr>
          <w:p w14:paraId="42594415" w14:textId="73840230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Pašvaldības policijai veikt preventīvus pasākumus gājēju satiksmes  noteikumu ievērošanas kontrolei. </w:t>
            </w:r>
          </w:p>
        </w:tc>
        <w:tc>
          <w:tcPr>
            <w:tcW w:w="1417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6C01F55" w14:textId="2466C20E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ĀNPP</w:t>
            </w:r>
          </w:p>
        </w:tc>
        <w:tc>
          <w:tcPr>
            <w:tcW w:w="1418" w:type="dxa"/>
          </w:tcPr>
          <w:p w14:paraId="3E38345A" w14:textId="77777777" w:rsidR="0000244E" w:rsidRDefault="0000244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</w:tr>
      <w:tr w:rsidR="0000244E" w:rsidRPr="002B0F13" w14:paraId="08306DB0" w14:textId="0D3D45DA" w:rsidTr="000A6D32">
        <w:trPr>
          <w:gridAfter w:val="1"/>
          <w:wAfter w:w="17" w:type="dxa"/>
          <w:trHeight w:val="645"/>
        </w:trPr>
        <w:tc>
          <w:tcPr>
            <w:tcW w:w="698" w:type="dxa"/>
            <w:shd w:val="clear" w:color="auto" w:fill="auto"/>
            <w:vAlign w:val="center"/>
          </w:tcPr>
          <w:p w14:paraId="7103D155" w14:textId="77777777" w:rsidR="0000244E" w:rsidRPr="002B0F13" w:rsidRDefault="0000244E" w:rsidP="006B25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0" w:firstLine="0"/>
              <w:jc w:val="center"/>
              <w:rPr>
                <w:rFonts w:eastAsia="Times New Roman"/>
                <w:color w:val="FF0000"/>
                <w:lang w:eastAsia="lv"/>
              </w:rPr>
            </w:pPr>
          </w:p>
        </w:tc>
        <w:tc>
          <w:tcPr>
            <w:tcW w:w="392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A828F68" w14:textId="05F6AE19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proofErr w:type="spellStart"/>
            <w:r>
              <w:rPr>
                <w:rFonts w:eastAsia="Times New Roman"/>
                <w:color w:val="000000" w:themeColor="text1"/>
                <w:lang w:eastAsia="lv"/>
              </w:rPr>
              <w:t>Daudzbērnu</w:t>
            </w:r>
            <w:proofErr w:type="spellEnd"/>
            <w:r>
              <w:rPr>
                <w:rFonts w:eastAsia="Times New Roman"/>
                <w:color w:val="000000" w:themeColor="text1"/>
                <w:lang w:eastAsia="lv"/>
              </w:rPr>
              <w:t xml:space="preserve"> ģimenēm diennakts tumšajā laikā pārvietoties aizliegts, diennakts gaišajā laikā jāpārvietojas kolonnā ar sarkanajiem karodziņiem. </w:t>
            </w:r>
          </w:p>
        </w:tc>
        <w:tc>
          <w:tcPr>
            <w:tcW w:w="471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DC4676B" w14:textId="6C614518" w:rsidR="0000244E" w:rsidRPr="005163D3" w:rsidRDefault="005976FC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Nekorekta CSL</w:t>
            </w:r>
            <w:r w:rsidR="0000244E">
              <w:rPr>
                <w:rFonts w:eastAsia="Times New Roman"/>
                <w:color w:val="000000" w:themeColor="text1"/>
                <w:lang w:eastAsia="lv"/>
              </w:rPr>
              <w:t xml:space="preserve"> interpretācija.</w:t>
            </w:r>
          </w:p>
        </w:tc>
        <w:tc>
          <w:tcPr>
            <w:tcW w:w="2845" w:type="dxa"/>
            <w:tcMar>
              <w:left w:w="113" w:type="dxa"/>
              <w:right w:w="113" w:type="dxa"/>
            </w:tcMar>
          </w:tcPr>
          <w:p w14:paraId="56365FFF" w14:textId="77777777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</w:p>
          <w:p w14:paraId="0C1588A1" w14:textId="7F0D8BFB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C03728" w14:textId="152F64B0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-</w:t>
            </w:r>
          </w:p>
        </w:tc>
        <w:tc>
          <w:tcPr>
            <w:tcW w:w="1418" w:type="dxa"/>
          </w:tcPr>
          <w:p w14:paraId="02AD77EB" w14:textId="77777777" w:rsidR="0000244E" w:rsidRDefault="0000244E" w:rsidP="006B250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</w:tr>
      <w:tr w:rsidR="0000244E" w:rsidRPr="004F2A55" w14:paraId="039902BE" w14:textId="53DE1CEE" w:rsidTr="000A6D32">
        <w:trPr>
          <w:gridAfter w:val="1"/>
          <w:wAfter w:w="17" w:type="dxa"/>
          <w:trHeight w:val="645"/>
        </w:trPr>
        <w:tc>
          <w:tcPr>
            <w:tcW w:w="698" w:type="dxa"/>
            <w:shd w:val="clear" w:color="auto" w:fill="auto"/>
            <w:vAlign w:val="center"/>
          </w:tcPr>
          <w:p w14:paraId="44ECA31F" w14:textId="4717186D" w:rsidR="0000244E" w:rsidRPr="004F2A55" w:rsidRDefault="0000244E" w:rsidP="006B25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0" w:firstLine="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392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3AC037" w14:textId="27D74477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Jāļauj bērniem braukt uz skolu un no skolas ar velosipēdu. </w:t>
            </w:r>
          </w:p>
        </w:tc>
        <w:tc>
          <w:tcPr>
            <w:tcW w:w="471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6A4B53" w14:textId="77777777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</w:p>
          <w:p w14:paraId="79ECE3A8" w14:textId="6AA48D25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Atbilstoši CSN, lai piedalītos ceļu satiksmē ar velosipēdu, bērnam vecumā no 10</w:t>
            </w:r>
            <w:r w:rsidR="00BD0566">
              <w:rPr>
                <w:rFonts w:eastAsia="Times New Roman"/>
                <w:lang w:eastAsia="lv"/>
              </w:rPr>
              <w:t>-</w:t>
            </w:r>
            <w:r>
              <w:rPr>
                <w:rFonts w:eastAsia="Times New Roman"/>
                <w:lang w:eastAsia="lv"/>
              </w:rPr>
              <w:t>17 gadiem atļauts, ja tam ir velosipēda vadītāja apliecība.</w:t>
            </w:r>
          </w:p>
        </w:tc>
        <w:tc>
          <w:tcPr>
            <w:tcW w:w="2845" w:type="dxa"/>
            <w:tcMar>
              <w:left w:w="113" w:type="dxa"/>
              <w:right w:w="113" w:type="dxa"/>
            </w:tcMar>
          </w:tcPr>
          <w:p w14:paraId="21C00935" w14:textId="77777777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</w:p>
          <w:p w14:paraId="4BE8B9AC" w14:textId="5498C58B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PP nepilngadīgo lietu inspektoram nodrošināt CSN apmācības</w:t>
            </w:r>
            <w:r w:rsidR="00EF46AF">
              <w:rPr>
                <w:rFonts w:eastAsia="Times New Roman"/>
                <w:lang w:eastAsia="lv"/>
              </w:rPr>
              <w:t xml:space="preserve"> bērniem</w:t>
            </w:r>
            <w:r>
              <w:rPr>
                <w:rFonts w:eastAsia="Times New Roman"/>
                <w:lang w:eastAsia="lv"/>
              </w:rPr>
              <w:t xml:space="preserve">. Sadarbībā ar CSDD organizēt eksāmena pieņemšanu.  </w:t>
            </w:r>
          </w:p>
          <w:p w14:paraId="4B0BAF31" w14:textId="0445DC10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(2013.-2014. gadā tika organizētas šādas apmācības: </w:t>
            </w:r>
            <w:r w:rsidRPr="006028F7">
              <w:rPr>
                <w:rFonts w:eastAsia="Times New Roman"/>
                <w:lang w:eastAsia="lv"/>
              </w:rPr>
              <w:lastRenderedPageBreak/>
              <w:t>http://www.carnikava.lv/pasvaldiba/pasvaldibas-policija/policijas-aktualitates/702-pasvaldibas-policija-jauniesus-aicina-uz-bezmaksas-velo-apmacibas-kursiem</w:t>
            </w:r>
            <w:r>
              <w:rPr>
                <w:rFonts w:eastAsia="Times New Roman"/>
                <w:lang w:eastAsia="lv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E69088" w14:textId="1CBEDBD0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lastRenderedPageBreak/>
              <w:t>ĀNPP</w:t>
            </w:r>
          </w:p>
        </w:tc>
        <w:tc>
          <w:tcPr>
            <w:tcW w:w="1418" w:type="dxa"/>
          </w:tcPr>
          <w:p w14:paraId="0B08B6E6" w14:textId="77777777" w:rsidR="0000244E" w:rsidRDefault="0000244E" w:rsidP="006B250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</w:tr>
      <w:tr w:rsidR="0000244E" w:rsidRPr="004F2A55" w14:paraId="027959CA" w14:textId="685D5744" w:rsidTr="000A6D32">
        <w:trPr>
          <w:gridAfter w:val="1"/>
          <w:wAfter w:w="17" w:type="dxa"/>
          <w:trHeight w:val="645"/>
        </w:trPr>
        <w:tc>
          <w:tcPr>
            <w:tcW w:w="698" w:type="dxa"/>
            <w:shd w:val="clear" w:color="auto" w:fill="auto"/>
            <w:vAlign w:val="center"/>
          </w:tcPr>
          <w:p w14:paraId="10E34554" w14:textId="77777777" w:rsidR="0000244E" w:rsidRPr="004F2A55" w:rsidRDefault="0000244E" w:rsidP="006B25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0" w:firstLine="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392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9E76E78" w14:textId="4D5D10CB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Līdz 2018. gadam septembrim apbūvētā teritorija tika atzīta par dzīvojamo zonu</w:t>
            </w:r>
          </w:p>
        </w:tc>
        <w:tc>
          <w:tcPr>
            <w:tcW w:w="471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0545786" w14:textId="624D7366" w:rsidR="0000244E" w:rsidRPr="006C32B8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 w:rsidRPr="006C32B8">
              <w:rPr>
                <w:rFonts w:eastAsia="Times New Roman"/>
                <w:color w:val="000000" w:themeColor="text1"/>
                <w:lang w:eastAsia="lv"/>
              </w:rPr>
              <w:t>CSDD audita atzinumā norādīts “Atzinuma šā punkta noslēgumā ir jānorāda, ka Carnikavas novadā ir</w:t>
            </w:r>
            <w:r w:rsidR="000B76F6">
              <w:rPr>
                <w:rFonts w:eastAsia="Times New Roman"/>
                <w:color w:val="000000" w:themeColor="text1"/>
                <w:lang w:eastAsia="lv"/>
              </w:rPr>
              <w:t xml:space="preserve"> </w:t>
            </w:r>
            <w:r w:rsidRPr="006C32B8">
              <w:rPr>
                <w:rFonts w:eastAsia="Times New Roman"/>
                <w:color w:val="000000" w:themeColor="text1"/>
                <w:lang w:eastAsia="lv"/>
              </w:rPr>
              <w:t xml:space="preserve">redzama progresīva izpratne par dzīvojamās zonas jēgu un izpildījumu. Par </w:t>
            </w:r>
            <w:r w:rsidR="000B76F6">
              <w:rPr>
                <w:rFonts w:eastAsia="Times New Roman"/>
                <w:color w:val="000000" w:themeColor="text1"/>
                <w:lang w:eastAsia="lv"/>
              </w:rPr>
              <w:t xml:space="preserve">to </w:t>
            </w:r>
            <w:r w:rsidRPr="006C32B8">
              <w:rPr>
                <w:rFonts w:eastAsia="Times New Roman"/>
                <w:color w:val="000000" w:themeColor="text1"/>
                <w:lang w:eastAsia="lv"/>
              </w:rPr>
              <w:t>liecina interneta resursos atrodamā sekojošā informācija: “Kopš 2018. gada</w:t>
            </w:r>
          </w:p>
          <w:p w14:paraId="5EAE85EC" w14:textId="77777777" w:rsidR="0000244E" w:rsidRPr="006C32B8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 w:rsidRPr="006C32B8">
              <w:rPr>
                <w:rFonts w:eastAsia="Times New Roman"/>
                <w:color w:val="000000" w:themeColor="text1"/>
                <w:lang w:eastAsia="lv"/>
              </w:rPr>
              <w:t>rudens pašvaldības aģentūra "Carnikavas Komunālserviss", kas pārvalda</w:t>
            </w:r>
          </w:p>
          <w:p w14:paraId="68548B32" w14:textId="77777777" w:rsidR="0000244E" w:rsidRPr="006C32B8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 w:rsidRPr="006C32B8">
              <w:rPr>
                <w:rFonts w:eastAsia="Times New Roman"/>
                <w:color w:val="000000" w:themeColor="text1"/>
                <w:lang w:eastAsia="lv"/>
              </w:rPr>
              <w:t>pašvaldības ielu un ceļu tīklu, sākusi ceļazīmju "Dzīvojamā zona" un</w:t>
            </w:r>
          </w:p>
          <w:p w14:paraId="0E6CDC8D" w14:textId="77777777" w:rsidR="0000244E" w:rsidRPr="006C32B8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 w:rsidRPr="006C32B8">
              <w:rPr>
                <w:rFonts w:eastAsia="Times New Roman"/>
                <w:color w:val="000000" w:themeColor="text1"/>
                <w:lang w:eastAsia="lv"/>
              </w:rPr>
              <w:t>"Dzīvojamās zonas beigas" (nr. 533 un nr. 534) pakāpenisku nomaiņu ar ātrumu</w:t>
            </w:r>
          </w:p>
          <w:p w14:paraId="3E85F252" w14:textId="04E2E6E8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 w:rsidRPr="006C32B8">
              <w:rPr>
                <w:rFonts w:eastAsia="Times New Roman"/>
                <w:color w:val="000000" w:themeColor="text1"/>
                <w:lang w:eastAsia="lv"/>
              </w:rPr>
              <w:t>ierobežojošām zīmēm, nosakot transportlīdzekļu pārvietošanos ātrumu 30 km/h.”</w:t>
            </w:r>
          </w:p>
        </w:tc>
        <w:tc>
          <w:tcPr>
            <w:tcW w:w="2845" w:type="dxa"/>
            <w:tcMar>
              <w:left w:w="113" w:type="dxa"/>
              <w:right w:w="113" w:type="dxa"/>
            </w:tcMar>
          </w:tcPr>
          <w:p w14:paraId="239C53DE" w14:textId="77777777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 xml:space="preserve">Jāveic skaidrojošais darbs iedzīvotājiem un jāinformē par dzīvojamās zonas izpratnes maiņu. </w:t>
            </w:r>
          </w:p>
          <w:p w14:paraId="3F4A4197" w14:textId="77777777" w:rsidR="00AF104F" w:rsidRDefault="00AF104F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</w:p>
          <w:p w14:paraId="1042C0AE" w14:textId="19BEA578" w:rsidR="00AF104F" w:rsidRPr="005163D3" w:rsidRDefault="00AF104F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Iespējams uzstādīt informatīvās zīmes (Skat</w:t>
            </w:r>
            <w:r w:rsidR="00A4625F">
              <w:rPr>
                <w:rFonts w:eastAsia="Times New Roman"/>
                <w:color w:val="000000" w:themeColor="text1"/>
                <w:lang w:eastAsia="lv"/>
              </w:rPr>
              <w:t>īt foto)</w:t>
            </w:r>
          </w:p>
        </w:tc>
        <w:tc>
          <w:tcPr>
            <w:tcW w:w="1417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5A32C5" w14:textId="77777777" w:rsidR="0000244E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  <w:p w14:paraId="33AE1007" w14:textId="581D3192" w:rsidR="0000244E" w:rsidRPr="005163D3" w:rsidRDefault="0000244E" w:rsidP="000A6D32">
            <w:pPr>
              <w:widowControl w:val="0"/>
              <w:autoSpaceDE w:val="0"/>
              <w:autoSpaceDN w:val="0"/>
              <w:spacing w:before="40" w:after="40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SAN</w:t>
            </w:r>
          </w:p>
        </w:tc>
        <w:tc>
          <w:tcPr>
            <w:tcW w:w="1418" w:type="dxa"/>
          </w:tcPr>
          <w:p w14:paraId="5FE9B101" w14:textId="77777777" w:rsidR="0000244E" w:rsidRDefault="0000244E" w:rsidP="006B250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</w:tr>
    </w:tbl>
    <w:p w14:paraId="023DC059" w14:textId="77777777" w:rsidR="007E01AD" w:rsidRDefault="007E01AD" w:rsidP="00BC3E68"/>
    <w:sectPr w:rsidR="007E01AD" w:rsidSect="005B2C3C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7C8CAE84"/>
    <w:lvl w:ilvl="0">
      <w:start w:val="3"/>
      <w:numFmt w:val="decimal"/>
      <w:suff w:val="nothing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A5F5A"/>
    <w:multiLevelType w:val="hybridMultilevel"/>
    <w:tmpl w:val="CD1EAFA0"/>
    <w:lvl w:ilvl="0" w:tplc="81BA55FA">
      <w:start w:val="2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40822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376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559090">
    <w:abstractNumId w:val="2"/>
  </w:num>
  <w:num w:numId="4" w16cid:durableId="18246214">
    <w:abstractNumId w:val="4"/>
  </w:num>
  <w:num w:numId="5" w16cid:durableId="1054739618">
    <w:abstractNumId w:val="8"/>
  </w:num>
  <w:num w:numId="6" w16cid:durableId="1787694980">
    <w:abstractNumId w:val="7"/>
  </w:num>
  <w:num w:numId="7" w16cid:durableId="2009364712">
    <w:abstractNumId w:val="13"/>
  </w:num>
  <w:num w:numId="8" w16cid:durableId="2102293404">
    <w:abstractNumId w:val="0"/>
  </w:num>
  <w:num w:numId="9" w16cid:durableId="932519585">
    <w:abstractNumId w:val="12"/>
  </w:num>
  <w:num w:numId="10" w16cid:durableId="2122187581">
    <w:abstractNumId w:val="11"/>
  </w:num>
  <w:num w:numId="11" w16cid:durableId="35396903">
    <w:abstractNumId w:val="5"/>
  </w:num>
  <w:num w:numId="12" w16cid:durableId="514618190">
    <w:abstractNumId w:val="10"/>
  </w:num>
  <w:num w:numId="13" w16cid:durableId="1543901617">
    <w:abstractNumId w:val="1"/>
  </w:num>
  <w:num w:numId="14" w16cid:durableId="541136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244E"/>
    <w:rsid w:val="0000325B"/>
    <w:rsid w:val="0000441A"/>
    <w:rsid w:val="00005482"/>
    <w:rsid w:val="00013795"/>
    <w:rsid w:val="00062D8A"/>
    <w:rsid w:val="00073B6A"/>
    <w:rsid w:val="00081F8D"/>
    <w:rsid w:val="000854D6"/>
    <w:rsid w:val="000A6D32"/>
    <w:rsid w:val="000B6120"/>
    <w:rsid w:val="000B685E"/>
    <w:rsid w:val="000B76F6"/>
    <w:rsid w:val="000C1E38"/>
    <w:rsid w:val="000D6ECC"/>
    <w:rsid w:val="000E5BFF"/>
    <w:rsid w:val="000F7811"/>
    <w:rsid w:val="000F796E"/>
    <w:rsid w:val="00133938"/>
    <w:rsid w:val="001349ED"/>
    <w:rsid w:val="00142E60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360F0"/>
    <w:rsid w:val="00240341"/>
    <w:rsid w:val="00241CDA"/>
    <w:rsid w:val="00243D71"/>
    <w:rsid w:val="00247EAA"/>
    <w:rsid w:val="00251076"/>
    <w:rsid w:val="002577CE"/>
    <w:rsid w:val="00257831"/>
    <w:rsid w:val="00262FFC"/>
    <w:rsid w:val="0027351E"/>
    <w:rsid w:val="00274FA0"/>
    <w:rsid w:val="0029708F"/>
    <w:rsid w:val="002C146D"/>
    <w:rsid w:val="002D3C63"/>
    <w:rsid w:val="0030269D"/>
    <w:rsid w:val="00341FEF"/>
    <w:rsid w:val="00343940"/>
    <w:rsid w:val="00345269"/>
    <w:rsid w:val="00353955"/>
    <w:rsid w:val="00363BE6"/>
    <w:rsid w:val="00385F02"/>
    <w:rsid w:val="003A4E6B"/>
    <w:rsid w:val="003C02CA"/>
    <w:rsid w:val="003E2ECF"/>
    <w:rsid w:val="003F4C36"/>
    <w:rsid w:val="003F5B13"/>
    <w:rsid w:val="003F721D"/>
    <w:rsid w:val="004103DB"/>
    <w:rsid w:val="004270D2"/>
    <w:rsid w:val="004342D0"/>
    <w:rsid w:val="004345BC"/>
    <w:rsid w:val="0044639D"/>
    <w:rsid w:val="004567D5"/>
    <w:rsid w:val="00456F05"/>
    <w:rsid w:val="00482437"/>
    <w:rsid w:val="00493B26"/>
    <w:rsid w:val="00493DF4"/>
    <w:rsid w:val="004A0C76"/>
    <w:rsid w:val="004C6F1E"/>
    <w:rsid w:val="00503DE5"/>
    <w:rsid w:val="005161EE"/>
    <w:rsid w:val="005163D3"/>
    <w:rsid w:val="005173BA"/>
    <w:rsid w:val="005501BB"/>
    <w:rsid w:val="005531BB"/>
    <w:rsid w:val="00561105"/>
    <w:rsid w:val="005939E6"/>
    <w:rsid w:val="005976FC"/>
    <w:rsid w:val="005B00D9"/>
    <w:rsid w:val="005B20A5"/>
    <w:rsid w:val="005B2C3C"/>
    <w:rsid w:val="005C2B14"/>
    <w:rsid w:val="005D31DE"/>
    <w:rsid w:val="005F06D2"/>
    <w:rsid w:val="006028F7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2503"/>
    <w:rsid w:val="006B7909"/>
    <w:rsid w:val="006C32B8"/>
    <w:rsid w:val="006E4C23"/>
    <w:rsid w:val="006E73B5"/>
    <w:rsid w:val="007035CA"/>
    <w:rsid w:val="00705DEF"/>
    <w:rsid w:val="00712FC3"/>
    <w:rsid w:val="007140F3"/>
    <w:rsid w:val="007152C2"/>
    <w:rsid w:val="007210C9"/>
    <w:rsid w:val="007619ED"/>
    <w:rsid w:val="0077149E"/>
    <w:rsid w:val="00782244"/>
    <w:rsid w:val="0078293D"/>
    <w:rsid w:val="007A2BAE"/>
    <w:rsid w:val="007C7EB6"/>
    <w:rsid w:val="007D0DC0"/>
    <w:rsid w:val="007E01AD"/>
    <w:rsid w:val="007E5180"/>
    <w:rsid w:val="007E5915"/>
    <w:rsid w:val="007E6A84"/>
    <w:rsid w:val="007F1B4F"/>
    <w:rsid w:val="007F6149"/>
    <w:rsid w:val="00814C3F"/>
    <w:rsid w:val="00822C19"/>
    <w:rsid w:val="00833EAC"/>
    <w:rsid w:val="008355F0"/>
    <w:rsid w:val="008414F6"/>
    <w:rsid w:val="00843DCD"/>
    <w:rsid w:val="00850996"/>
    <w:rsid w:val="0085580F"/>
    <w:rsid w:val="008603FF"/>
    <w:rsid w:val="008716C5"/>
    <w:rsid w:val="00871F82"/>
    <w:rsid w:val="00880BD0"/>
    <w:rsid w:val="008B3506"/>
    <w:rsid w:val="008C6A14"/>
    <w:rsid w:val="008D767D"/>
    <w:rsid w:val="008F458E"/>
    <w:rsid w:val="008F712E"/>
    <w:rsid w:val="009108AD"/>
    <w:rsid w:val="00915D3B"/>
    <w:rsid w:val="00915F48"/>
    <w:rsid w:val="00923F3F"/>
    <w:rsid w:val="00933792"/>
    <w:rsid w:val="00964312"/>
    <w:rsid w:val="00965B00"/>
    <w:rsid w:val="0098254D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2417F"/>
    <w:rsid w:val="00A25FB4"/>
    <w:rsid w:val="00A35550"/>
    <w:rsid w:val="00A4625F"/>
    <w:rsid w:val="00A55F4F"/>
    <w:rsid w:val="00A57F5E"/>
    <w:rsid w:val="00A70C78"/>
    <w:rsid w:val="00A775CF"/>
    <w:rsid w:val="00A91428"/>
    <w:rsid w:val="00AA724F"/>
    <w:rsid w:val="00AB13D0"/>
    <w:rsid w:val="00AB30E9"/>
    <w:rsid w:val="00AB5FF6"/>
    <w:rsid w:val="00AC3109"/>
    <w:rsid w:val="00AE1E89"/>
    <w:rsid w:val="00AE7B7A"/>
    <w:rsid w:val="00AF104F"/>
    <w:rsid w:val="00B03395"/>
    <w:rsid w:val="00B03897"/>
    <w:rsid w:val="00B039AC"/>
    <w:rsid w:val="00B25836"/>
    <w:rsid w:val="00B42057"/>
    <w:rsid w:val="00B446D0"/>
    <w:rsid w:val="00B55E66"/>
    <w:rsid w:val="00B73741"/>
    <w:rsid w:val="00B927A6"/>
    <w:rsid w:val="00B95DC9"/>
    <w:rsid w:val="00BB078F"/>
    <w:rsid w:val="00BB7EB2"/>
    <w:rsid w:val="00BC3E68"/>
    <w:rsid w:val="00BD0566"/>
    <w:rsid w:val="00BF0175"/>
    <w:rsid w:val="00BF0CFB"/>
    <w:rsid w:val="00C00519"/>
    <w:rsid w:val="00C0461F"/>
    <w:rsid w:val="00C37600"/>
    <w:rsid w:val="00C3773D"/>
    <w:rsid w:val="00C61F38"/>
    <w:rsid w:val="00C62E53"/>
    <w:rsid w:val="00C719B4"/>
    <w:rsid w:val="00C80EDB"/>
    <w:rsid w:val="00C90B4F"/>
    <w:rsid w:val="00CA3BFE"/>
    <w:rsid w:val="00CC1D54"/>
    <w:rsid w:val="00CE5FFF"/>
    <w:rsid w:val="00D07850"/>
    <w:rsid w:val="00D07915"/>
    <w:rsid w:val="00D14521"/>
    <w:rsid w:val="00D26D99"/>
    <w:rsid w:val="00D369BA"/>
    <w:rsid w:val="00D57900"/>
    <w:rsid w:val="00D64903"/>
    <w:rsid w:val="00D82940"/>
    <w:rsid w:val="00D8723A"/>
    <w:rsid w:val="00D935C4"/>
    <w:rsid w:val="00D94DF8"/>
    <w:rsid w:val="00D9682F"/>
    <w:rsid w:val="00DA57F8"/>
    <w:rsid w:val="00DA67E6"/>
    <w:rsid w:val="00DD092B"/>
    <w:rsid w:val="00DD10DF"/>
    <w:rsid w:val="00DF6E95"/>
    <w:rsid w:val="00E01D94"/>
    <w:rsid w:val="00E055D7"/>
    <w:rsid w:val="00E06200"/>
    <w:rsid w:val="00E16014"/>
    <w:rsid w:val="00E20EEC"/>
    <w:rsid w:val="00E31CD3"/>
    <w:rsid w:val="00E432C7"/>
    <w:rsid w:val="00E46AA6"/>
    <w:rsid w:val="00E6007E"/>
    <w:rsid w:val="00E71F30"/>
    <w:rsid w:val="00E96BE1"/>
    <w:rsid w:val="00EA2553"/>
    <w:rsid w:val="00EA695A"/>
    <w:rsid w:val="00EB5026"/>
    <w:rsid w:val="00EB72C1"/>
    <w:rsid w:val="00ED4BE3"/>
    <w:rsid w:val="00ED7A1A"/>
    <w:rsid w:val="00ED7B72"/>
    <w:rsid w:val="00EE07E0"/>
    <w:rsid w:val="00EE7365"/>
    <w:rsid w:val="00EE77E1"/>
    <w:rsid w:val="00EF3E63"/>
    <w:rsid w:val="00EF4331"/>
    <w:rsid w:val="00EF46AF"/>
    <w:rsid w:val="00F005B4"/>
    <w:rsid w:val="00F13299"/>
    <w:rsid w:val="00F150A0"/>
    <w:rsid w:val="00F2447E"/>
    <w:rsid w:val="00F26FA2"/>
    <w:rsid w:val="00F27D3B"/>
    <w:rsid w:val="00F44D88"/>
    <w:rsid w:val="00F541EB"/>
    <w:rsid w:val="00F77211"/>
    <w:rsid w:val="00FA3D0C"/>
    <w:rsid w:val="00FB0888"/>
    <w:rsid w:val="00FC6929"/>
    <w:rsid w:val="00FC6F1A"/>
    <w:rsid w:val="00FD2455"/>
    <w:rsid w:val="00FE5BE4"/>
    <w:rsid w:val="00FF2CC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9BA7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2627-1852-4445-B17F-10ADE8B1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2022-08-19T10:08:00Z</cp:lastPrinted>
  <dcterms:created xsi:type="dcterms:W3CDTF">2022-08-31T14:55:00Z</dcterms:created>
  <dcterms:modified xsi:type="dcterms:W3CDTF">2022-08-31T14:55:00Z</dcterms:modified>
</cp:coreProperties>
</file>