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E06E" w14:textId="77777777" w:rsidR="004D516C" w:rsidRDefault="00B3195D" w:rsidP="00564CA6">
      <w:r>
        <w:rPr>
          <w:noProof/>
        </w:rPr>
        <w:drawing>
          <wp:inline distT="0" distB="0" distL="0" distR="0" wp14:anchorId="493C452E" wp14:editId="2836DDA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EFBE45" w14:textId="77777777" w:rsidR="005C7FA1" w:rsidRDefault="005C7FA1" w:rsidP="00564CA6"/>
    <w:p w14:paraId="1B631C89" w14:textId="77777777" w:rsidR="00564CA6" w:rsidRPr="00B3195D" w:rsidRDefault="00B3195D"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B3195D">
        <w:rPr>
          <w:rFonts w:ascii="Times New Roman" w:hAnsi="Times New Roman" w:cs="Times New Roman"/>
          <w:noProof/>
        </w:rPr>
        <w:t>uz 11.04.2023.</w:t>
      </w:r>
    </w:p>
    <w:p w14:paraId="444A617A" w14:textId="77777777" w:rsidR="00564CA6" w:rsidRPr="00564CA6" w:rsidRDefault="00564CA6" w:rsidP="00564CA6">
      <w:pPr>
        <w:jc w:val="right"/>
        <w:rPr>
          <w:rFonts w:ascii="Times New Roman" w:hAnsi="Times New Roman" w:cs="Times New Roman"/>
          <w:noProof/>
          <w:color w:val="FF0000"/>
        </w:rPr>
      </w:pPr>
    </w:p>
    <w:p w14:paraId="748A5784" w14:textId="77777777" w:rsidR="00564CA6" w:rsidRPr="00B3195D" w:rsidRDefault="00B3195D"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w:t>
      </w:r>
      <w:r w:rsidRPr="00B3195D">
        <w:rPr>
          <w:rFonts w:ascii="Times New Roman" w:hAnsi="Times New Roman" w:cs="Times New Roman"/>
          <w:noProof/>
        </w:rPr>
        <w:t>izskatīšanai: FK – 19.04.2023.</w:t>
      </w:r>
    </w:p>
    <w:p w14:paraId="7A4C46C1" w14:textId="77777777" w:rsidR="00B3195D" w:rsidRPr="00B3195D" w:rsidRDefault="00B3195D" w:rsidP="00B3195D">
      <w:pPr>
        <w:jc w:val="right"/>
        <w:rPr>
          <w:rFonts w:ascii="Times New Roman" w:hAnsi="Times New Roman" w:cs="Times New Roman"/>
          <w:noProof/>
        </w:rPr>
      </w:pPr>
      <w:r w:rsidRPr="00B3195D">
        <w:rPr>
          <w:rFonts w:ascii="Times New Roman" w:hAnsi="Times New Roman" w:cs="Times New Roman"/>
          <w:noProof/>
        </w:rPr>
        <w:t>domē – 26.04.2023.</w:t>
      </w:r>
    </w:p>
    <w:p w14:paraId="5B435837" w14:textId="77777777" w:rsidR="00564CA6" w:rsidRPr="00B3195D" w:rsidRDefault="00B3195D" w:rsidP="00B3195D">
      <w:pPr>
        <w:jc w:val="right"/>
        <w:rPr>
          <w:rFonts w:ascii="Times New Roman" w:hAnsi="Times New Roman" w:cs="Times New Roman"/>
          <w:noProof/>
        </w:rPr>
      </w:pPr>
      <w:r w:rsidRPr="00B3195D">
        <w:rPr>
          <w:rFonts w:ascii="Times New Roman" w:hAnsi="Times New Roman" w:cs="Times New Roman"/>
          <w:noProof/>
        </w:rPr>
        <w:t>sagatavotājs un ziņotājs: Inga Pērkone</w:t>
      </w:r>
    </w:p>
    <w:p w14:paraId="419C2ACB" w14:textId="77777777" w:rsidR="00B3195D" w:rsidRPr="00B3195D" w:rsidRDefault="00B3195D" w:rsidP="00B3195D">
      <w:pPr>
        <w:jc w:val="right"/>
        <w:rPr>
          <w:rFonts w:ascii="Times New Roman" w:hAnsi="Times New Roman" w:cs="Times New Roman"/>
          <w:noProof/>
        </w:rPr>
      </w:pPr>
    </w:p>
    <w:p w14:paraId="1F228E68" w14:textId="77777777" w:rsidR="00564CA6" w:rsidRPr="00564CA6" w:rsidRDefault="00B3195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BBDEB66" w14:textId="77777777" w:rsidR="00564CA6" w:rsidRPr="00564CA6" w:rsidRDefault="00B3195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FFC63B3" w14:textId="77777777" w:rsidR="00564CA6" w:rsidRPr="00564CA6" w:rsidRDefault="00B3195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08993FB" w14:textId="77777777" w:rsidR="00564CA6" w:rsidRPr="00B3195D" w:rsidRDefault="00B3195D" w:rsidP="00564CA6">
      <w:pPr>
        <w:rPr>
          <w:rFonts w:ascii="Times New Roman" w:hAnsi="Times New Roman" w:cs="Times New Roman"/>
        </w:rPr>
      </w:pPr>
      <w:r w:rsidRPr="00B3195D">
        <w:rPr>
          <w:rFonts w:ascii="Times New Roman" w:hAnsi="Times New Roman" w:cs="Times New Roman"/>
        </w:rPr>
        <w:t>2023.gada 00.aprīlī</w:t>
      </w:r>
      <w:r w:rsidRPr="00B3195D">
        <w:rPr>
          <w:rFonts w:ascii="Times New Roman" w:hAnsi="Times New Roman" w:cs="Times New Roman"/>
        </w:rPr>
        <w:tab/>
      </w:r>
      <w:r w:rsidRPr="00B3195D">
        <w:rPr>
          <w:rFonts w:ascii="Times New Roman" w:hAnsi="Times New Roman" w:cs="Times New Roman"/>
        </w:rPr>
        <w:tab/>
      </w:r>
      <w:r w:rsidRPr="00B3195D">
        <w:rPr>
          <w:rFonts w:ascii="Times New Roman" w:hAnsi="Times New Roman" w:cs="Times New Roman"/>
        </w:rPr>
        <w:tab/>
      </w:r>
      <w:r w:rsidRPr="00B3195D">
        <w:rPr>
          <w:rFonts w:ascii="Times New Roman" w:hAnsi="Times New Roman" w:cs="Times New Roman"/>
        </w:rPr>
        <w:tab/>
      </w:r>
      <w:r w:rsidRPr="00B3195D">
        <w:rPr>
          <w:rFonts w:ascii="Times New Roman" w:hAnsi="Times New Roman" w:cs="Times New Roman"/>
        </w:rPr>
        <w:tab/>
      </w:r>
      <w:proofErr w:type="spellStart"/>
      <w:r w:rsidRPr="00B3195D">
        <w:rPr>
          <w:rFonts w:ascii="Times New Roman" w:hAnsi="Times New Roman" w:cs="Times New Roman"/>
          <w:b/>
        </w:rPr>
        <w:t>Nr</w:t>
      </w:r>
      <w:proofErr w:type="spellEnd"/>
      <w:r w:rsidRPr="00B3195D">
        <w:rPr>
          <w:rFonts w:ascii="Times New Roman" w:hAnsi="Times New Roman" w:cs="Times New Roman"/>
          <w:b/>
        </w:rPr>
        <w:t>.</w:t>
      </w:r>
      <w:r w:rsidRPr="00B3195D">
        <w:rPr>
          <w:rFonts w:ascii="Times New Roman" w:hAnsi="Times New Roman" w:cs="Times New Roman"/>
          <w:noProof/>
        </w:rPr>
        <w:fldChar w:fldCharType="begin"/>
      </w:r>
      <w:r w:rsidRPr="00B3195D">
        <w:rPr>
          <w:rFonts w:ascii="Times New Roman" w:hAnsi="Times New Roman" w:cs="Times New Roman"/>
          <w:noProof/>
        </w:rPr>
        <w:instrText>MERGEFIELD DOKREGNUMURS</w:instrText>
      </w:r>
      <w:r w:rsidRPr="00B3195D">
        <w:rPr>
          <w:rFonts w:ascii="Times New Roman" w:hAnsi="Times New Roman" w:cs="Times New Roman"/>
          <w:noProof/>
        </w:rPr>
        <w:fldChar w:fldCharType="separate"/>
      </w:r>
      <w:r w:rsidRPr="00B3195D">
        <w:rPr>
          <w:rFonts w:ascii="Times New Roman" w:hAnsi="Times New Roman" w:cs="Times New Roman"/>
          <w:noProof/>
        </w:rPr>
        <w:t>«DOKREGNUMURS»</w:t>
      </w:r>
      <w:r w:rsidRPr="00B3195D">
        <w:rPr>
          <w:rFonts w:ascii="Times New Roman" w:hAnsi="Times New Roman" w:cs="Times New Roman"/>
          <w:noProof/>
        </w:rPr>
        <w:fldChar w:fldCharType="end"/>
      </w:r>
      <w:r w:rsidRPr="00B3195D">
        <w:rPr>
          <w:rFonts w:ascii="Times New Roman" w:hAnsi="Times New Roman" w:cs="Times New Roman"/>
        </w:rPr>
        <w:tab/>
      </w:r>
    </w:p>
    <w:p w14:paraId="18FEE8BD" w14:textId="77777777" w:rsidR="00564CA6" w:rsidRPr="00564CA6" w:rsidRDefault="00564CA6" w:rsidP="00564CA6">
      <w:pPr>
        <w:rPr>
          <w:rFonts w:ascii="Times New Roman" w:hAnsi="Times New Roman" w:cs="Times New Roman"/>
          <w:b/>
        </w:rPr>
      </w:pPr>
    </w:p>
    <w:p w14:paraId="06336B5D" w14:textId="77777777" w:rsidR="00564CA6" w:rsidRPr="00564CA6" w:rsidRDefault="00564CA6" w:rsidP="00564CA6">
      <w:pPr>
        <w:rPr>
          <w:rFonts w:ascii="Times New Roman" w:hAnsi="Times New Roman" w:cs="Times New Roman"/>
        </w:rPr>
      </w:pPr>
    </w:p>
    <w:p w14:paraId="7DAA73F2" w14:textId="77777777" w:rsidR="00564CA6" w:rsidRPr="00B3195D" w:rsidRDefault="00B3195D" w:rsidP="00B3195D">
      <w:pPr>
        <w:jc w:val="center"/>
        <w:rPr>
          <w:rFonts w:ascii="Times New Roman" w:hAnsi="Times New Roman" w:cs="Times New Roman"/>
          <w:b/>
        </w:rPr>
      </w:pPr>
      <w:r w:rsidRPr="00564CA6">
        <w:rPr>
          <w:rFonts w:ascii="Times New Roman" w:hAnsi="Times New Roman" w:cs="Times New Roman"/>
          <w:b/>
        </w:rPr>
        <w:t xml:space="preserve">Par </w:t>
      </w:r>
      <w:r w:rsidRPr="00B3195D">
        <w:rPr>
          <w:rFonts w:ascii="Times New Roman" w:hAnsi="Times New Roman" w:cs="Times New Roman"/>
          <w:b/>
        </w:rPr>
        <w:t>Ādažu novada Attīstības programmas (2021-2027) Rīcības plāna un Investīciju plāna aktualizāciju</w:t>
      </w:r>
    </w:p>
    <w:p w14:paraId="0F2F0EB7" w14:textId="77777777" w:rsidR="00B3195D" w:rsidRPr="00564CA6" w:rsidRDefault="00B3195D" w:rsidP="00B3195D">
      <w:pPr>
        <w:jc w:val="center"/>
        <w:rPr>
          <w:rFonts w:ascii="Times New Roman" w:hAnsi="Times New Roman" w:cs="Times New Roman"/>
          <w:b/>
          <w:i/>
          <w:color w:val="FF0000"/>
        </w:rPr>
      </w:pPr>
    </w:p>
    <w:p w14:paraId="1B544971" w14:textId="77777777" w:rsidR="00B3195D" w:rsidRPr="00B3195D" w:rsidRDefault="00B3195D" w:rsidP="00B3195D">
      <w:pPr>
        <w:spacing w:before="120"/>
        <w:jc w:val="both"/>
        <w:rPr>
          <w:rFonts w:ascii="Times New Roman" w:hAnsi="Times New Roman" w:cs="Times New Roman"/>
        </w:rPr>
      </w:pPr>
      <w:r w:rsidRPr="00B3195D">
        <w:rPr>
          <w:rFonts w:ascii="Times New Roman" w:hAnsi="Times New Roman" w:cs="Times New Roman"/>
        </w:rPr>
        <w:t xml:space="preserve">No </w:t>
      </w:r>
      <w:r w:rsidRPr="00B3195D">
        <w:rPr>
          <w:rFonts w:ascii="Times New Roman" w:hAnsi="Times New Roman" w:cs="Times New Roman"/>
          <w:bCs/>
        </w:rPr>
        <w:t>Ādažu novada</w:t>
      </w:r>
      <w:r w:rsidRPr="00B3195D">
        <w:rPr>
          <w:rFonts w:ascii="Times New Roman" w:hAnsi="Times New Roman" w:cs="Times New Roman"/>
          <w:b/>
        </w:rPr>
        <w:t xml:space="preserve"> </w:t>
      </w:r>
      <w:r w:rsidRPr="00B3195D">
        <w:rPr>
          <w:rFonts w:ascii="Times New Roman" w:hAnsi="Times New Roman" w:cs="Times New Roman"/>
        </w:rPr>
        <w:t xml:space="preserve">Attīstības programmas (2021-2027) apstiprināšanas 27.07.2021., novadā ir notikušas būtiskas izmaiņas dažādās jomās, jo īpaši - izglītības un enerģētikas sektoros. 2022. gadā Ādažu novada pašvaldība uzsāka situācijas papildu izpēti, lai noskaidrotu aktuālo situāciju minētajās jomās un noteiktu ieteicamākos pasākumus to turpmākai attīstībai. </w:t>
      </w:r>
    </w:p>
    <w:p w14:paraId="0B92280E" w14:textId="77777777" w:rsidR="00B3195D" w:rsidRPr="00B3195D" w:rsidRDefault="00B3195D" w:rsidP="00B3195D">
      <w:pPr>
        <w:spacing w:before="120"/>
        <w:jc w:val="both"/>
        <w:rPr>
          <w:rFonts w:ascii="Times New Roman" w:hAnsi="Times New Roman" w:cs="Times New Roman"/>
        </w:rPr>
      </w:pPr>
      <w:r w:rsidRPr="00B3195D">
        <w:rPr>
          <w:rFonts w:ascii="Times New Roman" w:hAnsi="Times New Roman" w:cs="Times New Roman"/>
        </w:rPr>
        <w:t>Izvērtējot Attīstības programmas (2021-2027) Rīcības plānā un Investīciju plānā noteikto pasākumu izpildes rādītājus 2022.gadā, tika secināts, ka:</w:t>
      </w:r>
    </w:p>
    <w:p w14:paraId="011756D0" w14:textId="77777777" w:rsidR="00B3195D" w:rsidRPr="00B3195D" w:rsidRDefault="00B3195D" w:rsidP="00B3195D">
      <w:pPr>
        <w:pStyle w:val="ListParagraph"/>
        <w:numPr>
          <w:ilvl w:val="0"/>
          <w:numId w:val="3"/>
        </w:numPr>
        <w:spacing w:before="120"/>
        <w:jc w:val="both"/>
      </w:pPr>
      <w:r w:rsidRPr="00B3195D">
        <w:t>vairāki no pasākumiem netika vai tuvāko gadu laikā netiks īstenoti finansējuma vai cilvēkresursu kapacitātes nepietiekamības dēļ,</w:t>
      </w:r>
    </w:p>
    <w:p w14:paraId="776A261A" w14:textId="77777777" w:rsidR="00B3195D" w:rsidRPr="00B3195D" w:rsidRDefault="00B3195D" w:rsidP="00B3195D">
      <w:pPr>
        <w:pStyle w:val="ListParagraph"/>
        <w:numPr>
          <w:ilvl w:val="0"/>
          <w:numId w:val="3"/>
        </w:numPr>
        <w:spacing w:before="120"/>
        <w:jc w:val="both"/>
      </w:pPr>
      <w:r w:rsidRPr="00B3195D">
        <w:t>atsevišķi pasākumi šobrīd nav un līdz 2027.gadam nebūs aktuāli,</w:t>
      </w:r>
    </w:p>
    <w:p w14:paraId="3E44AAA8" w14:textId="77777777" w:rsidR="00B3195D" w:rsidRPr="00B3195D" w:rsidRDefault="00B3195D" w:rsidP="00B3195D">
      <w:pPr>
        <w:pStyle w:val="ListParagraph"/>
        <w:numPr>
          <w:ilvl w:val="0"/>
          <w:numId w:val="3"/>
        </w:numPr>
        <w:spacing w:before="120"/>
        <w:jc w:val="both"/>
      </w:pPr>
      <w:r w:rsidRPr="00B3195D">
        <w:t>dažiem pasākumiem jāprecizē atbildīgās personas,</w:t>
      </w:r>
    </w:p>
    <w:p w14:paraId="6B53D41B" w14:textId="77777777" w:rsidR="00B3195D" w:rsidRPr="00B3195D" w:rsidRDefault="00B3195D" w:rsidP="00B3195D">
      <w:pPr>
        <w:pStyle w:val="ListParagraph"/>
        <w:numPr>
          <w:ilvl w:val="0"/>
          <w:numId w:val="3"/>
        </w:numPr>
        <w:spacing w:before="120"/>
        <w:jc w:val="both"/>
      </w:pPr>
      <w:r w:rsidRPr="00B3195D">
        <w:t>Attīstības programma jāpapildina ar jauniem projektiem, kuri iepriekšējos gados nebija plānoti.</w:t>
      </w:r>
    </w:p>
    <w:p w14:paraId="09FD114A" w14:textId="77777777" w:rsidR="00B3195D" w:rsidRPr="00B3195D" w:rsidRDefault="00B3195D" w:rsidP="00B3195D">
      <w:pPr>
        <w:spacing w:before="120"/>
        <w:jc w:val="both"/>
        <w:rPr>
          <w:rFonts w:ascii="Times New Roman" w:hAnsi="Times New Roman" w:cs="Times New Roman"/>
        </w:rPr>
      </w:pPr>
      <w:r w:rsidRPr="00B3195D">
        <w:rPr>
          <w:rFonts w:ascii="Times New Roman" w:hAnsi="Times New Roman" w:cs="Times New Roman"/>
        </w:rPr>
        <w:t>Tāpēc gan Rīcības plānā, gan Investīciju plānā vairākiem pasākumiem aktualizēts to uzsākšanas un beigu termiņš, precizēta informācija par pasākuma rezultatīvajiem rādītājiem vai atbildīgajām personām, kā arī dokumentos nepieciešams ietvert jaunos pasākumus.</w:t>
      </w:r>
    </w:p>
    <w:p w14:paraId="4C8CF290" w14:textId="77777777" w:rsidR="00564CA6" w:rsidRPr="00B3195D" w:rsidRDefault="00B3195D" w:rsidP="00B3195D">
      <w:pPr>
        <w:spacing w:before="120"/>
        <w:jc w:val="both"/>
        <w:rPr>
          <w:rFonts w:ascii="Times New Roman" w:hAnsi="Times New Roman" w:cs="Times New Roman"/>
        </w:rPr>
      </w:pPr>
      <w:r w:rsidRPr="00B3195D">
        <w:rPr>
          <w:rFonts w:ascii="Times New Roman" w:hAnsi="Times New Roman" w:cs="Times New Roman"/>
        </w:rPr>
        <w:t>Pamatojoties uz Pašvaldību likuma 10. panta pirmās daļas 3. punktu, Attīstības plānošanas sistēmas likuma 6. panta ceturto daļu, Teritorijas attīstības plānošanas likuma 12. panta trešo daļu, Ministru kabineta 2014. gada 14. oktobra noteikumu Nr. 628 “Noteikumi par pašvaldību teritorijas attīstības plānošanas dokumentiem” 4., 22., 72. un 73. punktu, Ādažu novada pašvaldības domes 2021. gada 27. jūlija lēmumu Nr.17 “Par Ādažu novada Attīstības programmas 2021.-2027. gadam un Vides pārskata par Ādažu novada Ilgtspējīgas attīstības stratēģijas aktualizāciju un Attīstības programmu apstiprināšanu”, kā arī Finanšu komitejas 19.04.2023. atzinumu, Ādažu novada dome</w:t>
      </w:r>
    </w:p>
    <w:p w14:paraId="56425E5F" w14:textId="77777777" w:rsidR="00564CA6" w:rsidRPr="00564CA6" w:rsidRDefault="00B3195D" w:rsidP="00E0493A">
      <w:pPr>
        <w:spacing w:before="120"/>
        <w:jc w:val="center"/>
        <w:rPr>
          <w:rFonts w:ascii="Times New Roman" w:hAnsi="Times New Roman" w:cs="Times New Roman"/>
          <w:b/>
        </w:rPr>
      </w:pPr>
      <w:r w:rsidRPr="00564CA6">
        <w:rPr>
          <w:rFonts w:ascii="Times New Roman" w:hAnsi="Times New Roman" w:cs="Times New Roman"/>
          <w:b/>
        </w:rPr>
        <w:t>NOLEMJ:</w:t>
      </w:r>
    </w:p>
    <w:p w14:paraId="4B2B371B" w14:textId="77777777" w:rsidR="00B3195D" w:rsidRPr="00B3195D" w:rsidRDefault="00B3195D" w:rsidP="00B3195D">
      <w:pPr>
        <w:numPr>
          <w:ilvl w:val="0"/>
          <w:numId w:val="1"/>
        </w:numPr>
        <w:tabs>
          <w:tab w:val="left" w:pos="426"/>
        </w:tabs>
        <w:spacing w:before="120"/>
        <w:ind w:left="425" w:hanging="425"/>
        <w:jc w:val="both"/>
        <w:rPr>
          <w:rFonts w:ascii="Times New Roman" w:hAnsi="Times New Roman" w:cs="Times New Roman"/>
        </w:rPr>
      </w:pPr>
      <w:r w:rsidRPr="00B3195D">
        <w:rPr>
          <w:rFonts w:ascii="Times New Roman" w:hAnsi="Times New Roman" w:cs="Times New Roman"/>
        </w:rPr>
        <w:t>Apstiprināt Ādažu novada pašvaldības Attīstības programmas (2021-2027) aktualizēto Rīcības plānu (1.pielikums) un Investīciju plānu (2.pielikums).</w:t>
      </w:r>
    </w:p>
    <w:p w14:paraId="53EDE36B" w14:textId="77777777" w:rsidR="00B3195D" w:rsidRPr="00B3195D" w:rsidRDefault="00B3195D" w:rsidP="00B3195D">
      <w:pPr>
        <w:numPr>
          <w:ilvl w:val="0"/>
          <w:numId w:val="1"/>
        </w:numPr>
        <w:tabs>
          <w:tab w:val="left" w:pos="426"/>
        </w:tabs>
        <w:spacing w:before="120"/>
        <w:ind w:left="425" w:hanging="425"/>
        <w:jc w:val="both"/>
        <w:rPr>
          <w:rFonts w:ascii="Times New Roman" w:hAnsi="Times New Roman" w:cs="Times New Roman"/>
        </w:rPr>
      </w:pPr>
      <w:r w:rsidRPr="00B3195D">
        <w:rPr>
          <w:rFonts w:ascii="Times New Roman" w:hAnsi="Times New Roman" w:cs="Times New Roman"/>
        </w:rPr>
        <w:lastRenderedPageBreak/>
        <w:t xml:space="preserve">Sabiedrisko attiecību nodaļai veikt 1. punktā minēto dokumentu publicēšanu pašvaldības tīmekļvietnē </w:t>
      </w:r>
      <w:hyperlink r:id="rId8" w:history="1">
        <w:r w:rsidRPr="00B3195D">
          <w:rPr>
            <w:rStyle w:val="Hyperlink"/>
            <w:rFonts w:ascii="Times New Roman" w:hAnsi="Times New Roman" w:cs="Times New Roman"/>
            <w:color w:val="auto"/>
          </w:rPr>
          <w:t>www.adazunovads.lv</w:t>
        </w:r>
      </w:hyperlink>
      <w:r w:rsidRPr="00B3195D">
        <w:rPr>
          <w:rFonts w:ascii="Times New Roman" w:hAnsi="Times New Roman" w:cs="Times New Roman"/>
        </w:rPr>
        <w:t>.</w:t>
      </w:r>
    </w:p>
    <w:p w14:paraId="683A6D30" w14:textId="77777777" w:rsidR="00B3195D" w:rsidRPr="00B3195D" w:rsidRDefault="00B3195D" w:rsidP="00B3195D">
      <w:pPr>
        <w:numPr>
          <w:ilvl w:val="0"/>
          <w:numId w:val="1"/>
        </w:numPr>
        <w:tabs>
          <w:tab w:val="left" w:pos="426"/>
        </w:tabs>
        <w:spacing w:before="120"/>
        <w:ind w:left="425" w:hanging="425"/>
        <w:jc w:val="both"/>
        <w:rPr>
          <w:rFonts w:ascii="Times New Roman" w:hAnsi="Times New Roman" w:cs="Times New Roman"/>
        </w:rPr>
      </w:pPr>
      <w:r w:rsidRPr="00B3195D">
        <w:rPr>
          <w:rFonts w:ascii="Times New Roman" w:hAnsi="Times New Roman" w:cs="Times New Roman"/>
        </w:rPr>
        <w:t>Pašvaldības iestāžu un struktūrvienību vadītājiem organizēt aktualizētajos dokumentos noteikto uzdevumu izpildi.</w:t>
      </w:r>
    </w:p>
    <w:p w14:paraId="247BCB2B" w14:textId="77777777" w:rsidR="00564CA6" w:rsidRPr="00B3195D" w:rsidRDefault="00B3195D" w:rsidP="00B3195D">
      <w:pPr>
        <w:numPr>
          <w:ilvl w:val="0"/>
          <w:numId w:val="1"/>
        </w:numPr>
        <w:tabs>
          <w:tab w:val="left" w:pos="426"/>
        </w:tabs>
        <w:spacing w:before="120"/>
        <w:ind w:left="425" w:hanging="425"/>
        <w:jc w:val="both"/>
        <w:rPr>
          <w:rFonts w:ascii="Times New Roman" w:hAnsi="Times New Roman" w:cs="Times New Roman"/>
        </w:rPr>
      </w:pPr>
      <w:r w:rsidRPr="00B3195D">
        <w:rPr>
          <w:rFonts w:ascii="Times New Roman" w:hAnsi="Times New Roman" w:cs="Times New Roman"/>
        </w:rPr>
        <w:t>Lēmuma izpildes kontroli veikt Attīstības un investīciju nodaļai.</w:t>
      </w:r>
    </w:p>
    <w:p w14:paraId="3C2DE658"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47EAA0E0" w14:textId="77777777" w:rsidR="00564CA6" w:rsidRPr="00564CA6" w:rsidRDefault="00564CA6" w:rsidP="00564CA6">
      <w:pPr>
        <w:jc w:val="both"/>
        <w:rPr>
          <w:rFonts w:ascii="Times New Roman" w:hAnsi="Times New Roman" w:cs="Times New Roman"/>
        </w:rPr>
      </w:pPr>
    </w:p>
    <w:p w14:paraId="0F2A823A" w14:textId="77777777" w:rsidR="00564CA6" w:rsidRPr="00564CA6" w:rsidRDefault="00B3195D"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CD29E2B" w14:textId="77777777" w:rsidR="00564CA6" w:rsidRPr="00564CA6" w:rsidRDefault="00B3195D" w:rsidP="00564CA6">
      <w:pPr>
        <w:jc w:val="both"/>
        <w:rPr>
          <w:rFonts w:ascii="Times New Roman" w:hAnsi="Times New Roman" w:cs="Times New Roman"/>
        </w:rPr>
      </w:pPr>
      <w:r w:rsidRPr="00564CA6">
        <w:rPr>
          <w:rFonts w:ascii="Times New Roman" w:hAnsi="Times New Roman" w:cs="Times New Roman"/>
        </w:rPr>
        <w:t>__________________________</w:t>
      </w:r>
    </w:p>
    <w:p w14:paraId="670AD32D" w14:textId="77777777" w:rsidR="00B3195D" w:rsidRPr="00B3195D" w:rsidRDefault="00B3195D" w:rsidP="00B3195D">
      <w:pPr>
        <w:rPr>
          <w:rFonts w:ascii="Times New Roman" w:hAnsi="Times New Roman" w:cs="Times New Roman"/>
          <w:i/>
        </w:rPr>
      </w:pPr>
      <w:r w:rsidRPr="00B3195D">
        <w:rPr>
          <w:rFonts w:ascii="Times New Roman" w:hAnsi="Times New Roman" w:cs="Times New Roman"/>
          <w:i/>
        </w:rPr>
        <w:t>Noraksti</w:t>
      </w:r>
    </w:p>
    <w:p w14:paraId="2554536B" w14:textId="77777777" w:rsidR="00B3195D" w:rsidRPr="00B3195D" w:rsidRDefault="00B3195D" w:rsidP="00B3195D">
      <w:pPr>
        <w:rPr>
          <w:rFonts w:ascii="Times New Roman" w:hAnsi="Times New Roman" w:cs="Times New Roman"/>
          <w:i/>
        </w:rPr>
      </w:pPr>
      <w:r w:rsidRPr="00B3195D">
        <w:rPr>
          <w:rFonts w:ascii="Times New Roman" w:hAnsi="Times New Roman" w:cs="Times New Roman"/>
          <w:i/>
        </w:rPr>
        <w:t>APN – 1 eks., @</w:t>
      </w:r>
    </w:p>
    <w:p w14:paraId="2F110331" w14:textId="77777777" w:rsidR="00B3195D" w:rsidRPr="00B3195D" w:rsidRDefault="00B3195D" w:rsidP="00B3195D">
      <w:pPr>
        <w:jc w:val="both"/>
        <w:rPr>
          <w:rFonts w:ascii="Times New Roman" w:hAnsi="Times New Roman" w:cs="Times New Roman"/>
        </w:rPr>
      </w:pPr>
      <w:r w:rsidRPr="00B3195D">
        <w:rPr>
          <w:rFonts w:ascii="Times New Roman" w:hAnsi="Times New Roman" w:cs="Times New Roman"/>
          <w:i/>
          <w:iCs/>
          <w:noProof/>
        </w:rPr>
        <w:t>SAD – @</w:t>
      </w:r>
    </w:p>
    <w:p w14:paraId="3AB4480B" w14:textId="77777777" w:rsidR="00564CA6" w:rsidRPr="00B3195D" w:rsidRDefault="00564CA6" w:rsidP="00564CA6">
      <w:pPr>
        <w:jc w:val="both"/>
        <w:rPr>
          <w:rFonts w:ascii="Times New Roman" w:hAnsi="Times New Roman" w:cs="Times New Roman"/>
        </w:rPr>
      </w:pPr>
    </w:p>
    <w:p w14:paraId="313C8E49" w14:textId="77777777" w:rsidR="00564CA6" w:rsidRPr="00B3195D" w:rsidRDefault="00B3195D" w:rsidP="00564CA6">
      <w:pPr>
        <w:jc w:val="both"/>
        <w:rPr>
          <w:rFonts w:ascii="Times New Roman" w:eastAsia="Times New Roman" w:hAnsi="Times New Roman" w:cs="Times New Roman"/>
          <w:b/>
          <w:bCs/>
          <w:lang w:eastAsia="lv-LV"/>
        </w:rPr>
      </w:pPr>
      <w:proofErr w:type="spellStart"/>
      <w:r w:rsidRPr="00B3195D">
        <w:rPr>
          <w:rFonts w:ascii="Times New Roman" w:hAnsi="Times New Roman" w:cs="Times New Roman"/>
          <w:sz w:val="20"/>
          <w:szCs w:val="20"/>
        </w:rPr>
        <w:t>I.Pērkone</w:t>
      </w:r>
      <w:proofErr w:type="spellEnd"/>
      <w:r w:rsidRPr="00B3195D">
        <w:rPr>
          <w:rFonts w:ascii="Times New Roman" w:hAnsi="Times New Roman" w:cs="Times New Roman"/>
          <w:sz w:val="20"/>
          <w:szCs w:val="20"/>
        </w:rPr>
        <w:t xml:space="preserve">, </w:t>
      </w:r>
      <w:r w:rsidRPr="00B3195D">
        <w:rPr>
          <w:rFonts w:ascii="Times New Roman" w:hAnsi="Times New Roman" w:cs="Times New Roman"/>
          <w:sz w:val="20"/>
          <w:szCs w:val="20"/>
          <w:lang w:eastAsia="lv-LV"/>
        </w:rPr>
        <w:t>67996086; 67997300</w:t>
      </w:r>
    </w:p>
    <w:p w14:paraId="7B2B5A83" w14:textId="77777777" w:rsidR="00564CA6" w:rsidRPr="00B3195D" w:rsidRDefault="00564CA6" w:rsidP="00564CA6">
      <w:pPr>
        <w:rPr>
          <w:rFonts w:ascii="Times New Roman" w:hAnsi="Times New Roman" w:cs="Times New Roman"/>
        </w:rPr>
      </w:pPr>
    </w:p>
    <w:sectPr w:rsidR="00564CA6" w:rsidRPr="00B3195D"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CE28" w14:textId="77777777" w:rsidR="00371983" w:rsidRDefault="00371983">
      <w:r>
        <w:separator/>
      </w:r>
    </w:p>
  </w:endnote>
  <w:endnote w:type="continuationSeparator" w:id="0">
    <w:p w14:paraId="1243E9E5" w14:textId="77777777" w:rsidR="00371983" w:rsidRDefault="0037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81477"/>
      <w:docPartObj>
        <w:docPartGallery w:val="Page Numbers (Bottom of Page)"/>
        <w:docPartUnique/>
      </w:docPartObj>
    </w:sdtPr>
    <w:sdtEndPr>
      <w:rPr>
        <w:rFonts w:ascii="Times New Roman" w:hAnsi="Times New Roman" w:cs="Times New Roman"/>
        <w:noProof/>
      </w:rPr>
    </w:sdtEndPr>
    <w:sdtContent>
      <w:p w14:paraId="24963161" w14:textId="77777777" w:rsidR="005C7FA1" w:rsidRPr="005C7FA1" w:rsidRDefault="00B3195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0F113E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4848" w14:textId="77777777" w:rsidR="005C7FA1" w:rsidRPr="005C7FA1" w:rsidRDefault="005C7FA1">
    <w:pPr>
      <w:pStyle w:val="Footer"/>
      <w:jc w:val="right"/>
      <w:rPr>
        <w:rFonts w:ascii="Times New Roman" w:hAnsi="Times New Roman" w:cs="Times New Roman"/>
      </w:rPr>
    </w:pPr>
  </w:p>
  <w:p w14:paraId="3759E2C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1F41" w14:textId="77777777" w:rsidR="00371983" w:rsidRDefault="00371983">
      <w:r>
        <w:separator/>
      </w:r>
    </w:p>
  </w:footnote>
  <w:footnote w:type="continuationSeparator" w:id="0">
    <w:p w14:paraId="61CB09AD" w14:textId="77777777" w:rsidR="00371983" w:rsidRDefault="0037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8DE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89B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49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CEE82E4A">
      <w:start w:val="1"/>
      <w:numFmt w:val="decimal"/>
      <w:lvlText w:val="%1."/>
      <w:lvlJc w:val="left"/>
      <w:pPr>
        <w:ind w:left="720" w:hanging="360"/>
      </w:pPr>
      <w:rPr>
        <w:rFonts w:hint="default"/>
      </w:rPr>
    </w:lvl>
    <w:lvl w:ilvl="1" w:tplc="4C28F738" w:tentative="1">
      <w:start w:val="1"/>
      <w:numFmt w:val="lowerLetter"/>
      <w:lvlText w:val="%2."/>
      <w:lvlJc w:val="left"/>
      <w:pPr>
        <w:ind w:left="1440" w:hanging="360"/>
      </w:pPr>
    </w:lvl>
    <w:lvl w:ilvl="2" w:tplc="D7AC9D40" w:tentative="1">
      <w:start w:val="1"/>
      <w:numFmt w:val="lowerRoman"/>
      <w:lvlText w:val="%3."/>
      <w:lvlJc w:val="right"/>
      <w:pPr>
        <w:ind w:left="2160" w:hanging="180"/>
      </w:pPr>
    </w:lvl>
    <w:lvl w:ilvl="3" w:tplc="3F12019E" w:tentative="1">
      <w:start w:val="1"/>
      <w:numFmt w:val="decimal"/>
      <w:lvlText w:val="%4."/>
      <w:lvlJc w:val="left"/>
      <w:pPr>
        <w:ind w:left="2880" w:hanging="360"/>
      </w:pPr>
    </w:lvl>
    <w:lvl w:ilvl="4" w:tplc="4C9204D0" w:tentative="1">
      <w:start w:val="1"/>
      <w:numFmt w:val="lowerLetter"/>
      <w:lvlText w:val="%5."/>
      <w:lvlJc w:val="left"/>
      <w:pPr>
        <w:ind w:left="3600" w:hanging="360"/>
      </w:pPr>
    </w:lvl>
    <w:lvl w:ilvl="5" w:tplc="17DA8826" w:tentative="1">
      <w:start w:val="1"/>
      <w:numFmt w:val="lowerRoman"/>
      <w:lvlText w:val="%6."/>
      <w:lvlJc w:val="right"/>
      <w:pPr>
        <w:ind w:left="4320" w:hanging="180"/>
      </w:pPr>
    </w:lvl>
    <w:lvl w:ilvl="6" w:tplc="A3440390" w:tentative="1">
      <w:start w:val="1"/>
      <w:numFmt w:val="decimal"/>
      <w:lvlText w:val="%7."/>
      <w:lvlJc w:val="left"/>
      <w:pPr>
        <w:ind w:left="5040" w:hanging="360"/>
      </w:pPr>
    </w:lvl>
    <w:lvl w:ilvl="7" w:tplc="F70899F4" w:tentative="1">
      <w:start w:val="1"/>
      <w:numFmt w:val="lowerLetter"/>
      <w:lvlText w:val="%8."/>
      <w:lvlJc w:val="left"/>
      <w:pPr>
        <w:ind w:left="5760" w:hanging="360"/>
      </w:pPr>
    </w:lvl>
    <w:lvl w:ilvl="8" w:tplc="BC0E0942" w:tentative="1">
      <w:start w:val="1"/>
      <w:numFmt w:val="lowerRoman"/>
      <w:lvlText w:val="%9."/>
      <w:lvlJc w:val="right"/>
      <w:pPr>
        <w:ind w:left="6480" w:hanging="180"/>
      </w:pPr>
    </w:lvl>
  </w:abstractNum>
  <w:abstractNum w:abstractNumId="2" w15:restartNumberingAfterBreak="0">
    <w:nsid w:val="413140B5"/>
    <w:multiLevelType w:val="hybridMultilevel"/>
    <w:tmpl w:val="4CACD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529299115">
    <w:abstractNumId w:val="3"/>
  </w:num>
  <w:num w:numId="2" w16cid:durableId="676226194">
    <w:abstractNumId w:val="1"/>
  </w:num>
  <w:num w:numId="3" w16cid:durableId="1347826874">
    <w:abstractNumId w:val="2"/>
  </w:num>
  <w:num w:numId="4" w16cid:durableId="98501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371983"/>
    <w:rsid w:val="004D516C"/>
    <w:rsid w:val="0053073B"/>
    <w:rsid w:val="00543508"/>
    <w:rsid w:val="00564CA6"/>
    <w:rsid w:val="005C7FA1"/>
    <w:rsid w:val="00617AAC"/>
    <w:rsid w:val="00693F05"/>
    <w:rsid w:val="006D3451"/>
    <w:rsid w:val="0074092B"/>
    <w:rsid w:val="009139A1"/>
    <w:rsid w:val="00996740"/>
    <w:rsid w:val="00B3195D"/>
    <w:rsid w:val="00B36CD4"/>
    <w:rsid w:val="00BE03DF"/>
    <w:rsid w:val="00D17C82"/>
    <w:rsid w:val="00D86969"/>
    <w:rsid w:val="00E0493A"/>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330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3195D"/>
    <w:pPr>
      <w:ind w:left="720"/>
      <w:contextualSpacing/>
    </w:pPr>
    <w:rPr>
      <w:rFonts w:ascii="Times New Roman" w:eastAsia="Times New Roman" w:hAnsi="Times New Roman" w:cs="Times New Roman"/>
    </w:rPr>
  </w:style>
  <w:style w:type="character" w:styleId="Hyperlink">
    <w:name w:val="Hyperlink"/>
    <w:uiPriority w:val="99"/>
    <w:unhideWhenUsed/>
    <w:rsid w:val="00B319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2023-04-20T10:20:00Z</dcterms:created>
  <dcterms:modified xsi:type="dcterms:W3CDTF">2023-04-20T10:20:00Z</dcterms:modified>
</cp:coreProperties>
</file>