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7715C" w14:textId="77777777" w:rsidR="00FB6081" w:rsidRPr="005C0E26" w:rsidRDefault="00BA5F0F" w:rsidP="00FB6081">
      <w:pPr>
        <w:widowControl w:val="0"/>
        <w:rPr>
          <w:rFonts w:eastAsia="Calibri"/>
        </w:rPr>
      </w:pPr>
      <w:r w:rsidRPr="005C0E26">
        <w:rPr>
          <w:rFonts w:ascii="Calibri" w:eastAsia="Calibri" w:hAnsi="Calibri"/>
          <w:noProof/>
          <w:sz w:val="22"/>
          <w:szCs w:val="22"/>
          <w:lang w:eastAsia="lv-LV"/>
        </w:rPr>
        <w:drawing>
          <wp:anchor distT="0" distB="0" distL="114300" distR="114300" simplePos="0" relativeHeight="251658240" behindDoc="1" locked="0" layoutInCell="1" allowOverlap="1" wp14:anchorId="7F2D37B2" wp14:editId="04BEAF97">
            <wp:simplePos x="0" y="0"/>
            <wp:positionH relativeFrom="margin">
              <wp:posOffset>2646045</wp:posOffset>
            </wp:positionH>
            <wp:positionV relativeFrom="paragraph">
              <wp:posOffset>0</wp:posOffset>
            </wp:positionV>
            <wp:extent cx="439420" cy="664210"/>
            <wp:effectExtent l="0" t="0" r="0" b="2540"/>
            <wp:wrapThrough wrapText="bothSides">
              <wp:wrapPolygon edited="0">
                <wp:start x="0" y="0"/>
                <wp:lineTo x="0" y="21063"/>
                <wp:lineTo x="20601" y="21063"/>
                <wp:lineTo x="20601"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942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4C53F" w14:textId="77777777" w:rsidR="00FB6081" w:rsidRPr="005C0E26" w:rsidRDefault="00FB6081" w:rsidP="00FB6081">
      <w:pPr>
        <w:widowControl w:val="0"/>
        <w:rPr>
          <w:rFonts w:eastAsia="Calibri"/>
        </w:rPr>
      </w:pPr>
    </w:p>
    <w:p w14:paraId="53AFBECD" w14:textId="77777777" w:rsidR="00FB6081" w:rsidRPr="005C0E26" w:rsidRDefault="00FB6081" w:rsidP="00FB6081">
      <w:pPr>
        <w:widowControl w:val="0"/>
        <w:rPr>
          <w:rFonts w:eastAsia="Calibri"/>
        </w:rPr>
      </w:pPr>
    </w:p>
    <w:p w14:paraId="1837B22A" w14:textId="77777777" w:rsidR="00FB6081" w:rsidRPr="005C0E26" w:rsidRDefault="00FB6081" w:rsidP="00FB6081">
      <w:pPr>
        <w:widowControl w:val="0"/>
        <w:rPr>
          <w:rFonts w:eastAsia="Calibri"/>
        </w:rPr>
      </w:pPr>
    </w:p>
    <w:p w14:paraId="2BBABA1E" w14:textId="77777777" w:rsidR="00FB6081" w:rsidRPr="005C0E26" w:rsidRDefault="00BA5F0F" w:rsidP="00FB6081">
      <w:pPr>
        <w:widowControl w:val="0"/>
        <w:jc w:val="center"/>
        <w:rPr>
          <w:rFonts w:ascii="Arial" w:eastAsia="Calibri" w:hAnsi="Arial" w:cs="Arial"/>
          <w:b/>
          <w:bCs/>
          <w:sz w:val="28"/>
          <w:szCs w:val="28"/>
        </w:rPr>
      </w:pPr>
      <w:r w:rsidRPr="005C0E26">
        <w:rPr>
          <w:rFonts w:ascii="Arial" w:eastAsia="Calibri" w:hAnsi="Arial" w:cs="Arial"/>
          <w:b/>
          <w:bCs/>
          <w:sz w:val="28"/>
          <w:szCs w:val="28"/>
        </w:rPr>
        <w:t>Ādažu novada pašvaldība</w:t>
      </w:r>
    </w:p>
    <w:p w14:paraId="3582E7F7" w14:textId="77777777" w:rsidR="00FB6081" w:rsidRPr="005C0E26" w:rsidRDefault="00BA5F0F" w:rsidP="00FB6081">
      <w:pPr>
        <w:widowControl w:val="0"/>
        <w:jc w:val="center"/>
        <w:rPr>
          <w:rFonts w:eastAsia="Calibri"/>
          <w:sz w:val="12"/>
          <w:szCs w:val="12"/>
        </w:rPr>
      </w:pPr>
      <w:r w:rsidRPr="005C0E26">
        <w:rPr>
          <w:rFonts w:eastAsia="Calibri"/>
          <w:sz w:val="12"/>
          <w:szCs w:val="12"/>
        </w:rPr>
        <w:t>______________________________________________________________________________________________________________________________________________________</w:t>
      </w:r>
    </w:p>
    <w:p w14:paraId="7A09CB1D" w14:textId="77777777" w:rsidR="00FB6081" w:rsidRPr="005C0E26" w:rsidRDefault="00BA5F0F" w:rsidP="00FB6081">
      <w:pPr>
        <w:widowControl w:val="0"/>
        <w:spacing w:before="120"/>
        <w:jc w:val="center"/>
        <w:rPr>
          <w:rFonts w:ascii="Arial" w:eastAsia="Calibri" w:hAnsi="Arial" w:cs="Arial"/>
          <w:noProof/>
          <w:sz w:val="20"/>
          <w:szCs w:val="20"/>
        </w:rPr>
      </w:pPr>
      <w:r w:rsidRPr="005C0E26">
        <w:rPr>
          <w:rFonts w:ascii="Arial" w:eastAsia="Calibri" w:hAnsi="Arial" w:cs="Arial"/>
          <w:noProof/>
          <w:sz w:val="20"/>
          <w:szCs w:val="20"/>
        </w:rPr>
        <w:t>Gaujas iela 33A, Ādaži, Ādažu pag., Ādažu novads, LV-2164, tālr. 67997350, e-pasts dome@adazi.lv</w:t>
      </w:r>
    </w:p>
    <w:p w14:paraId="64C21650" w14:textId="77777777" w:rsidR="00FB6081" w:rsidRPr="005C0E26" w:rsidRDefault="00FB6081" w:rsidP="00FB6081">
      <w:pPr>
        <w:jc w:val="center"/>
        <w:rPr>
          <w:rFonts w:ascii="Arial" w:eastAsia="Calibri" w:hAnsi="Arial" w:cs="Arial"/>
          <w:sz w:val="20"/>
          <w:szCs w:val="20"/>
        </w:rPr>
      </w:pPr>
    </w:p>
    <w:p w14:paraId="2B0E14A7" w14:textId="50F56079" w:rsidR="00F55E63" w:rsidRDefault="00F55E63" w:rsidP="00BA5F0F">
      <w:pPr>
        <w:ind w:left="5385" w:firstLine="279"/>
        <w:jc w:val="right"/>
        <w:rPr>
          <w:bCs/>
        </w:rPr>
      </w:pPr>
      <w:bookmarkStart w:id="0" w:name="_Hlk86306296"/>
      <w:r>
        <w:rPr>
          <w:bCs/>
        </w:rPr>
        <w:t xml:space="preserve">PROJEKTS uz </w:t>
      </w:r>
      <w:r w:rsidR="00EF3B4C">
        <w:rPr>
          <w:bCs/>
        </w:rPr>
        <w:t>9</w:t>
      </w:r>
      <w:bookmarkStart w:id="1" w:name="_GoBack"/>
      <w:bookmarkEnd w:id="1"/>
      <w:r w:rsidR="00EF3B4C">
        <w:rPr>
          <w:bCs/>
        </w:rPr>
        <w:t>.12.2021</w:t>
      </w:r>
    </w:p>
    <w:p w14:paraId="3908892F" w14:textId="68ED3763" w:rsidR="00F55E63" w:rsidRDefault="00F55E63" w:rsidP="00F55E63">
      <w:pPr>
        <w:jc w:val="right"/>
        <w:rPr>
          <w:bCs/>
        </w:rPr>
      </w:pPr>
      <w:r>
        <w:rPr>
          <w:bCs/>
        </w:rPr>
        <w:t xml:space="preserve">Vēlamais izskatīšanas laiks </w:t>
      </w:r>
      <w:r w:rsidR="00EF3B4C" w:rsidRPr="00EF3B4C">
        <w:rPr>
          <w:bCs/>
        </w:rPr>
        <w:t>finanšu komitejā 15.12.2021</w:t>
      </w:r>
    </w:p>
    <w:p w14:paraId="7EE99C96" w14:textId="657F7332" w:rsidR="00F55E63" w:rsidRDefault="00F55E63" w:rsidP="00EF3B4C">
      <w:pPr>
        <w:jc w:val="right"/>
        <w:rPr>
          <w:bCs/>
        </w:rPr>
      </w:pPr>
      <w:r>
        <w:rPr>
          <w:bCs/>
        </w:rPr>
        <w:t xml:space="preserve">Sagatavotājs un ziņotājs: </w:t>
      </w:r>
      <w:r w:rsidR="00EF3B4C">
        <w:rPr>
          <w:bCs/>
        </w:rPr>
        <w:t>Jānis Tiļčiks</w:t>
      </w:r>
    </w:p>
    <w:p w14:paraId="51FE2BF7" w14:textId="77777777" w:rsidR="00F55E63" w:rsidRDefault="00F55E63" w:rsidP="00BA5F0F">
      <w:pPr>
        <w:ind w:left="5385" w:firstLine="279"/>
        <w:jc w:val="right"/>
        <w:rPr>
          <w:bCs/>
        </w:rPr>
      </w:pPr>
    </w:p>
    <w:p w14:paraId="04DEE1CB" w14:textId="31BA4537" w:rsidR="00BA5F0F" w:rsidRPr="00A842C7" w:rsidRDefault="00BA5F0F" w:rsidP="00BA5F0F">
      <w:pPr>
        <w:ind w:left="5385" w:firstLine="279"/>
        <w:jc w:val="right"/>
        <w:rPr>
          <w:bCs/>
        </w:rPr>
      </w:pPr>
      <w:r>
        <w:rPr>
          <w:bCs/>
        </w:rPr>
        <w:t>APSTIPRINĀTI</w:t>
      </w:r>
    </w:p>
    <w:p w14:paraId="7588DD58" w14:textId="3479A3FC" w:rsidR="00BA5F0F" w:rsidRPr="00A842C7" w:rsidRDefault="00BA5F0F" w:rsidP="00BA5F0F">
      <w:pPr>
        <w:ind w:left="5385"/>
        <w:jc w:val="both"/>
        <w:rPr>
          <w:bCs/>
        </w:rPr>
      </w:pPr>
      <w:r w:rsidRPr="00A842C7">
        <w:rPr>
          <w:bCs/>
        </w:rPr>
        <w:t xml:space="preserve">ar Ādažu novada pašvaldības domes </w:t>
      </w:r>
      <w:r w:rsidR="00413CB5">
        <w:rPr>
          <w:noProof/>
        </w:rPr>
        <w:t>2021.</w:t>
      </w:r>
      <w:r w:rsidRPr="00A842C7">
        <w:rPr>
          <w:noProof/>
        </w:rPr>
        <w:t xml:space="preserve">gada </w:t>
      </w:r>
      <w:r w:rsidR="00413CB5">
        <w:rPr>
          <w:noProof/>
        </w:rPr>
        <w:t>22.dec</w:t>
      </w:r>
      <w:r w:rsidR="000F1703">
        <w:rPr>
          <w:noProof/>
        </w:rPr>
        <w:t>embra</w:t>
      </w:r>
      <w:r w:rsidRPr="00A842C7">
        <w:rPr>
          <w:bCs/>
        </w:rPr>
        <w:t xml:space="preserve"> sēdes lēmumu (</w:t>
      </w:r>
      <w:r w:rsidR="00413CB5">
        <w:t xml:space="preserve">protokols </w:t>
      </w:r>
      <w:proofErr w:type="spellStart"/>
      <w:r w:rsidR="00413CB5">
        <w:t>Nr.XX</w:t>
      </w:r>
      <w:r w:rsidRPr="004C218E">
        <w:t>§</w:t>
      </w:r>
      <w:r w:rsidR="00413CB5">
        <w:t>X</w:t>
      </w:r>
      <w:proofErr w:type="spellEnd"/>
      <w:r w:rsidRPr="00A842C7">
        <w:rPr>
          <w:bCs/>
        </w:rPr>
        <w:t xml:space="preserve">) </w:t>
      </w:r>
    </w:p>
    <w:bookmarkEnd w:id="0"/>
    <w:p w14:paraId="1EA06671" w14:textId="77777777" w:rsidR="00FB6081" w:rsidRPr="00F50B8B" w:rsidRDefault="00FB6081" w:rsidP="00FB6081">
      <w:pPr>
        <w:shd w:val="clear" w:color="auto" w:fill="FFFFFF"/>
        <w:spacing w:after="120"/>
        <w:jc w:val="both"/>
        <w:rPr>
          <w:rFonts w:eastAsia="Calibri"/>
          <w:sz w:val="28"/>
          <w:szCs w:val="28"/>
          <w:lang w:bidi="en-US"/>
        </w:rPr>
      </w:pPr>
    </w:p>
    <w:p w14:paraId="0A86BF11" w14:textId="77777777" w:rsidR="00FB6081" w:rsidRPr="00F50B8B" w:rsidRDefault="00BA5F0F" w:rsidP="00FB6081">
      <w:pPr>
        <w:autoSpaceDE w:val="0"/>
        <w:autoSpaceDN w:val="0"/>
        <w:adjustRightInd w:val="0"/>
        <w:jc w:val="center"/>
        <w:rPr>
          <w:color w:val="000000"/>
          <w:sz w:val="28"/>
          <w:szCs w:val="28"/>
          <w:lang w:eastAsia="lv-LV"/>
        </w:rPr>
      </w:pPr>
      <w:r w:rsidRPr="00F50B8B">
        <w:rPr>
          <w:color w:val="000000"/>
          <w:sz w:val="28"/>
          <w:szCs w:val="28"/>
          <w:lang w:eastAsia="lv-LV"/>
        </w:rPr>
        <w:t>SAISTOŠIE NOTEIKUMI</w:t>
      </w:r>
    </w:p>
    <w:p w14:paraId="6E5CA3A0" w14:textId="77777777" w:rsidR="00FB6081" w:rsidRPr="00F50B8B" w:rsidRDefault="00BA5F0F" w:rsidP="00FB6081">
      <w:pPr>
        <w:autoSpaceDE w:val="0"/>
        <w:autoSpaceDN w:val="0"/>
        <w:adjustRightInd w:val="0"/>
        <w:jc w:val="center"/>
        <w:rPr>
          <w:lang w:eastAsia="lv-LV"/>
        </w:rPr>
      </w:pPr>
      <w:r w:rsidRPr="00F50B8B">
        <w:rPr>
          <w:lang w:eastAsia="lv-LV"/>
        </w:rPr>
        <w:t>Ādažos, Ādažu novadā</w:t>
      </w:r>
    </w:p>
    <w:p w14:paraId="72FE10A8" w14:textId="77777777" w:rsidR="00FB6081" w:rsidRPr="00F50B8B" w:rsidRDefault="00FB6081" w:rsidP="00FB6081">
      <w:pPr>
        <w:autoSpaceDE w:val="0"/>
        <w:autoSpaceDN w:val="0"/>
        <w:adjustRightInd w:val="0"/>
        <w:rPr>
          <w:color w:val="000000"/>
          <w:lang w:eastAsia="lv-LV"/>
        </w:rPr>
      </w:pPr>
    </w:p>
    <w:p w14:paraId="17D1EDA7" w14:textId="44C7C76E" w:rsidR="00FB6081" w:rsidRPr="00F50B8B" w:rsidRDefault="00BA5F0F" w:rsidP="00FB6081">
      <w:pPr>
        <w:autoSpaceDE w:val="0"/>
        <w:autoSpaceDN w:val="0"/>
        <w:adjustRightInd w:val="0"/>
        <w:rPr>
          <w:color w:val="000000"/>
          <w:lang w:eastAsia="lv-LV"/>
        </w:rPr>
      </w:pPr>
      <w:r w:rsidRPr="00F50B8B">
        <w:rPr>
          <w:color w:val="000000"/>
          <w:lang w:eastAsia="lv-LV"/>
        </w:rPr>
        <w:t>2021. gada</w:t>
      </w:r>
      <w:r>
        <w:rPr>
          <w:color w:val="000000"/>
          <w:lang w:eastAsia="lv-LV"/>
        </w:rPr>
        <w:t xml:space="preserve"> </w:t>
      </w:r>
      <w:r w:rsidR="00E543BE">
        <w:rPr>
          <w:color w:val="000000"/>
          <w:lang w:eastAsia="lv-LV"/>
        </w:rPr>
        <w:t>22</w:t>
      </w:r>
      <w:r>
        <w:rPr>
          <w:color w:val="000000"/>
          <w:lang w:eastAsia="lv-LV"/>
        </w:rPr>
        <w:t xml:space="preserve">. </w:t>
      </w:r>
      <w:r w:rsidR="00413CB5">
        <w:rPr>
          <w:color w:val="000000"/>
          <w:lang w:eastAsia="lv-LV"/>
        </w:rPr>
        <w:t>dece</w:t>
      </w:r>
      <w:r w:rsidR="00A72156">
        <w:rPr>
          <w:color w:val="000000"/>
          <w:lang w:eastAsia="lv-LV"/>
        </w:rPr>
        <w:t>mbr</w:t>
      </w:r>
      <w:r>
        <w:rPr>
          <w:color w:val="000000"/>
          <w:lang w:eastAsia="lv-LV"/>
        </w:rPr>
        <w:t>ī</w:t>
      </w:r>
      <w:r w:rsidRPr="00F50B8B">
        <w:rPr>
          <w:color w:val="000000"/>
          <w:lang w:eastAsia="lv-LV"/>
        </w:rPr>
        <w:tab/>
      </w:r>
      <w:r w:rsidRPr="00F50B8B">
        <w:rPr>
          <w:color w:val="000000"/>
          <w:lang w:eastAsia="lv-LV"/>
        </w:rPr>
        <w:tab/>
      </w:r>
      <w:r w:rsidRPr="00F50B8B">
        <w:rPr>
          <w:color w:val="000000"/>
          <w:lang w:eastAsia="lv-LV"/>
        </w:rPr>
        <w:tab/>
      </w:r>
      <w:r w:rsidRPr="00F50B8B">
        <w:rPr>
          <w:color w:val="000000"/>
          <w:lang w:eastAsia="lv-LV"/>
        </w:rPr>
        <w:tab/>
      </w:r>
      <w:r>
        <w:rPr>
          <w:color w:val="000000"/>
          <w:lang w:eastAsia="lv-LV"/>
        </w:rPr>
        <w:t xml:space="preserve"> </w:t>
      </w:r>
      <w:r>
        <w:rPr>
          <w:color w:val="000000"/>
          <w:lang w:eastAsia="lv-LV"/>
        </w:rPr>
        <w:tab/>
      </w:r>
      <w:r>
        <w:rPr>
          <w:color w:val="000000"/>
          <w:lang w:eastAsia="lv-LV"/>
        </w:rPr>
        <w:tab/>
      </w:r>
      <w:r>
        <w:rPr>
          <w:color w:val="000000"/>
          <w:lang w:eastAsia="lv-LV"/>
        </w:rPr>
        <w:tab/>
      </w:r>
      <w:r w:rsidRPr="00BA5F0F">
        <w:rPr>
          <w:b/>
          <w:color w:val="000000"/>
          <w:lang w:eastAsia="lv-LV"/>
        </w:rPr>
        <w:t>Nr.</w:t>
      </w:r>
      <w:r w:rsidR="00403663">
        <w:rPr>
          <w:b/>
          <w:color w:val="000000"/>
          <w:lang w:eastAsia="lv-LV"/>
        </w:rPr>
        <w:t xml:space="preserve"> </w:t>
      </w:r>
      <w:r w:rsidR="00413CB5">
        <w:rPr>
          <w:b/>
          <w:color w:val="000000"/>
          <w:lang w:eastAsia="lv-LV"/>
        </w:rPr>
        <w:t>XX/</w:t>
      </w:r>
      <w:r>
        <w:rPr>
          <w:b/>
          <w:noProof/>
          <w:color w:val="000000"/>
          <w:lang w:eastAsia="lv-LV"/>
        </w:rPr>
        <w:t>2021</w:t>
      </w:r>
    </w:p>
    <w:p w14:paraId="6B96D371" w14:textId="77777777" w:rsidR="00FB6081" w:rsidRPr="00F50B8B" w:rsidRDefault="00FB6081" w:rsidP="00FB6081">
      <w:pPr>
        <w:autoSpaceDE w:val="0"/>
        <w:autoSpaceDN w:val="0"/>
        <w:adjustRightInd w:val="0"/>
        <w:rPr>
          <w:color w:val="FF0000"/>
          <w:lang w:eastAsia="lv-LV"/>
        </w:rPr>
      </w:pPr>
    </w:p>
    <w:p w14:paraId="59E7DB86" w14:textId="011D6B7B" w:rsidR="00413CB5" w:rsidRDefault="00BA5F0F" w:rsidP="00413CB5">
      <w:pPr>
        <w:pStyle w:val="Nosaukums"/>
      </w:pPr>
      <w:r w:rsidRPr="00F50B8B">
        <w:t xml:space="preserve">Par </w:t>
      </w:r>
      <w:r w:rsidR="00413CB5">
        <w:t xml:space="preserve">augstas detalizācijas topogrāfiskās </w:t>
      </w:r>
      <w:r w:rsidR="00413CB5">
        <w:rPr>
          <w:spacing w:val="-67"/>
        </w:rPr>
        <w:t xml:space="preserve"> </w:t>
      </w:r>
      <w:r w:rsidR="00413CB5">
        <w:t>informācijas un citas ģeotelpiskās informācijas aprites kārtību</w:t>
      </w:r>
    </w:p>
    <w:p w14:paraId="23D74DA4" w14:textId="60B10D12" w:rsidR="008E4806" w:rsidRPr="00F50B8B" w:rsidRDefault="00BA5F0F" w:rsidP="00EF3B4C">
      <w:pPr>
        <w:autoSpaceDE w:val="0"/>
        <w:autoSpaceDN w:val="0"/>
        <w:adjustRightInd w:val="0"/>
        <w:spacing w:before="120" w:after="120"/>
        <w:ind w:left="5041"/>
        <w:jc w:val="both"/>
        <w:rPr>
          <w:i/>
          <w:lang w:eastAsia="lv-LV"/>
        </w:rPr>
      </w:pPr>
      <w:r w:rsidRPr="00F50B8B">
        <w:rPr>
          <w:i/>
          <w:lang w:eastAsia="lv-LV"/>
        </w:rPr>
        <w:t xml:space="preserve">Izdoti </w:t>
      </w:r>
      <w:r w:rsidR="00413CB5" w:rsidRPr="00413CB5">
        <w:rPr>
          <w:i/>
          <w:lang w:eastAsia="lv-LV"/>
        </w:rPr>
        <w:t>saskaņā ar Ģeotelpiskās informācijas likuma</w:t>
      </w:r>
      <w:r w:rsidR="00413CB5">
        <w:rPr>
          <w:i/>
          <w:lang w:eastAsia="lv-LV"/>
        </w:rPr>
        <w:t xml:space="preserve"> </w:t>
      </w:r>
      <w:r w:rsidR="00413CB5" w:rsidRPr="00413CB5">
        <w:rPr>
          <w:i/>
          <w:lang w:eastAsia="lv-LV"/>
        </w:rPr>
        <w:t>13. panta sesto daļu un 26. panta trešo daļu,</w:t>
      </w:r>
      <w:r w:rsidR="00413CB5">
        <w:rPr>
          <w:i/>
          <w:lang w:eastAsia="lv-LV"/>
        </w:rPr>
        <w:t xml:space="preserve"> </w:t>
      </w:r>
      <w:r w:rsidR="00413CB5" w:rsidRPr="00413CB5">
        <w:rPr>
          <w:i/>
          <w:lang w:eastAsia="lv-LV"/>
        </w:rPr>
        <w:t>Ministru kabineta 2012. gada 24. aprīļa noteikumu Nr. 281</w:t>
      </w:r>
      <w:r w:rsidR="00413CB5">
        <w:rPr>
          <w:i/>
          <w:lang w:eastAsia="lv-LV"/>
        </w:rPr>
        <w:t xml:space="preserve"> </w:t>
      </w:r>
      <w:r w:rsidR="00413CB5" w:rsidRPr="00413CB5">
        <w:rPr>
          <w:i/>
          <w:lang w:eastAsia="lv-LV"/>
        </w:rPr>
        <w:t>"Augstas detalizācijas topogrāfiskās informācijas</w:t>
      </w:r>
      <w:r w:rsidR="00413CB5">
        <w:rPr>
          <w:i/>
          <w:lang w:eastAsia="lv-LV"/>
        </w:rPr>
        <w:t xml:space="preserve"> </w:t>
      </w:r>
      <w:r w:rsidR="00413CB5" w:rsidRPr="00413CB5">
        <w:rPr>
          <w:i/>
          <w:lang w:eastAsia="lv-LV"/>
        </w:rPr>
        <w:t xml:space="preserve">un tās centrālās datubāzes </w:t>
      </w:r>
      <w:r w:rsidR="00413CB5">
        <w:rPr>
          <w:i/>
          <w:lang w:eastAsia="lv-LV"/>
        </w:rPr>
        <w:t>n</w:t>
      </w:r>
      <w:r w:rsidR="00413CB5" w:rsidRPr="00413CB5">
        <w:rPr>
          <w:i/>
          <w:lang w:eastAsia="lv-LV"/>
        </w:rPr>
        <w:t>oteikumi" </w:t>
      </w:r>
      <w:hyperlink r:id="rId9" w:anchor="p69" w:tgtFrame="_blank" w:history="1">
        <w:r w:rsidR="00413CB5" w:rsidRPr="00413CB5">
          <w:rPr>
            <w:i/>
            <w:lang w:eastAsia="lv-LV"/>
          </w:rPr>
          <w:t>69. </w:t>
        </w:r>
      </w:hyperlink>
      <w:r w:rsidR="00413CB5" w:rsidRPr="00413CB5">
        <w:rPr>
          <w:i/>
          <w:lang w:eastAsia="lv-LV"/>
        </w:rPr>
        <w:t>un 79. punktu</w:t>
      </w:r>
    </w:p>
    <w:p w14:paraId="13D91F3B" w14:textId="77777777" w:rsidR="007633D6" w:rsidRPr="007633D6" w:rsidRDefault="007633D6" w:rsidP="007633D6">
      <w:pPr>
        <w:pStyle w:val="Sarakstarindkopa"/>
        <w:ind w:left="360"/>
        <w:jc w:val="center"/>
        <w:rPr>
          <w:b/>
          <w:bCs/>
        </w:rPr>
      </w:pPr>
      <w:r w:rsidRPr="007633D6">
        <w:rPr>
          <w:b/>
          <w:bCs/>
        </w:rPr>
        <w:t>I. Vispārīgie jautājumi</w:t>
      </w:r>
    </w:p>
    <w:p w14:paraId="59F7CEF3" w14:textId="3F3A8EF8" w:rsidR="007633D6" w:rsidRDefault="007633D6" w:rsidP="00D35A90">
      <w:pPr>
        <w:pStyle w:val="Sarakstarindkopa"/>
        <w:numPr>
          <w:ilvl w:val="0"/>
          <w:numId w:val="4"/>
        </w:numPr>
        <w:spacing w:before="120"/>
        <w:ind w:left="426" w:hanging="426"/>
        <w:contextualSpacing w:val="0"/>
        <w:jc w:val="both"/>
        <w:rPr>
          <w:rFonts w:eastAsiaTheme="minorHAnsi"/>
          <w:color w:val="000000"/>
        </w:rPr>
      </w:pPr>
      <w:r w:rsidRPr="007633D6">
        <w:rPr>
          <w:rFonts w:eastAsiaTheme="minorHAnsi"/>
          <w:color w:val="000000"/>
        </w:rPr>
        <w:t>Saistošie noteikumi nosaka</w:t>
      </w:r>
      <w:r w:rsidR="00E543BE">
        <w:rPr>
          <w:rFonts w:eastAsiaTheme="minorHAnsi"/>
          <w:color w:val="000000"/>
        </w:rPr>
        <w:t>:</w:t>
      </w:r>
    </w:p>
    <w:p w14:paraId="68683FFE" w14:textId="034F5F02" w:rsidR="007633D6" w:rsidRDefault="007633D6" w:rsidP="00EF3B4C">
      <w:pPr>
        <w:pStyle w:val="Sarakstarindkopa"/>
        <w:numPr>
          <w:ilvl w:val="1"/>
          <w:numId w:val="4"/>
        </w:numPr>
        <w:spacing w:before="120"/>
        <w:ind w:left="993" w:hanging="567"/>
        <w:contextualSpacing w:val="0"/>
        <w:jc w:val="both"/>
        <w:rPr>
          <w:rFonts w:eastAsiaTheme="minorHAnsi"/>
          <w:color w:val="000000"/>
        </w:rPr>
      </w:pPr>
      <w:r w:rsidRPr="007633D6">
        <w:rPr>
          <w:rFonts w:eastAsiaTheme="minorHAnsi"/>
          <w:color w:val="000000"/>
        </w:rPr>
        <w:t xml:space="preserve">kārtību, kādā </w:t>
      </w:r>
      <w:r>
        <w:rPr>
          <w:rFonts w:eastAsiaTheme="minorHAnsi"/>
          <w:color w:val="000000"/>
        </w:rPr>
        <w:t>Ādažu</w:t>
      </w:r>
      <w:r w:rsidRPr="007633D6">
        <w:rPr>
          <w:rFonts w:eastAsiaTheme="minorHAnsi"/>
          <w:color w:val="000000"/>
        </w:rPr>
        <w:t xml:space="preserve"> novada pašvaldībā (turpmāk – Pašvaldība) notiek augstas detalizācijas topogrāfiskās informācijas (turpmāk – </w:t>
      </w:r>
      <w:r w:rsidR="00C90261">
        <w:rPr>
          <w:rFonts w:eastAsiaTheme="minorHAnsi"/>
          <w:color w:val="000000"/>
        </w:rPr>
        <w:t>t</w:t>
      </w:r>
      <w:r w:rsidRPr="007633D6">
        <w:rPr>
          <w:rFonts w:eastAsiaTheme="minorHAnsi"/>
          <w:color w:val="000000"/>
        </w:rPr>
        <w:t xml:space="preserve">opogrāfiskā informācija) un informācijas par ielu sarkano līniju aizsargjoslām </w:t>
      </w:r>
      <w:r w:rsidR="008742E3">
        <w:rPr>
          <w:rFonts w:eastAsiaTheme="minorHAnsi"/>
          <w:color w:val="000000"/>
        </w:rPr>
        <w:t xml:space="preserve">Ādažu novada administratīvajā teritorijā </w:t>
      </w:r>
      <w:r w:rsidRPr="007633D6">
        <w:rPr>
          <w:rFonts w:eastAsiaTheme="minorHAnsi"/>
          <w:color w:val="000000"/>
        </w:rPr>
        <w:t>izsniegšana, pieņemšana, pārbaude un reģistrēšana topogrāfiskās informācijas datubāzē (turpmāk – datubāze). Šie noteikumi attiecas arī uz un zemes ierīcības projektu grafiskajām daļām</w:t>
      </w:r>
      <w:r>
        <w:rPr>
          <w:rFonts w:eastAsiaTheme="minorHAnsi"/>
          <w:color w:val="000000"/>
        </w:rPr>
        <w:t xml:space="preserve"> un būvju situācijas plāniem;</w:t>
      </w:r>
    </w:p>
    <w:p w14:paraId="4DA7EAD2" w14:textId="16FC8B26" w:rsidR="007633D6" w:rsidRPr="007633D6" w:rsidRDefault="007633D6" w:rsidP="00EF3B4C">
      <w:pPr>
        <w:pStyle w:val="Sarakstarindkopa"/>
        <w:numPr>
          <w:ilvl w:val="1"/>
          <w:numId w:val="4"/>
        </w:numPr>
        <w:spacing w:before="120"/>
        <w:ind w:left="993" w:hanging="567"/>
        <w:contextualSpacing w:val="0"/>
        <w:jc w:val="both"/>
        <w:rPr>
          <w:rFonts w:eastAsiaTheme="minorHAnsi"/>
          <w:color w:val="000000"/>
        </w:rPr>
      </w:pPr>
      <w:r w:rsidRPr="007633D6">
        <w:rPr>
          <w:rFonts w:eastAsiaTheme="minorHAnsi"/>
          <w:color w:val="000000"/>
        </w:rPr>
        <w:t xml:space="preserve">maksu par </w:t>
      </w:r>
      <w:r w:rsidR="00C90261">
        <w:rPr>
          <w:rFonts w:eastAsiaTheme="minorHAnsi"/>
          <w:color w:val="000000"/>
        </w:rPr>
        <w:t>t</w:t>
      </w:r>
      <w:r w:rsidRPr="007633D6">
        <w:rPr>
          <w:rFonts w:eastAsiaTheme="minorHAnsi"/>
          <w:color w:val="000000"/>
        </w:rPr>
        <w:t>opogrāfiskās informācijas sniegšanu</w:t>
      </w:r>
      <w:r>
        <w:rPr>
          <w:rFonts w:eastAsiaTheme="minorHAnsi"/>
          <w:color w:val="000000"/>
        </w:rPr>
        <w:t>.</w:t>
      </w:r>
    </w:p>
    <w:p w14:paraId="4A81869F" w14:textId="7172E5DB" w:rsidR="007633D6" w:rsidRDefault="007633D6" w:rsidP="007633D6">
      <w:pPr>
        <w:pStyle w:val="Sarakstarindkopa"/>
        <w:numPr>
          <w:ilvl w:val="0"/>
          <w:numId w:val="4"/>
        </w:numPr>
        <w:spacing w:before="120"/>
        <w:ind w:left="426" w:hanging="426"/>
        <w:contextualSpacing w:val="0"/>
        <w:jc w:val="both"/>
        <w:rPr>
          <w:rFonts w:eastAsiaTheme="minorHAnsi"/>
          <w:color w:val="000000"/>
        </w:rPr>
      </w:pPr>
      <w:r w:rsidRPr="007633D6">
        <w:rPr>
          <w:rFonts w:eastAsiaTheme="minorHAnsi"/>
          <w:color w:val="000000"/>
        </w:rPr>
        <w:t>Noteikumi attiecas uz visām juridiskām un fiziskām personām, kas Pašvaldībā veic:</w:t>
      </w:r>
    </w:p>
    <w:p w14:paraId="22B8D396" w14:textId="0B23319C" w:rsidR="007633D6" w:rsidRDefault="007633D6" w:rsidP="00EF3B4C">
      <w:pPr>
        <w:pStyle w:val="Sarakstarindkopa"/>
        <w:numPr>
          <w:ilvl w:val="1"/>
          <w:numId w:val="4"/>
        </w:numPr>
        <w:spacing w:before="120"/>
        <w:ind w:left="993" w:hanging="567"/>
        <w:contextualSpacing w:val="0"/>
        <w:jc w:val="both"/>
        <w:rPr>
          <w:rFonts w:eastAsiaTheme="minorHAnsi"/>
          <w:color w:val="000000"/>
        </w:rPr>
      </w:pPr>
      <w:r w:rsidRPr="007633D6">
        <w:rPr>
          <w:rFonts w:eastAsiaTheme="minorHAnsi"/>
          <w:color w:val="000000"/>
        </w:rPr>
        <w:t>inženierkomunikāciju un būvju projektēšanu, būvniecību, pārbūvi, uzturēšanu vai nodošanu ekspluatācijā;</w:t>
      </w:r>
    </w:p>
    <w:p w14:paraId="6032E558" w14:textId="06053338" w:rsidR="007633D6" w:rsidRDefault="007633D6" w:rsidP="00EF3B4C">
      <w:pPr>
        <w:pStyle w:val="Sarakstarindkopa"/>
        <w:numPr>
          <w:ilvl w:val="1"/>
          <w:numId w:val="4"/>
        </w:numPr>
        <w:spacing w:before="120"/>
        <w:ind w:left="993" w:hanging="567"/>
        <w:contextualSpacing w:val="0"/>
        <w:jc w:val="both"/>
        <w:rPr>
          <w:rFonts w:eastAsiaTheme="minorHAnsi"/>
          <w:color w:val="000000"/>
        </w:rPr>
      </w:pPr>
      <w:r w:rsidRPr="007633D6">
        <w:rPr>
          <w:rFonts w:eastAsiaTheme="minorHAnsi"/>
          <w:color w:val="000000"/>
        </w:rPr>
        <w:t>ģeodēziskos, topogrāfiskos, kadastrālās uzmērīšanas vai zemes ierīcības darbus.</w:t>
      </w:r>
    </w:p>
    <w:p w14:paraId="661668DC" w14:textId="4AF0E14B" w:rsidR="007633D6" w:rsidRDefault="007633D6" w:rsidP="007633D6">
      <w:pPr>
        <w:pStyle w:val="Sarakstarindkopa"/>
        <w:numPr>
          <w:ilvl w:val="0"/>
          <w:numId w:val="4"/>
        </w:numPr>
        <w:spacing w:before="120"/>
        <w:ind w:left="426" w:hanging="426"/>
        <w:contextualSpacing w:val="0"/>
        <w:jc w:val="both"/>
        <w:rPr>
          <w:rFonts w:eastAsiaTheme="minorHAnsi"/>
          <w:color w:val="000000"/>
        </w:rPr>
      </w:pPr>
      <w:r>
        <w:rPr>
          <w:rFonts w:eastAsiaTheme="minorHAnsi"/>
          <w:color w:val="000000"/>
        </w:rPr>
        <w:t>T</w:t>
      </w:r>
      <w:r w:rsidRPr="007633D6">
        <w:rPr>
          <w:rFonts w:eastAsiaTheme="minorHAnsi"/>
          <w:color w:val="000000"/>
        </w:rPr>
        <w:t xml:space="preserve">opogrāfiskās informācijas izsniegšanu, pieņemšanu, pārbaudi un reģistrēšanu </w:t>
      </w:r>
      <w:r w:rsidR="008742E3">
        <w:rPr>
          <w:rFonts w:eastAsiaTheme="minorHAnsi"/>
          <w:color w:val="000000"/>
        </w:rPr>
        <w:t>nodrošina P</w:t>
      </w:r>
      <w:r w:rsidRPr="007633D6">
        <w:rPr>
          <w:rFonts w:eastAsiaTheme="minorHAnsi"/>
          <w:color w:val="000000"/>
        </w:rPr>
        <w:t xml:space="preserve">ašvaldība vai </w:t>
      </w:r>
      <w:r w:rsidR="008742E3">
        <w:rPr>
          <w:rFonts w:eastAsiaTheme="minorHAnsi"/>
          <w:color w:val="000000"/>
        </w:rPr>
        <w:t xml:space="preserve">tās </w:t>
      </w:r>
      <w:r w:rsidRPr="007633D6">
        <w:rPr>
          <w:rFonts w:eastAsiaTheme="minorHAnsi"/>
          <w:color w:val="000000"/>
        </w:rPr>
        <w:t>izvēlēta juridiska persona</w:t>
      </w:r>
      <w:r w:rsidR="008742E3">
        <w:rPr>
          <w:rFonts w:eastAsiaTheme="minorHAnsi"/>
          <w:color w:val="000000"/>
        </w:rPr>
        <w:t xml:space="preserve"> </w:t>
      </w:r>
      <w:r w:rsidR="008742E3" w:rsidRPr="007633D6">
        <w:rPr>
          <w:rFonts w:eastAsiaTheme="minorHAnsi"/>
          <w:color w:val="000000"/>
        </w:rPr>
        <w:t xml:space="preserve">(turpmāk – </w:t>
      </w:r>
      <w:r w:rsidR="00C90261">
        <w:rPr>
          <w:rFonts w:eastAsiaTheme="minorHAnsi"/>
          <w:color w:val="000000"/>
        </w:rPr>
        <w:t>d</w:t>
      </w:r>
      <w:r w:rsidR="008742E3" w:rsidRPr="007633D6">
        <w:rPr>
          <w:rFonts w:eastAsiaTheme="minorHAnsi"/>
          <w:color w:val="000000"/>
        </w:rPr>
        <w:t>atubāzes turētājs)</w:t>
      </w:r>
      <w:r w:rsidRPr="007633D6">
        <w:rPr>
          <w:rFonts w:eastAsiaTheme="minorHAnsi"/>
          <w:color w:val="000000"/>
        </w:rPr>
        <w:t xml:space="preserve">, kurai </w:t>
      </w:r>
      <w:r w:rsidR="008742E3">
        <w:rPr>
          <w:rFonts w:eastAsiaTheme="minorHAnsi"/>
          <w:color w:val="000000"/>
        </w:rPr>
        <w:t>P</w:t>
      </w:r>
      <w:r w:rsidRPr="007633D6">
        <w:rPr>
          <w:rFonts w:eastAsiaTheme="minorHAnsi"/>
          <w:color w:val="000000"/>
        </w:rPr>
        <w:t>ašvaldība šādu pārvaldes uzdevumu ir deleģējusi</w:t>
      </w:r>
      <w:r w:rsidR="008742E3">
        <w:rPr>
          <w:rFonts w:eastAsiaTheme="minorHAnsi"/>
          <w:color w:val="000000"/>
        </w:rPr>
        <w:t>,</w:t>
      </w:r>
      <w:r w:rsidRPr="007633D6">
        <w:rPr>
          <w:rFonts w:eastAsiaTheme="minorHAnsi"/>
          <w:color w:val="000000"/>
        </w:rPr>
        <w:t> </w:t>
      </w:r>
      <w:hyperlink r:id="rId10" w:tgtFrame="_blank" w:history="1">
        <w:r w:rsidRPr="007633D6">
          <w:rPr>
            <w:rFonts w:eastAsiaTheme="minorHAnsi"/>
            <w:color w:val="000000"/>
          </w:rPr>
          <w:t xml:space="preserve">Valsts pārvaldes iekārtas </w:t>
        </w:r>
        <w:r w:rsidRPr="007633D6">
          <w:rPr>
            <w:rFonts w:eastAsiaTheme="minorHAnsi"/>
            <w:color w:val="000000"/>
          </w:rPr>
          <w:lastRenderedPageBreak/>
          <w:t>likumā</w:t>
        </w:r>
      </w:hyperlink>
      <w:r w:rsidRPr="007633D6">
        <w:rPr>
          <w:rFonts w:eastAsiaTheme="minorHAnsi"/>
          <w:color w:val="000000"/>
        </w:rPr>
        <w:t xml:space="preserve"> noteiktajā kārtībā slēdzot deleģējuma līgumu, </w:t>
      </w:r>
      <w:r w:rsidR="008742E3">
        <w:rPr>
          <w:rFonts w:eastAsiaTheme="minorHAnsi"/>
          <w:color w:val="000000"/>
        </w:rPr>
        <w:t xml:space="preserve">un </w:t>
      </w:r>
      <w:r w:rsidRPr="007633D6">
        <w:rPr>
          <w:rFonts w:eastAsiaTheme="minorHAnsi"/>
          <w:color w:val="000000"/>
        </w:rPr>
        <w:t>kurai ir tiesības par pakalpojumiem saņemt samaksu.</w:t>
      </w:r>
    </w:p>
    <w:p w14:paraId="04C1BDBB" w14:textId="465CBCAE" w:rsidR="007633D6" w:rsidRPr="007633D6" w:rsidRDefault="007633D6" w:rsidP="00EF3B4C">
      <w:pPr>
        <w:pStyle w:val="Sarakstarindkopa"/>
        <w:spacing w:before="120" w:after="120"/>
        <w:ind w:left="357"/>
        <w:contextualSpacing w:val="0"/>
        <w:jc w:val="center"/>
        <w:rPr>
          <w:b/>
          <w:bCs/>
        </w:rPr>
      </w:pPr>
      <w:r>
        <w:rPr>
          <w:b/>
          <w:bCs/>
        </w:rPr>
        <w:t xml:space="preserve">II. </w:t>
      </w:r>
      <w:r w:rsidRPr="007633D6">
        <w:rPr>
          <w:b/>
          <w:bCs/>
        </w:rPr>
        <w:t>Topogrāfiskās informācijas pārbaude, saskaņošana, reģistrācija un izsniegšana</w:t>
      </w:r>
    </w:p>
    <w:p w14:paraId="22D8B21B" w14:textId="15FFE0FA" w:rsidR="007633D6" w:rsidRDefault="007633D6" w:rsidP="007633D6">
      <w:pPr>
        <w:pStyle w:val="Sarakstarindkopa"/>
        <w:numPr>
          <w:ilvl w:val="0"/>
          <w:numId w:val="4"/>
        </w:numPr>
        <w:spacing w:before="120"/>
        <w:ind w:left="426" w:hanging="426"/>
        <w:contextualSpacing w:val="0"/>
        <w:jc w:val="both"/>
        <w:rPr>
          <w:rFonts w:eastAsiaTheme="minorHAnsi"/>
          <w:color w:val="000000"/>
        </w:rPr>
      </w:pPr>
      <w:r w:rsidRPr="007633D6">
        <w:rPr>
          <w:rFonts w:eastAsiaTheme="minorHAnsi"/>
          <w:color w:val="000000"/>
        </w:rPr>
        <w:t xml:space="preserve">Topogrāfisko informāciju topogrāfiskās uzmērīšanas vajadzībām par mērnieka vai komersanta pieprasīto teritoriju </w:t>
      </w:r>
      <w:r w:rsidR="00C90261">
        <w:rPr>
          <w:rFonts w:eastAsiaTheme="minorHAnsi"/>
          <w:color w:val="000000"/>
        </w:rPr>
        <w:t>d</w:t>
      </w:r>
      <w:r w:rsidRPr="007633D6">
        <w:rPr>
          <w:rFonts w:eastAsiaTheme="minorHAnsi"/>
          <w:color w:val="000000"/>
        </w:rPr>
        <w:t>atubāzes turētājs elektroniski izsniedz trīs darba dienu laikā pēc mērnieka vai komersanta pieprasījuma un samaksas saņemšanas dienas.</w:t>
      </w:r>
    </w:p>
    <w:p w14:paraId="070400BA" w14:textId="26AA0E17" w:rsidR="007633D6" w:rsidRDefault="00303A12" w:rsidP="007633D6">
      <w:pPr>
        <w:pStyle w:val="Sarakstarindkopa"/>
        <w:numPr>
          <w:ilvl w:val="0"/>
          <w:numId w:val="4"/>
        </w:numPr>
        <w:spacing w:before="120"/>
        <w:ind w:left="426" w:hanging="426"/>
        <w:contextualSpacing w:val="0"/>
        <w:jc w:val="both"/>
        <w:rPr>
          <w:rFonts w:eastAsiaTheme="minorHAnsi"/>
          <w:color w:val="000000"/>
        </w:rPr>
      </w:pPr>
      <w:r w:rsidRPr="00303A12">
        <w:rPr>
          <w:rFonts w:eastAsiaTheme="minorHAnsi"/>
          <w:color w:val="000000"/>
        </w:rPr>
        <w:t>Pēc topogrāfiskās uzmērīšanas un topogrāfiskā plāna sagatavošanas to saskaņo ar tiem inženiertīklu turētājiem, kas ir atbildīgi par inženiertīkliem teritorijā, kurā veikta topogrāfiskā uzmērīšana. Inženiertīklu turētāju saskaņošanas termiņš nevar būt ilgāks par 10 darbdienām no topogrāfiskās informācijas saņemšanas dienas. Inženiertīklu turētāji nevar vilcināt topogrāfiskā plāna izgatavošanas termiņus un pieprasīt skaņojumus teritorijās, kur nav viņu tīklu.</w:t>
      </w:r>
    </w:p>
    <w:p w14:paraId="75A1EF46" w14:textId="0CE5990C" w:rsidR="00303A12" w:rsidRDefault="00303A12" w:rsidP="007633D6">
      <w:pPr>
        <w:pStyle w:val="Sarakstarindkopa"/>
        <w:numPr>
          <w:ilvl w:val="0"/>
          <w:numId w:val="4"/>
        </w:numPr>
        <w:spacing w:before="120"/>
        <w:ind w:left="426" w:hanging="426"/>
        <w:contextualSpacing w:val="0"/>
        <w:jc w:val="both"/>
        <w:rPr>
          <w:rFonts w:eastAsiaTheme="minorHAnsi"/>
          <w:color w:val="000000"/>
        </w:rPr>
      </w:pPr>
      <w:r w:rsidRPr="00303A12">
        <w:rPr>
          <w:rFonts w:eastAsiaTheme="minorHAnsi"/>
          <w:color w:val="000000"/>
        </w:rPr>
        <w:t>Pirms topogrāfiskā plāna iesniegšanas pārbaudei un reģistrācijai datubāzē</w:t>
      </w:r>
      <w:r w:rsidR="00870F59">
        <w:rPr>
          <w:rFonts w:eastAsiaTheme="minorHAnsi"/>
          <w:color w:val="000000"/>
        </w:rPr>
        <w:t>,</w:t>
      </w:r>
      <w:r w:rsidRPr="00303A12">
        <w:rPr>
          <w:rFonts w:eastAsiaTheme="minorHAnsi"/>
          <w:color w:val="000000"/>
        </w:rPr>
        <w:t xml:space="preserve"> to saskaņo ar šādiem inženiertīklu turētājiem:</w:t>
      </w:r>
    </w:p>
    <w:p w14:paraId="0A5CE8C2" w14:textId="2F4572E8" w:rsidR="00303A12" w:rsidRDefault="00870F59" w:rsidP="00EF3B4C">
      <w:pPr>
        <w:pStyle w:val="Sarakstarindkopa"/>
        <w:numPr>
          <w:ilvl w:val="1"/>
          <w:numId w:val="4"/>
        </w:numPr>
        <w:spacing w:before="120"/>
        <w:ind w:left="993" w:hanging="567"/>
        <w:contextualSpacing w:val="0"/>
        <w:jc w:val="both"/>
        <w:rPr>
          <w:rFonts w:eastAsiaTheme="minorHAnsi"/>
          <w:color w:val="000000"/>
        </w:rPr>
      </w:pPr>
      <w:r>
        <w:rPr>
          <w:rFonts w:eastAsiaTheme="minorHAnsi"/>
          <w:color w:val="000000"/>
        </w:rPr>
        <w:t>Pašvaldības administrācijas</w:t>
      </w:r>
      <w:r w:rsidR="00303A12">
        <w:rPr>
          <w:rFonts w:eastAsiaTheme="minorHAnsi"/>
          <w:color w:val="000000"/>
        </w:rPr>
        <w:t xml:space="preserve"> </w:t>
      </w:r>
      <w:r>
        <w:rPr>
          <w:rFonts w:eastAsiaTheme="minorHAnsi"/>
          <w:color w:val="000000"/>
        </w:rPr>
        <w:t>I</w:t>
      </w:r>
      <w:r w:rsidR="00827634">
        <w:rPr>
          <w:rFonts w:eastAsiaTheme="minorHAnsi"/>
          <w:color w:val="000000"/>
        </w:rPr>
        <w:t>nfrastruktūras un vides</w:t>
      </w:r>
      <w:r w:rsidR="00E543BE">
        <w:rPr>
          <w:rFonts w:eastAsiaTheme="minorHAnsi"/>
          <w:color w:val="000000"/>
        </w:rPr>
        <w:t xml:space="preserve"> nodaļ</w:t>
      </w:r>
      <w:r>
        <w:rPr>
          <w:rFonts w:eastAsiaTheme="minorHAnsi"/>
          <w:color w:val="000000"/>
        </w:rPr>
        <w:t>u</w:t>
      </w:r>
      <w:r w:rsidR="00303A12">
        <w:rPr>
          <w:rFonts w:eastAsiaTheme="minorHAnsi"/>
          <w:color w:val="000000"/>
        </w:rPr>
        <w:t>;</w:t>
      </w:r>
    </w:p>
    <w:p w14:paraId="63DF91E4" w14:textId="16560221" w:rsidR="009F2E3D" w:rsidRDefault="00870F59" w:rsidP="00EF3B4C">
      <w:pPr>
        <w:pStyle w:val="Sarakstarindkopa"/>
        <w:numPr>
          <w:ilvl w:val="1"/>
          <w:numId w:val="4"/>
        </w:numPr>
        <w:spacing w:before="120"/>
        <w:ind w:left="993" w:hanging="567"/>
        <w:contextualSpacing w:val="0"/>
        <w:jc w:val="both"/>
        <w:rPr>
          <w:rFonts w:eastAsiaTheme="minorHAnsi"/>
          <w:color w:val="000000"/>
        </w:rPr>
      </w:pPr>
      <w:r>
        <w:rPr>
          <w:rFonts w:eastAsiaTheme="minorHAnsi"/>
          <w:color w:val="000000"/>
        </w:rPr>
        <w:t>Pašvaldības aģentūru</w:t>
      </w:r>
      <w:r w:rsidR="009F2E3D">
        <w:rPr>
          <w:rFonts w:eastAsiaTheme="minorHAnsi"/>
          <w:color w:val="000000"/>
        </w:rPr>
        <w:t xml:space="preserve"> “Carnikavas </w:t>
      </w:r>
      <w:proofErr w:type="spellStart"/>
      <w:r w:rsidR="009F2E3D">
        <w:rPr>
          <w:rFonts w:eastAsiaTheme="minorHAnsi"/>
          <w:color w:val="000000"/>
        </w:rPr>
        <w:t>komunālserviss</w:t>
      </w:r>
      <w:proofErr w:type="spellEnd"/>
      <w:r w:rsidR="009F2E3D">
        <w:rPr>
          <w:rFonts w:eastAsiaTheme="minorHAnsi"/>
          <w:color w:val="000000"/>
        </w:rPr>
        <w:t xml:space="preserve">”; </w:t>
      </w:r>
    </w:p>
    <w:p w14:paraId="7F06CB2F" w14:textId="177FB8F7" w:rsidR="0086728D" w:rsidRDefault="00EF3B4C" w:rsidP="00EF3B4C">
      <w:pPr>
        <w:pStyle w:val="Sarakstarindkopa"/>
        <w:numPr>
          <w:ilvl w:val="1"/>
          <w:numId w:val="4"/>
        </w:numPr>
        <w:spacing w:before="120"/>
        <w:ind w:left="993" w:hanging="567"/>
        <w:contextualSpacing w:val="0"/>
        <w:jc w:val="both"/>
        <w:rPr>
          <w:rFonts w:eastAsiaTheme="minorHAnsi"/>
          <w:color w:val="000000"/>
        </w:rPr>
      </w:pPr>
      <w:r>
        <w:rPr>
          <w:rFonts w:eastAsiaTheme="minorHAnsi"/>
          <w:color w:val="000000"/>
        </w:rPr>
        <w:t>A</w:t>
      </w:r>
      <w:r w:rsidR="00870F59">
        <w:rPr>
          <w:rFonts w:eastAsiaTheme="minorHAnsi"/>
          <w:color w:val="000000"/>
        </w:rPr>
        <w:t>kciju sabiedrību</w:t>
      </w:r>
      <w:r w:rsidR="0086728D">
        <w:rPr>
          <w:rFonts w:eastAsiaTheme="minorHAnsi"/>
          <w:color w:val="000000"/>
        </w:rPr>
        <w:t xml:space="preserve"> “Sadales tīkls”.</w:t>
      </w:r>
    </w:p>
    <w:p w14:paraId="677E8CF3" w14:textId="53BB369E" w:rsidR="00870F59" w:rsidRDefault="0086728D" w:rsidP="000A764F">
      <w:pPr>
        <w:pStyle w:val="Sarakstarindkopa"/>
        <w:numPr>
          <w:ilvl w:val="0"/>
          <w:numId w:val="4"/>
        </w:numPr>
        <w:spacing w:before="120"/>
        <w:ind w:left="426" w:hanging="426"/>
        <w:contextualSpacing w:val="0"/>
        <w:jc w:val="both"/>
        <w:rPr>
          <w:rFonts w:eastAsiaTheme="minorHAnsi"/>
          <w:color w:val="000000"/>
        </w:rPr>
      </w:pPr>
      <w:r w:rsidRPr="0086728D">
        <w:rPr>
          <w:rFonts w:eastAsiaTheme="minorHAnsi"/>
          <w:color w:val="000000"/>
        </w:rPr>
        <w:t>Inženiertīklu turētāju</w:t>
      </w:r>
      <w:r w:rsidR="00870F59" w:rsidRPr="00870F59">
        <w:rPr>
          <w:rFonts w:eastAsiaTheme="minorHAnsi"/>
          <w:color w:val="000000"/>
        </w:rPr>
        <w:t xml:space="preserve"> </w:t>
      </w:r>
      <w:r w:rsidR="00870F59" w:rsidRPr="0086728D">
        <w:rPr>
          <w:rFonts w:eastAsiaTheme="minorHAnsi"/>
          <w:color w:val="000000"/>
        </w:rPr>
        <w:t>sarakst</w:t>
      </w:r>
      <w:r w:rsidR="00870F59">
        <w:rPr>
          <w:rFonts w:eastAsiaTheme="minorHAnsi"/>
          <w:color w:val="000000"/>
        </w:rPr>
        <w:t>u</w:t>
      </w:r>
      <w:r w:rsidRPr="0086728D">
        <w:rPr>
          <w:rFonts w:eastAsiaTheme="minorHAnsi"/>
          <w:color w:val="000000"/>
        </w:rPr>
        <w:t xml:space="preserve">, ar kuriem jāsaskaņo topogrāfiskie plāni konkrētās teritorijās, publicē </w:t>
      </w:r>
      <w:r w:rsidR="00870F59">
        <w:rPr>
          <w:rFonts w:eastAsiaTheme="minorHAnsi"/>
          <w:color w:val="000000"/>
        </w:rPr>
        <w:t>Pašvaldības</w:t>
      </w:r>
      <w:r w:rsidRPr="0086728D">
        <w:rPr>
          <w:rFonts w:eastAsiaTheme="minorHAnsi"/>
          <w:color w:val="000000"/>
        </w:rPr>
        <w:t xml:space="preserve"> </w:t>
      </w:r>
      <w:r w:rsidR="00E543BE">
        <w:rPr>
          <w:rFonts w:eastAsiaTheme="minorHAnsi"/>
          <w:color w:val="000000"/>
        </w:rPr>
        <w:t>tīmekļvietnē</w:t>
      </w:r>
      <w:r w:rsidRPr="0086728D">
        <w:rPr>
          <w:rFonts w:eastAsiaTheme="minorHAnsi"/>
          <w:color w:val="000000"/>
        </w:rPr>
        <w:t xml:space="preserve"> </w:t>
      </w:r>
      <w:hyperlink r:id="rId11" w:history="1">
        <w:r w:rsidR="00870F59" w:rsidRPr="00A824A5">
          <w:rPr>
            <w:rStyle w:val="Hipersaite"/>
            <w:rFonts w:eastAsiaTheme="minorHAnsi"/>
          </w:rPr>
          <w:t>www.adazi.lv</w:t>
        </w:r>
      </w:hyperlink>
      <w:r w:rsidRPr="0086728D">
        <w:rPr>
          <w:rFonts w:eastAsiaTheme="minorHAnsi"/>
          <w:color w:val="000000"/>
        </w:rPr>
        <w:t xml:space="preserve">. </w:t>
      </w:r>
    </w:p>
    <w:p w14:paraId="4F646D12" w14:textId="03EE494C" w:rsidR="0086728D" w:rsidRDefault="0086728D" w:rsidP="000A764F">
      <w:pPr>
        <w:pStyle w:val="Sarakstarindkopa"/>
        <w:numPr>
          <w:ilvl w:val="0"/>
          <w:numId w:val="4"/>
        </w:numPr>
        <w:spacing w:before="120"/>
        <w:ind w:left="426" w:hanging="426"/>
        <w:contextualSpacing w:val="0"/>
        <w:jc w:val="both"/>
        <w:rPr>
          <w:rFonts w:eastAsiaTheme="minorHAnsi"/>
          <w:color w:val="000000"/>
        </w:rPr>
      </w:pPr>
      <w:r w:rsidRPr="0086728D">
        <w:rPr>
          <w:rFonts w:eastAsiaTheme="minorHAnsi"/>
          <w:color w:val="000000"/>
        </w:rPr>
        <w:t>Inženiertīklu turētāja saskaņojums nedrīkst būt vecāks par sešiem mēnešiem brīdī, kad topogrāfiskais plāns tiek iesniegts pārbaudei un reģistrācijai datubāzē.</w:t>
      </w:r>
    </w:p>
    <w:p w14:paraId="50CBC3C8" w14:textId="257961B8" w:rsidR="00303A12" w:rsidRDefault="000A764F" w:rsidP="00303A12">
      <w:pPr>
        <w:pStyle w:val="Sarakstarindkopa"/>
        <w:numPr>
          <w:ilvl w:val="0"/>
          <w:numId w:val="4"/>
        </w:numPr>
        <w:spacing w:before="120"/>
        <w:ind w:left="426" w:hanging="426"/>
        <w:contextualSpacing w:val="0"/>
        <w:jc w:val="both"/>
        <w:rPr>
          <w:rFonts w:eastAsiaTheme="minorHAnsi"/>
          <w:color w:val="000000"/>
        </w:rPr>
      </w:pPr>
      <w:r w:rsidRPr="000A764F">
        <w:rPr>
          <w:rFonts w:eastAsiaTheme="minorHAnsi"/>
          <w:color w:val="000000"/>
        </w:rPr>
        <w:t>Ja inženiertīklu turētājs vēlas konkrētās teritorijās sk</w:t>
      </w:r>
      <w:r w:rsidR="00E543BE">
        <w:rPr>
          <w:rFonts w:eastAsiaTheme="minorHAnsi"/>
          <w:color w:val="000000"/>
        </w:rPr>
        <w:t>aņot savus inženiertīklus, tad P</w:t>
      </w:r>
      <w:r w:rsidRPr="000A764F">
        <w:rPr>
          <w:rFonts w:eastAsiaTheme="minorHAnsi"/>
          <w:color w:val="000000"/>
        </w:rPr>
        <w:t xml:space="preserve">ašvaldībai izvērtēšanai iesniedz dokumentus </w:t>
      </w:r>
      <w:proofErr w:type="spellStart"/>
      <w:r w:rsidR="00C90261" w:rsidRPr="000A764F">
        <w:rPr>
          <w:rFonts w:eastAsiaTheme="minorHAnsi"/>
          <w:color w:val="000000"/>
        </w:rPr>
        <w:t>vektordatu</w:t>
      </w:r>
      <w:proofErr w:type="spellEnd"/>
      <w:r w:rsidR="00C90261" w:rsidRPr="000A764F">
        <w:rPr>
          <w:rFonts w:eastAsiaTheme="minorHAnsi"/>
          <w:color w:val="000000"/>
        </w:rPr>
        <w:t xml:space="preserve"> formā </w:t>
      </w:r>
      <w:r w:rsidRPr="000A764F">
        <w:rPr>
          <w:rFonts w:eastAsiaTheme="minorHAnsi"/>
          <w:color w:val="000000"/>
        </w:rPr>
        <w:t>par inženiertīklu piederību un informāciju par inženiertīklu objektiem un skaņojuma teritoriju.</w:t>
      </w:r>
    </w:p>
    <w:p w14:paraId="66FB8930" w14:textId="4117D7C6" w:rsidR="00C90261" w:rsidRDefault="00167FB7" w:rsidP="00C90261">
      <w:pPr>
        <w:pStyle w:val="Sarakstarindkopa"/>
        <w:numPr>
          <w:ilvl w:val="0"/>
          <w:numId w:val="4"/>
        </w:numPr>
        <w:spacing w:before="120"/>
        <w:ind w:left="426" w:hanging="426"/>
        <w:contextualSpacing w:val="0"/>
        <w:jc w:val="both"/>
        <w:rPr>
          <w:rFonts w:eastAsiaTheme="minorHAnsi"/>
          <w:color w:val="000000"/>
        </w:rPr>
      </w:pPr>
      <w:r w:rsidRPr="00167FB7">
        <w:rPr>
          <w:rFonts w:eastAsiaTheme="minorHAnsi"/>
          <w:color w:val="000000"/>
        </w:rPr>
        <w:t xml:space="preserve">Pārbaudot topogrāfiskās informācijas atbilstību normatīvajos aktos noteiktajām prasībām, </w:t>
      </w:r>
      <w:r w:rsidR="00C90261">
        <w:rPr>
          <w:rFonts w:eastAsiaTheme="minorHAnsi"/>
          <w:color w:val="000000"/>
        </w:rPr>
        <w:t>d</w:t>
      </w:r>
      <w:r w:rsidRPr="00167FB7">
        <w:rPr>
          <w:rFonts w:eastAsiaTheme="minorHAnsi"/>
          <w:color w:val="000000"/>
        </w:rPr>
        <w:t>atubāzes turētājs 10 darbdienu laikā no topogrāfiskās informācijas un samaksas saņemšanas dienas</w:t>
      </w:r>
      <w:r w:rsidR="00C90261">
        <w:rPr>
          <w:rFonts w:eastAsiaTheme="minorHAnsi"/>
          <w:color w:val="000000"/>
        </w:rPr>
        <w:t xml:space="preserve"> </w:t>
      </w:r>
      <w:r w:rsidRPr="00EF3B4C">
        <w:rPr>
          <w:rFonts w:eastAsiaTheme="minorHAnsi"/>
          <w:color w:val="000000"/>
        </w:rPr>
        <w:t>reģistrē topogrāfisko informāciju datubāzē</w:t>
      </w:r>
      <w:r w:rsidR="00C90261">
        <w:rPr>
          <w:rFonts w:eastAsiaTheme="minorHAnsi"/>
          <w:color w:val="000000"/>
        </w:rPr>
        <w:t>,</w:t>
      </w:r>
      <w:r w:rsidRPr="00EF3B4C">
        <w:rPr>
          <w:rFonts w:eastAsiaTheme="minorHAnsi"/>
          <w:color w:val="000000"/>
        </w:rPr>
        <w:t xml:space="preserve"> uz plāna </w:t>
      </w:r>
      <w:r w:rsidR="00C90261" w:rsidRPr="00EF3B4C">
        <w:rPr>
          <w:rFonts w:eastAsiaTheme="minorHAnsi"/>
          <w:color w:val="000000"/>
        </w:rPr>
        <w:t>norād</w:t>
      </w:r>
      <w:r w:rsidR="00C90261">
        <w:rPr>
          <w:rFonts w:eastAsiaTheme="minorHAnsi"/>
          <w:color w:val="000000"/>
        </w:rPr>
        <w:t>ot</w:t>
      </w:r>
      <w:r w:rsidR="00C90261" w:rsidRPr="00EF3B4C">
        <w:rPr>
          <w:rFonts w:eastAsiaTheme="minorHAnsi"/>
          <w:color w:val="000000"/>
        </w:rPr>
        <w:t xml:space="preserve"> </w:t>
      </w:r>
      <w:r w:rsidRPr="00EF3B4C">
        <w:rPr>
          <w:rFonts w:eastAsiaTheme="minorHAnsi"/>
          <w:color w:val="000000"/>
        </w:rPr>
        <w:t>reģistrācijas informāciju (datumu un reģistrācijas numuru)</w:t>
      </w:r>
      <w:r w:rsidR="00C90261">
        <w:rPr>
          <w:rFonts w:eastAsiaTheme="minorHAnsi"/>
          <w:color w:val="000000"/>
        </w:rPr>
        <w:t xml:space="preserve">, vai </w:t>
      </w:r>
      <w:r w:rsidRPr="00EF3B4C">
        <w:rPr>
          <w:rFonts w:eastAsiaTheme="minorHAnsi"/>
          <w:color w:val="000000"/>
        </w:rPr>
        <w:t>atsaka reģistrāciju, norādot</w:t>
      </w:r>
      <w:r w:rsidR="00C90261" w:rsidRPr="00C90261">
        <w:rPr>
          <w:rFonts w:eastAsiaTheme="minorHAnsi"/>
          <w:color w:val="000000"/>
        </w:rPr>
        <w:t xml:space="preserve"> </w:t>
      </w:r>
      <w:r w:rsidR="00C90261" w:rsidRPr="00377291">
        <w:rPr>
          <w:rFonts w:eastAsiaTheme="minorHAnsi"/>
          <w:color w:val="000000"/>
        </w:rPr>
        <w:t xml:space="preserve">pamatojumu, un </w:t>
      </w:r>
      <w:proofErr w:type="spellStart"/>
      <w:r w:rsidR="00C90261" w:rsidRPr="00377291">
        <w:rPr>
          <w:rFonts w:eastAsiaTheme="minorHAnsi"/>
          <w:color w:val="000000"/>
        </w:rPr>
        <w:t>nosūta</w:t>
      </w:r>
      <w:proofErr w:type="spellEnd"/>
      <w:r w:rsidR="00C90261" w:rsidRPr="00377291">
        <w:rPr>
          <w:rFonts w:eastAsiaTheme="minorHAnsi"/>
          <w:color w:val="000000"/>
        </w:rPr>
        <w:t xml:space="preserve"> attiecīgo datni mērniekam vai komersantam labojumu veikšana</w:t>
      </w:r>
      <w:r w:rsidR="00C90261">
        <w:rPr>
          <w:rFonts w:eastAsiaTheme="minorHAnsi"/>
          <w:color w:val="000000"/>
        </w:rPr>
        <w:t>i.</w:t>
      </w:r>
    </w:p>
    <w:p w14:paraId="1800DC7A" w14:textId="0D90F893" w:rsidR="00303A12" w:rsidRDefault="00CF787B" w:rsidP="00CF787B">
      <w:pPr>
        <w:pStyle w:val="Sarakstarindkopa"/>
        <w:numPr>
          <w:ilvl w:val="0"/>
          <w:numId w:val="4"/>
        </w:numPr>
        <w:spacing w:before="120"/>
        <w:ind w:left="426" w:hanging="426"/>
        <w:contextualSpacing w:val="0"/>
        <w:jc w:val="both"/>
        <w:rPr>
          <w:rFonts w:eastAsiaTheme="minorHAnsi"/>
          <w:color w:val="000000"/>
        </w:rPr>
      </w:pPr>
      <w:r w:rsidRPr="00CF787B">
        <w:rPr>
          <w:rFonts w:eastAsiaTheme="minorHAnsi"/>
          <w:color w:val="000000"/>
        </w:rPr>
        <w:t xml:space="preserve">Ja būvniecības laikā konstatēts, ka apakšzemes inženiertīklu novietojums vai apzīmējums apvidū neatbilst reģistrētajā topogrāfiskajā plānā attēlotajai situācijai, mērnieks vai komersants iesniedz </w:t>
      </w:r>
      <w:r w:rsidR="00C641E3">
        <w:rPr>
          <w:rFonts w:eastAsiaTheme="minorHAnsi"/>
          <w:color w:val="000000"/>
        </w:rPr>
        <w:t>d</w:t>
      </w:r>
      <w:r w:rsidRPr="00CF787B">
        <w:rPr>
          <w:rFonts w:eastAsiaTheme="minorHAnsi"/>
          <w:color w:val="000000"/>
        </w:rPr>
        <w:t xml:space="preserve">atubāzes turētājam informāciju par neatbilstībām </w:t>
      </w:r>
      <w:r w:rsidR="00C641E3">
        <w:rPr>
          <w:rFonts w:eastAsiaTheme="minorHAnsi"/>
          <w:color w:val="000000"/>
        </w:rPr>
        <w:t>(</w:t>
      </w:r>
      <w:r w:rsidRPr="00CF787B">
        <w:rPr>
          <w:rFonts w:eastAsiaTheme="minorHAnsi"/>
          <w:color w:val="000000"/>
        </w:rPr>
        <w:t>konkrētā inženiertīkla uzmērījumu</w:t>
      </w:r>
      <w:r w:rsidR="00C641E3">
        <w:rPr>
          <w:rFonts w:eastAsiaTheme="minorHAnsi"/>
          <w:color w:val="000000"/>
        </w:rPr>
        <w:t>)</w:t>
      </w:r>
      <w:r w:rsidRPr="00CF787B">
        <w:rPr>
          <w:rFonts w:eastAsiaTheme="minorHAnsi"/>
          <w:color w:val="000000"/>
        </w:rPr>
        <w:t>. Ja projektā</w:t>
      </w:r>
      <w:r w:rsidR="00C641E3" w:rsidRPr="00C641E3">
        <w:rPr>
          <w:rFonts w:eastAsiaTheme="minorHAnsi"/>
          <w:color w:val="000000"/>
        </w:rPr>
        <w:t xml:space="preserve"> </w:t>
      </w:r>
      <w:r w:rsidR="00C641E3" w:rsidRPr="00CF787B">
        <w:rPr>
          <w:rFonts w:eastAsiaTheme="minorHAnsi"/>
          <w:color w:val="000000"/>
        </w:rPr>
        <w:t>nav nepieciešamas izmaiņas</w:t>
      </w:r>
      <w:r w:rsidRPr="00CF787B">
        <w:rPr>
          <w:rFonts w:eastAsiaTheme="minorHAnsi"/>
          <w:color w:val="000000"/>
        </w:rPr>
        <w:t xml:space="preserve">, tad šos mērījumus var nodot kopā ar jaunās būves </w:t>
      </w:r>
      <w:proofErr w:type="spellStart"/>
      <w:r w:rsidRPr="00CF787B">
        <w:rPr>
          <w:rFonts w:eastAsiaTheme="minorHAnsi"/>
          <w:color w:val="000000"/>
        </w:rPr>
        <w:t>izpildmērījuma</w:t>
      </w:r>
      <w:proofErr w:type="spellEnd"/>
      <w:r w:rsidRPr="00CF787B">
        <w:rPr>
          <w:rFonts w:eastAsiaTheme="minorHAnsi"/>
          <w:color w:val="000000"/>
        </w:rPr>
        <w:t xml:space="preserve"> plānu.</w:t>
      </w:r>
    </w:p>
    <w:p w14:paraId="241AA1EC" w14:textId="52FFA2AB" w:rsidR="00167FB7" w:rsidRDefault="00CF787B" w:rsidP="00CF787B">
      <w:pPr>
        <w:pStyle w:val="Sarakstarindkopa"/>
        <w:numPr>
          <w:ilvl w:val="0"/>
          <w:numId w:val="4"/>
        </w:numPr>
        <w:spacing w:before="120"/>
        <w:ind w:left="426" w:hanging="426"/>
        <w:contextualSpacing w:val="0"/>
        <w:jc w:val="both"/>
        <w:rPr>
          <w:rFonts w:eastAsiaTheme="minorHAnsi"/>
          <w:color w:val="000000"/>
        </w:rPr>
      </w:pPr>
      <w:r w:rsidRPr="00CF787B">
        <w:rPr>
          <w:rFonts w:eastAsiaTheme="minorHAnsi"/>
          <w:color w:val="000000"/>
        </w:rPr>
        <w:t xml:space="preserve">Sagatavojot būvju </w:t>
      </w:r>
      <w:proofErr w:type="spellStart"/>
      <w:r w:rsidRPr="00CF787B">
        <w:rPr>
          <w:rFonts w:eastAsiaTheme="minorHAnsi"/>
          <w:color w:val="000000"/>
        </w:rPr>
        <w:t>izpildmērījuma</w:t>
      </w:r>
      <w:proofErr w:type="spellEnd"/>
      <w:r w:rsidRPr="00CF787B">
        <w:rPr>
          <w:rFonts w:eastAsiaTheme="minorHAnsi"/>
          <w:color w:val="000000"/>
        </w:rPr>
        <w:t xml:space="preserve"> plānu par ceļa segumu, tajā uzrāda arī seguma virszemes situācijas element</w:t>
      </w:r>
      <w:r w:rsidR="00C641E3">
        <w:rPr>
          <w:rFonts w:eastAsiaTheme="minorHAnsi"/>
          <w:color w:val="000000"/>
        </w:rPr>
        <w:t>us</w:t>
      </w:r>
      <w:r w:rsidRPr="00CF787B">
        <w:rPr>
          <w:rFonts w:eastAsiaTheme="minorHAnsi"/>
          <w:color w:val="000000"/>
        </w:rPr>
        <w:t xml:space="preserve"> (aku vāki, </w:t>
      </w:r>
      <w:proofErr w:type="spellStart"/>
      <w:r w:rsidRPr="00CF787B">
        <w:rPr>
          <w:rFonts w:eastAsiaTheme="minorHAnsi"/>
          <w:color w:val="000000"/>
        </w:rPr>
        <w:t>gūlijas</w:t>
      </w:r>
      <w:proofErr w:type="spellEnd"/>
      <w:r w:rsidR="00C641E3">
        <w:rPr>
          <w:rFonts w:eastAsiaTheme="minorHAnsi"/>
          <w:color w:val="000000"/>
        </w:rPr>
        <w:t>,</w:t>
      </w:r>
      <w:r w:rsidRPr="00CF787B">
        <w:rPr>
          <w:rFonts w:eastAsiaTheme="minorHAnsi"/>
          <w:color w:val="000000"/>
        </w:rPr>
        <w:t xml:space="preserve"> u.tml.).</w:t>
      </w:r>
    </w:p>
    <w:p w14:paraId="2CC29CBF" w14:textId="0AD1BDDE" w:rsidR="00167FB7" w:rsidRDefault="00CF787B" w:rsidP="00CF787B">
      <w:pPr>
        <w:pStyle w:val="Sarakstarindkopa"/>
        <w:numPr>
          <w:ilvl w:val="0"/>
          <w:numId w:val="4"/>
        </w:numPr>
        <w:spacing w:before="120"/>
        <w:ind w:left="426" w:hanging="426"/>
        <w:contextualSpacing w:val="0"/>
        <w:jc w:val="both"/>
        <w:rPr>
          <w:rFonts w:eastAsiaTheme="minorHAnsi"/>
          <w:color w:val="000000"/>
        </w:rPr>
      </w:pPr>
      <w:r w:rsidRPr="00CF787B">
        <w:rPr>
          <w:rFonts w:eastAsiaTheme="minorHAnsi"/>
          <w:color w:val="000000"/>
        </w:rPr>
        <w:t xml:space="preserve">Sagatavojot būvju </w:t>
      </w:r>
      <w:proofErr w:type="spellStart"/>
      <w:r w:rsidRPr="00CF787B">
        <w:rPr>
          <w:rFonts w:eastAsiaTheme="minorHAnsi"/>
          <w:color w:val="000000"/>
        </w:rPr>
        <w:t>izpildmērījuma</w:t>
      </w:r>
      <w:proofErr w:type="spellEnd"/>
      <w:r w:rsidRPr="00CF787B">
        <w:rPr>
          <w:rFonts w:eastAsiaTheme="minorHAnsi"/>
          <w:color w:val="000000"/>
        </w:rPr>
        <w:t xml:space="preserve"> plānu par meliorācijas grāvjiem, to situācijas elementus var uzmērīt </w:t>
      </w:r>
      <w:r w:rsidR="00C641E3">
        <w:rPr>
          <w:rFonts w:eastAsiaTheme="minorHAnsi"/>
          <w:color w:val="000000"/>
        </w:rPr>
        <w:t>saskaņā ar</w:t>
      </w:r>
      <w:r w:rsidR="00C641E3" w:rsidRPr="00CF787B">
        <w:rPr>
          <w:rFonts w:eastAsiaTheme="minorHAnsi"/>
          <w:color w:val="000000"/>
        </w:rPr>
        <w:t xml:space="preserve"> </w:t>
      </w:r>
      <w:r w:rsidRPr="00CF787B">
        <w:rPr>
          <w:rFonts w:eastAsiaTheme="minorHAnsi"/>
          <w:color w:val="000000"/>
        </w:rPr>
        <w:t xml:space="preserve">attiecīgo normatīvu prasībām un mērogiem, </w:t>
      </w:r>
      <w:r w:rsidR="00C641E3">
        <w:rPr>
          <w:rFonts w:eastAsiaTheme="minorHAnsi"/>
          <w:color w:val="000000"/>
        </w:rPr>
        <w:t>taču to</w:t>
      </w:r>
      <w:r w:rsidR="00C641E3" w:rsidRPr="00CF787B">
        <w:rPr>
          <w:rFonts w:eastAsiaTheme="minorHAnsi"/>
          <w:color w:val="000000"/>
        </w:rPr>
        <w:t xml:space="preserve"> </w:t>
      </w:r>
      <w:r w:rsidRPr="00CF787B">
        <w:rPr>
          <w:rFonts w:eastAsiaTheme="minorHAnsi"/>
          <w:color w:val="000000"/>
        </w:rPr>
        <w:t xml:space="preserve">noformē </w:t>
      </w:r>
      <w:r w:rsidR="00C641E3">
        <w:rPr>
          <w:rFonts w:eastAsiaTheme="minorHAnsi"/>
          <w:color w:val="000000"/>
        </w:rPr>
        <w:t>saskaņā</w:t>
      </w:r>
      <w:r w:rsidR="00C641E3" w:rsidRPr="00CF787B">
        <w:rPr>
          <w:rFonts w:eastAsiaTheme="minorHAnsi"/>
          <w:color w:val="000000"/>
        </w:rPr>
        <w:t xml:space="preserve"> </w:t>
      </w:r>
      <w:r w:rsidRPr="00CF787B">
        <w:rPr>
          <w:rFonts w:eastAsiaTheme="minorHAnsi"/>
          <w:color w:val="000000"/>
        </w:rPr>
        <w:t xml:space="preserve">augstas detalizācijas topogrāfiskās informācijas apzīmējumu prasībām, lai topogrāfisko informāciju </w:t>
      </w:r>
      <w:r w:rsidR="00C641E3">
        <w:rPr>
          <w:rFonts w:eastAsiaTheme="minorHAnsi"/>
          <w:color w:val="000000"/>
        </w:rPr>
        <w:t xml:space="preserve">būtu iespējams </w:t>
      </w:r>
      <w:r w:rsidRPr="00CF787B">
        <w:rPr>
          <w:rFonts w:eastAsiaTheme="minorHAnsi"/>
          <w:color w:val="000000"/>
        </w:rPr>
        <w:t>reģistrēt datubāzē.</w:t>
      </w:r>
    </w:p>
    <w:p w14:paraId="41042633" w14:textId="2B6D9DD4" w:rsidR="00167FB7" w:rsidRDefault="00CF787B" w:rsidP="00CF787B">
      <w:pPr>
        <w:pStyle w:val="Sarakstarindkopa"/>
        <w:numPr>
          <w:ilvl w:val="0"/>
          <w:numId w:val="4"/>
        </w:numPr>
        <w:spacing w:before="120"/>
        <w:ind w:left="426" w:hanging="426"/>
        <w:contextualSpacing w:val="0"/>
        <w:jc w:val="both"/>
        <w:rPr>
          <w:rFonts w:eastAsiaTheme="minorHAnsi"/>
          <w:color w:val="000000"/>
        </w:rPr>
      </w:pPr>
      <w:r w:rsidRPr="00CF787B">
        <w:rPr>
          <w:rFonts w:eastAsiaTheme="minorHAnsi"/>
          <w:color w:val="000000"/>
        </w:rPr>
        <w:t>Būvvalde nesaskaņo būvprojektus, ja topogrāfiskais plāns</w:t>
      </w:r>
      <w:r>
        <w:rPr>
          <w:rFonts w:eastAsiaTheme="minorHAnsi"/>
          <w:color w:val="000000"/>
        </w:rPr>
        <w:t xml:space="preserve"> vai būvju situācijas plāns</w:t>
      </w:r>
      <w:r w:rsidRPr="00CF787B">
        <w:rPr>
          <w:rFonts w:eastAsiaTheme="minorHAnsi"/>
          <w:color w:val="000000"/>
        </w:rPr>
        <w:t xml:space="preserve"> nav reģistrēts datubāzē.</w:t>
      </w:r>
    </w:p>
    <w:p w14:paraId="573A520F" w14:textId="274C9FFD" w:rsidR="00167FB7" w:rsidRDefault="00B523F5" w:rsidP="00B523F5">
      <w:pPr>
        <w:pStyle w:val="Sarakstarindkopa"/>
        <w:numPr>
          <w:ilvl w:val="0"/>
          <w:numId w:val="4"/>
        </w:numPr>
        <w:spacing w:before="120"/>
        <w:ind w:left="426" w:hanging="426"/>
        <w:contextualSpacing w:val="0"/>
        <w:jc w:val="both"/>
        <w:rPr>
          <w:rFonts w:eastAsiaTheme="minorHAnsi"/>
          <w:color w:val="000000"/>
        </w:rPr>
      </w:pPr>
      <w:r w:rsidRPr="00B523F5">
        <w:rPr>
          <w:rFonts w:eastAsiaTheme="minorHAnsi"/>
          <w:color w:val="000000"/>
        </w:rPr>
        <w:t>Objektu pieņemšana ekspluatācijā netiek</w:t>
      </w:r>
      <w:r w:rsidR="00C641E3">
        <w:rPr>
          <w:rFonts w:eastAsiaTheme="minorHAnsi"/>
          <w:color w:val="000000"/>
        </w:rPr>
        <w:t xml:space="preserve"> veikta</w:t>
      </w:r>
      <w:r w:rsidRPr="00B523F5">
        <w:rPr>
          <w:rFonts w:eastAsiaTheme="minorHAnsi"/>
          <w:color w:val="000000"/>
        </w:rPr>
        <w:t xml:space="preserve">, ja </w:t>
      </w:r>
      <w:proofErr w:type="spellStart"/>
      <w:r w:rsidRPr="00B523F5">
        <w:rPr>
          <w:rFonts w:eastAsiaTheme="minorHAnsi"/>
          <w:color w:val="000000"/>
        </w:rPr>
        <w:t>izpildmērījuma</w:t>
      </w:r>
      <w:proofErr w:type="spellEnd"/>
      <w:r w:rsidRPr="00B523F5">
        <w:rPr>
          <w:rFonts w:eastAsiaTheme="minorHAnsi"/>
          <w:color w:val="000000"/>
        </w:rPr>
        <w:t xml:space="preserve"> plāns vai būvju nojaukšanas (demontāžas) </w:t>
      </w:r>
      <w:proofErr w:type="spellStart"/>
      <w:r w:rsidRPr="00B523F5">
        <w:rPr>
          <w:rFonts w:eastAsiaTheme="minorHAnsi"/>
          <w:color w:val="000000"/>
        </w:rPr>
        <w:t>izpildmērījuma</w:t>
      </w:r>
      <w:proofErr w:type="spellEnd"/>
      <w:r w:rsidRPr="00B523F5">
        <w:rPr>
          <w:rFonts w:eastAsiaTheme="minorHAnsi"/>
          <w:color w:val="000000"/>
        </w:rPr>
        <w:t xml:space="preserve"> plāns nav reģistrēts datubāzē.</w:t>
      </w:r>
    </w:p>
    <w:p w14:paraId="4440A310" w14:textId="465A1FBF" w:rsidR="00CF787B" w:rsidRDefault="0078716F" w:rsidP="00B523F5">
      <w:pPr>
        <w:pStyle w:val="Sarakstarindkopa"/>
        <w:numPr>
          <w:ilvl w:val="0"/>
          <w:numId w:val="4"/>
        </w:numPr>
        <w:spacing w:before="120"/>
        <w:ind w:left="426" w:hanging="426"/>
        <w:contextualSpacing w:val="0"/>
        <w:jc w:val="both"/>
        <w:rPr>
          <w:rFonts w:eastAsiaTheme="minorHAnsi"/>
          <w:color w:val="000000"/>
        </w:rPr>
      </w:pPr>
      <w:r w:rsidRPr="0078716F">
        <w:rPr>
          <w:rFonts w:eastAsiaTheme="minorHAnsi"/>
          <w:color w:val="000000"/>
        </w:rPr>
        <w:lastRenderedPageBreak/>
        <w:t xml:space="preserve">Ja jauna inženiertīkla </w:t>
      </w:r>
      <w:proofErr w:type="spellStart"/>
      <w:r w:rsidRPr="0078716F">
        <w:rPr>
          <w:rFonts w:eastAsiaTheme="minorHAnsi"/>
          <w:color w:val="000000"/>
        </w:rPr>
        <w:t>izpildmērījumu</w:t>
      </w:r>
      <w:proofErr w:type="spellEnd"/>
      <w:r w:rsidRPr="0078716F">
        <w:rPr>
          <w:rFonts w:eastAsiaTheme="minorHAnsi"/>
          <w:color w:val="000000"/>
        </w:rPr>
        <w:t xml:space="preserve"> plānā norāda arī demontētos inženiertīklus, tad </w:t>
      </w:r>
      <w:r w:rsidR="00C641E3">
        <w:rPr>
          <w:rFonts w:eastAsiaTheme="minorHAnsi"/>
          <w:color w:val="000000"/>
        </w:rPr>
        <w:t xml:space="preserve">nepiemēro </w:t>
      </w:r>
      <w:r w:rsidR="00C641E3" w:rsidRPr="0078716F">
        <w:rPr>
          <w:rFonts w:eastAsiaTheme="minorHAnsi"/>
          <w:color w:val="000000"/>
        </w:rPr>
        <w:t>papildu maks</w:t>
      </w:r>
      <w:r w:rsidR="00C641E3">
        <w:rPr>
          <w:rFonts w:eastAsiaTheme="minorHAnsi"/>
          <w:color w:val="000000"/>
        </w:rPr>
        <w:t>u</w:t>
      </w:r>
      <w:r w:rsidR="00C641E3" w:rsidRPr="0078716F">
        <w:rPr>
          <w:rFonts w:eastAsiaTheme="minorHAnsi"/>
          <w:color w:val="000000"/>
        </w:rPr>
        <w:t xml:space="preserve"> par demontēto posmu</w:t>
      </w:r>
      <w:r w:rsidRPr="0078716F">
        <w:rPr>
          <w:rFonts w:eastAsiaTheme="minorHAnsi"/>
          <w:color w:val="000000"/>
        </w:rPr>
        <w:t xml:space="preserve">. Ja nepieciešams, abus </w:t>
      </w:r>
      <w:proofErr w:type="spellStart"/>
      <w:r w:rsidRPr="0078716F">
        <w:rPr>
          <w:rFonts w:eastAsiaTheme="minorHAnsi"/>
          <w:color w:val="000000"/>
        </w:rPr>
        <w:t>izpildmērījumus</w:t>
      </w:r>
      <w:proofErr w:type="spellEnd"/>
      <w:r w:rsidRPr="0078716F">
        <w:rPr>
          <w:rFonts w:eastAsiaTheme="minorHAnsi"/>
          <w:color w:val="000000"/>
        </w:rPr>
        <w:t xml:space="preserve"> var noformēt atsevišķi, </w:t>
      </w:r>
      <w:r w:rsidR="00C641E3">
        <w:rPr>
          <w:rFonts w:eastAsiaTheme="minorHAnsi"/>
          <w:color w:val="000000"/>
        </w:rPr>
        <w:t xml:space="preserve">bet </w:t>
      </w:r>
      <w:r w:rsidRPr="0078716F">
        <w:rPr>
          <w:rFonts w:eastAsiaTheme="minorHAnsi"/>
          <w:color w:val="000000"/>
        </w:rPr>
        <w:t>iesnie</w:t>
      </w:r>
      <w:r w:rsidR="00C641E3">
        <w:rPr>
          <w:rFonts w:eastAsiaTheme="minorHAnsi"/>
          <w:color w:val="000000"/>
        </w:rPr>
        <w:t>dz</w:t>
      </w:r>
      <w:r w:rsidRPr="0078716F">
        <w:rPr>
          <w:rFonts w:eastAsiaTheme="minorHAnsi"/>
          <w:color w:val="000000"/>
        </w:rPr>
        <w:t xml:space="preserve"> kopā.</w:t>
      </w:r>
    </w:p>
    <w:p w14:paraId="7EBC8256" w14:textId="00FB935F" w:rsidR="00CF787B" w:rsidRDefault="0078716F" w:rsidP="0078716F">
      <w:pPr>
        <w:pStyle w:val="Sarakstarindkopa"/>
        <w:numPr>
          <w:ilvl w:val="0"/>
          <w:numId w:val="4"/>
        </w:numPr>
        <w:spacing w:before="120"/>
        <w:ind w:left="426" w:hanging="426"/>
        <w:contextualSpacing w:val="0"/>
        <w:jc w:val="both"/>
        <w:rPr>
          <w:rFonts w:eastAsiaTheme="minorHAnsi"/>
          <w:color w:val="000000"/>
        </w:rPr>
      </w:pPr>
      <w:r w:rsidRPr="0078716F">
        <w:rPr>
          <w:rFonts w:eastAsiaTheme="minorHAnsi"/>
          <w:color w:val="000000"/>
        </w:rPr>
        <w:t xml:space="preserve">Saņemot personas rakstveida iesniegumu par būvju situācijas plāna izsniegšanu, </w:t>
      </w:r>
      <w:r w:rsidR="00C641E3">
        <w:rPr>
          <w:rFonts w:eastAsiaTheme="minorHAnsi"/>
          <w:color w:val="000000"/>
        </w:rPr>
        <w:t>d</w:t>
      </w:r>
      <w:r w:rsidRPr="0078716F">
        <w:rPr>
          <w:rFonts w:eastAsiaTheme="minorHAnsi"/>
          <w:color w:val="000000"/>
        </w:rPr>
        <w:t xml:space="preserve">atubāzes turētājs izvērtē </w:t>
      </w:r>
      <w:r w:rsidR="00C641E3">
        <w:rPr>
          <w:rFonts w:eastAsiaTheme="minorHAnsi"/>
          <w:color w:val="000000"/>
        </w:rPr>
        <w:t xml:space="preserve">tā </w:t>
      </w:r>
      <w:r w:rsidR="00C641E3" w:rsidRPr="0078716F">
        <w:rPr>
          <w:rFonts w:eastAsiaTheme="minorHAnsi"/>
          <w:color w:val="000000"/>
        </w:rPr>
        <w:t>sagatavo</w:t>
      </w:r>
      <w:r w:rsidR="00C641E3">
        <w:rPr>
          <w:rFonts w:eastAsiaTheme="minorHAnsi"/>
          <w:color w:val="000000"/>
        </w:rPr>
        <w:t>šanas</w:t>
      </w:r>
      <w:r w:rsidR="00C641E3" w:rsidRPr="0078716F">
        <w:rPr>
          <w:rFonts w:eastAsiaTheme="minorHAnsi"/>
          <w:color w:val="000000"/>
        </w:rPr>
        <w:t xml:space="preserve"> </w:t>
      </w:r>
      <w:r w:rsidRPr="0078716F">
        <w:rPr>
          <w:rFonts w:eastAsiaTheme="minorHAnsi"/>
          <w:color w:val="000000"/>
        </w:rPr>
        <w:t xml:space="preserve">iespēju. Ja plānu iespējams sagatavot, to izsniedz 10 darbadienu laikā pēc samaksas saņemšanas. </w:t>
      </w:r>
      <w:r w:rsidR="00C641E3">
        <w:rPr>
          <w:rFonts w:eastAsiaTheme="minorHAnsi"/>
          <w:color w:val="000000"/>
        </w:rPr>
        <w:t>P</w:t>
      </w:r>
      <w:r w:rsidRPr="0078716F">
        <w:rPr>
          <w:rFonts w:eastAsiaTheme="minorHAnsi"/>
          <w:color w:val="000000"/>
        </w:rPr>
        <w:t>lān</w:t>
      </w:r>
      <w:r w:rsidR="005A7DAF">
        <w:rPr>
          <w:rFonts w:eastAsiaTheme="minorHAnsi"/>
          <w:color w:val="000000"/>
        </w:rPr>
        <w:t>u</w:t>
      </w:r>
      <w:r w:rsidRPr="0078716F">
        <w:rPr>
          <w:rFonts w:eastAsiaTheme="minorHAnsi"/>
          <w:color w:val="000000"/>
        </w:rPr>
        <w:t xml:space="preserve"> negatavo, ja datubāzē nav informācijas par visu pieprasīto teritoriju</w:t>
      </w:r>
      <w:r w:rsidR="005A7DAF">
        <w:rPr>
          <w:rFonts w:eastAsiaTheme="minorHAnsi"/>
          <w:color w:val="000000"/>
        </w:rPr>
        <w:t>,</w:t>
      </w:r>
      <w:r w:rsidRPr="0078716F">
        <w:rPr>
          <w:rFonts w:eastAsiaTheme="minorHAnsi"/>
          <w:color w:val="000000"/>
        </w:rPr>
        <w:t xml:space="preserve"> vai </w:t>
      </w:r>
      <w:r w:rsidR="005A7DAF">
        <w:rPr>
          <w:rFonts w:eastAsiaTheme="minorHAnsi"/>
          <w:color w:val="000000"/>
        </w:rPr>
        <w:t xml:space="preserve">arī </w:t>
      </w:r>
      <w:r w:rsidRPr="0078716F">
        <w:rPr>
          <w:rFonts w:eastAsiaTheme="minorHAnsi"/>
          <w:color w:val="000000"/>
        </w:rPr>
        <w:t>virszemes stāvoklis apvidū neatbilst datubāzē uzkrātajai topogrāfiskajai informācijai.</w:t>
      </w:r>
    </w:p>
    <w:p w14:paraId="6993479D" w14:textId="0A583A69" w:rsidR="00797C46" w:rsidRDefault="0078716F" w:rsidP="0078716F">
      <w:pPr>
        <w:pStyle w:val="Sarakstarindkopa"/>
        <w:numPr>
          <w:ilvl w:val="0"/>
          <w:numId w:val="4"/>
        </w:numPr>
        <w:spacing w:before="120"/>
        <w:ind w:left="426" w:hanging="426"/>
        <w:contextualSpacing w:val="0"/>
        <w:jc w:val="both"/>
        <w:rPr>
          <w:rFonts w:eastAsiaTheme="minorHAnsi"/>
          <w:color w:val="000000"/>
        </w:rPr>
      </w:pPr>
      <w:r w:rsidRPr="0078716F">
        <w:rPr>
          <w:rFonts w:eastAsiaTheme="minorHAnsi"/>
          <w:color w:val="000000"/>
        </w:rPr>
        <w:t xml:space="preserve">Būvju situācijas plānu, ko izgatavojis mērnieks, nodod pārbaudei </w:t>
      </w:r>
      <w:r w:rsidR="005A7DAF">
        <w:rPr>
          <w:rFonts w:eastAsiaTheme="minorHAnsi"/>
          <w:color w:val="000000"/>
        </w:rPr>
        <w:t>d</w:t>
      </w:r>
      <w:r w:rsidRPr="0078716F">
        <w:rPr>
          <w:rFonts w:eastAsiaTheme="minorHAnsi"/>
          <w:color w:val="000000"/>
        </w:rPr>
        <w:t xml:space="preserve">atubāzes turētājam, lai pārbaudītu </w:t>
      </w:r>
      <w:r w:rsidR="005A7DAF">
        <w:rPr>
          <w:rFonts w:eastAsiaTheme="minorHAnsi"/>
          <w:color w:val="000000"/>
        </w:rPr>
        <w:t xml:space="preserve">tā </w:t>
      </w:r>
      <w:r w:rsidRPr="0078716F">
        <w:rPr>
          <w:rFonts w:eastAsiaTheme="minorHAnsi"/>
          <w:color w:val="000000"/>
        </w:rPr>
        <w:t>atbilstību normatīvajiem aktiem un ievietotu datubāzē</w:t>
      </w:r>
      <w:r w:rsidR="005A7DAF" w:rsidRPr="005A7DAF">
        <w:rPr>
          <w:rFonts w:eastAsiaTheme="minorHAnsi"/>
          <w:color w:val="000000"/>
        </w:rPr>
        <w:t xml:space="preserve"> </w:t>
      </w:r>
      <w:r w:rsidR="005A7DAF" w:rsidRPr="0078716F">
        <w:rPr>
          <w:rFonts w:eastAsiaTheme="minorHAnsi"/>
          <w:color w:val="000000"/>
        </w:rPr>
        <w:t>aktuālo topogrāfisko informāciju</w:t>
      </w:r>
      <w:r w:rsidRPr="0078716F">
        <w:rPr>
          <w:rFonts w:eastAsiaTheme="minorHAnsi"/>
          <w:color w:val="000000"/>
        </w:rPr>
        <w:t>.</w:t>
      </w:r>
    </w:p>
    <w:p w14:paraId="332E7A8F" w14:textId="070C9C07" w:rsidR="0078716F" w:rsidRDefault="0078716F" w:rsidP="0078716F">
      <w:pPr>
        <w:pStyle w:val="Sarakstarindkopa"/>
        <w:numPr>
          <w:ilvl w:val="0"/>
          <w:numId w:val="4"/>
        </w:numPr>
        <w:spacing w:before="120"/>
        <w:ind w:left="426" w:hanging="426"/>
        <w:contextualSpacing w:val="0"/>
        <w:jc w:val="both"/>
        <w:rPr>
          <w:rFonts w:eastAsiaTheme="minorHAnsi"/>
          <w:color w:val="000000"/>
        </w:rPr>
      </w:pPr>
      <w:r w:rsidRPr="0078716F">
        <w:rPr>
          <w:rFonts w:eastAsiaTheme="minorHAnsi"/>
          <w:color w:val="000000"/>
        </w:rPr>
        <w:t xml:space="preserve">Zemes ierīcības projektu grafiskās daļas nodod pārbaudei </w:t>
      </w:r>
      <w:r w:rsidR="005A7DAF">
        <w:rPr>
          <w:rFonts w:eastAsiaTheme="minorHAnsi"/>
          <w:color w:val="000000"/>
        </w:rPr>
        <w:t>d</w:t>
      </w:r>
      <w:r w:rsidRPr="0078716F">
        <w:rPr>
          <w:rFonts w:eastAsiaTheme="minorHAnsi"/>
          <w:color w:val="000000"/>
        </w:rPr>
        <w:t xml:space="preserve">atubāzes turētājam, lai noteiktu esošo un projektēto ielu sarkano līniju aizsargjoslu atbilstību reālajai situācijai un </w:t>
      </w:r>
      <w:r w:rsidR="005A7DAF">
        <w:rPr>
          <w:rFonts w:eastAsiaTheme="minorHAnsi"/>
          <w:color w:val="000000"/>
        </w:rPr>
        <w:t>P</w:t>
      </w:r>
      <w:r w:rsidRPr="0078716F">
        <w:rPr>
          <w:rFonts w:eastAsiaTheme="minorHAnsi"/>
          <w:color w:val="000000"/>
        </w:rPr>
        <w:t>ašvaldības plānotajām aizsargjoslu novietnēm</w:t>
      </w:r>
      <w:r w:rsidR="005A7DAF">
        <w:rPr>
          <w:rFonts w:eastAsiaTheme="minorHAnsi"/>
          <w:color w:val="000000"/>
        </w:rPr>
        <w:t xml:space="preserve">, </w:t>
      </w:r>
      <w:r w:rsidRPr="0078716F">
        <w:rPr>
          <w:rFonts w:eastAsiaTheme="minorHAnsi"/>
          <w:color w:val="000000"/>
        </w:rPr>
        <w:t xml:space="preserve">vai </w:t>
      </w:r>
      <w:r w:rsidR="005A7DAF">
        <w:rPr>
          <w:rFonts w:eastAsiaTheme="minorHAnsi"/>
          <w:color w:val="000000"/>
        </w:rPr>
        <w:t xml:space="preserve">arī, lai </w:t>
      </w:r>
      <w:r w:rsidRPr="0078716F">
        <w:rPr>
          <w:rFonts w:eastAsiaTheme="minorHAnsi"/>
          <w:color w:val="000000"/>
        </w:rPr>
        <w:t>veiktu to aktualizēšanu.</w:t>
      </w:r>
    </w:p>
    <w:p w14:paraId="70767D27" w14:textId="77777777" w:rsidR="0078716F" w:rsidRPr="006607A5" w:rsidRDefault="0078716F" w:rsidP="00EF3B4C">
      <w:pPr>
        <w:spacing w:before="120" w:after="120"/>
        <w:jc w:val="center"/>
        <w:rPr>
          <w:b/>
          <w:bCs/>
        </w:rPr>
      </w:pPr>
      <w:r>
        <w:rPr>
          <w:b/>
          <w:bCs/>
        </w:rPr>
        <w:t>III</w:t>
      </w:r>
      <w:r w:rsidRPr="006607A5">
        <w:rPr>
          <w:b/>
          <w:bCs/>
        </w:rPr>
        <w:t>. Ģeotelpiskās informācijas pakalpojumu cenrādis</w:t>
      </w:r>
    </w:p>
    <w:p w14:paraId="757464CF" w14:textId="2586B91F" w:rsidR="0078716F" w:rsidRDefault="00587E57" w:rsidP="00587E57">
      <w:pPr>
        <w:pStyle w:val="Sarakstarindkopa"/>
        <w:numPr>
          <w:ilvl w:val="0"/>
          <w:numId w:val="4"/>
        </w:numPr>
        <w:spacing w:before="120"/>
        <w:ind w:left="426" w:hanging="426"/>
        <w:contextualSpacing w:val="0"/>
        <w:jc w:val="both"/>
        <w:rPr>
          <w:rFonts w:eastAsiaTheme="minorHAnsi"/>
          <w:color w:val="000000"/>
        </w:rPr>
      </w:pPr>
      <w:r w:rsidRPr="00587E57">
        <w:rPr>
          <w:rFonts w:eastAsiaTheme="minorHAnsi"/>
          <w:color w:val="000000"/>
        </w:rPr>
        <w:t xml:space="preserve">Ģeotelpiskās informācijas pakalpojumu (turpmāk – pakalpojumi) </w:t>
      </w:r>
      <w:r w:rsidR="005A7DAF">
        <w:rPr>
          <w:rFonts w:eastAsiaTheme="minorHAnsi"/>
          <w:color w:val="000000"/>
        </w:rPr>
        <w:t>izcenojumi noteikti</w:t>
      </w:r>
      <w:r>
        <w:rPr>
          <w:rFonts w:eastAsiaTheme="minorHAnsi"/>
          <w:color w:val="000000"/>
        </w:rPr>
        <w:t xml:space="preserve"> </w:t>
      </w:r>
      <w:r w:rsidR="005A7DAF" w:rsidRPr="00587E57">
        <w:rPr>
          <w:rFonts w:eastAsiaTheme="minorHAnsi"/>
          <w:color w:val="000000"/>
        </w:rPr>
        <w:t>cenrād</w:t>
      </w:r>
      <w:r w:rsidR="005A7DAF">
        <w:rPr>
          <w:rFonts w:eastAsiaTheme="minorHAnsi"/>
          <w:color w:val="000000"/>
        </w:rPr>
        <w:t>ī</w:t>
      </w:r>
      <w:r w:rsidR="005A7DAF" w:rsidRPr="00587E57">
        <w:rPr>
          <w:rFonts w:eastAsiaTheme="minorHAnsi"/>
          <w:color w:val="000000"/>
        </w:rPr>
        <w:t xml:space="preserve"> </w:t>
      </w:r>
      <w:r w:rsidR="005A7DAF">
        <w:rPr>
          <w:rFonts w:eastAsiaTheme="minorHAnsi"/>
          <w:color w:val="000000"/>
        </w:rPr>
        <w:t>(</w:t>
      </w:r>
      <w:r w:rsidRPr="00587E57">
        <w:rPr>
          <w:rFonts w:eastAsiaTheme="minorHAnsi"/>
          <w:color w:val="000000"/>
        </w:rPr>
        <w:t>pielikumā</w:t>
      </w:r>
      <w:r w:rsidR="005A7DAF">
        <w:rPr>
          <w:rFonts w:eastAsiaTheme="minorHAnsi"/>
          <w:color w:val="000000"/>
        </w:rPr>
        <w:t>)</w:t>
      </w:r>
      <w:r w:rsidRPr="00587E57">
        <w:rPr>
          <w:rFonts w:eastAsiaTheme="minorHAnsi"/>
          <w:color w:val="000000"/>
        </w:rPr>
        <w:t>.</w:t>
      </w:r>
    </w:p>
    <w:p w14:paraId="0D4C5F2D" w14:textId="49BEEF86" w:rsidR="0078716F" w:rsidRDefault="002F7E66" w:rsidP="002F7E66">
      <w:pPr>
        <w:pStyle w:val="Sarakstarindkopa"/>
        <w:numPr>
          <w:ilvl w:val="0"/>
          <w:numId w:val="4"/>
        </w:numPr>
        <w:spacing w:before="120"/>
        <w:ind w:left="426" w:hanging="426"/>
        <w:contextualSpacing w:val="0"/>
        <w:jc w:val="both"/>
        <w:rPr>
          <w:rFonts w:eastAsiaTheme="minorHAnsi"/>
          <w:color w:val="000000"/>
        </w:rPr>
      </w:pPr>
      <w:r w:rsidRPr="002F7E66">
        <w:rPr>
          <w:rFonts w:eastAsiaTheme="minorHAnsi"/>
          <w:color w:val="000000"/>
        </w:rPr>
        <w:t xml:space="preserve">Samaksu par pakalpojumiem veic pirms pakalpojuma saņemšanas, pamatojoties uz </w:t>
      </w:r>
      <w:r w:rsidR="005A7DAF">
        <w:rPr>
          <w:rFonts w:eastAsiaTheme="minorHAnsi"/>
          <w:color w:val="000000"/>
        </w:rPr>
        <w:t xml:space="preserve">Pašvaldības </w:t>
      </w:r>
      <w:r w:rsidRPr="002F7E66">
        <w:rPr>
          <w:rFonts w:eastAsiaTheme="minorHAnsi"/>
          <w:color w:val="000000"/>
        </w:rPr>
        <w:t>izsniegt</w:t>
      </w:r>
      <w:r w:rsidR="005A7DAF">
        <w:rPr>
          <w:rFonts w:eastAsiaTheme="minorHAnsi"/>
          <w:color w:val="000000"/>
        </w:rPr>
        <w:t>u</w:t>
      </w:r>
      <w:r w:rsidRPr="002F7E66">
        <w:rPr>
          <w:rFonts w:eastAsiaTheme="minorHAnsi"/>
          <w:color w:val="000000"/>
        </w:rPr>
        <w:t xml:space="preserve"> rēķinu</w:t>
      </w:r>
      <w:r w:rsidR="005A7DAF">
        <w:rPr>
          <w:rFonts w:eastAsiaTheme="minorHAnsi"/>
          <w:color w:val="000000"/>
        </w:rPr>
        <w:t>,</w:t>
      </w:r>
      <w:r w:rsidRPr="002F7E66">
        <w:rPr>
          <w:rFonts w:eastAsiaTheme="minorHAnsi"/>
          <w:color w:val="000000"/>
        </w:rPr>
        <w:t xml:space="preserve"> tajā norādītajā termiņā un kārtībā. Samaksu var veikt ar pēcmaksu, ja ar </w:t>
      </w:r>
      <w:r w:rsidR="005A7DAF">
        <w:rPr>
          <w:rFonts w:eastAsiaTheme="minorHAnsi"/>
          <w:color w:val="000000"/>
        </w:rPr>
        <w:t>d</w:t>
      </w:r>
      <w:r w:rsidRPr="002F7E66">
        <w:rPr>
          <w:rFonts w:eastAsiaTheme="minorHAnsi"/>
          <w:color w:val="000000"/>
        </w:rPr>
        <w:t>atubāzes turētāju ir noslēgts līgums par pakalpojumu apmaksu ar pēcmaksu.</w:t>
      </w:r>
    </w:p>
    <w:p w14:paraId="0D32A74B" w14:textId="44E97481" w:rsidR="002F7E66" w:rsidRPr="006607A5" w:rsidRDefault="007F09BF" w:rsidP="00EF3B4C">
      <w:pPr>
        <w:pStyle w:val="Sarakstarindkopa"/>
        <w:widowControl w:val="0"/>
        <w:numPr>
          <w:ilvl w:val="0"/>
          <w:numId w:val="4"/>
        </w:numPr>
        <w:tabs>
          <w:tab w:val="left" w:pos="426"/>
        </w:tabs>
        <w:autoSpaceDE w:val="0"/>
        <w:autoSpaceDN w:val="0"/>
        <w:spacing w:before="120"/>
        <w:ind w:left="426" w:right="113" w:hanging="426"/>
        <w:contextualSpacing w:val="0"/>
        <w:jc w:val="both"/>
      </w:pPr>
      <w:r>
        <w:t>P</w:t>
      </w:r>
      <w:r w:rsidRPr="001F1897">
        <w:t>ašvaldība</w:t>
      </w:r>
      <w:r>
        <w:t>i,</w:t>
      </w:r>
      <w:r w:rsidRPr="001F1897">
        <w:t xml:space="preserve"> </w:t>
      </w:r>
      <w:r>
        <w:t xml:space="preserve">kā arī </w:t>
      </w:r>
      <w:r w:rsidRPr="001F1897">
        <w:t>tās iestā</w:t>
      </w:r>
      <w:r>
        <w:t>dēm</w:t>
      </w:r>
      <w:r w:rsidRPr="001F1897">
        <w:t xml:space="preserve"> un kapitālsabiedrīb</w:t>
      </w:r>
      <w:r>
        <w:t>ām p</w:t>
      </w:r>
      <w:r w:rsidRPr="001F1897">
        <w:t>akalpojumu</w:t>
      </w:r>
      <w:r>
        <w:t xml:space="preserve"> sniedz bez maksas</w:t>
      </w:r>
      <w:r w:rsidR="002F7E66" w:rsidRPr="001F1897">
        <w:t xml:space="preserve">. </w:t>
      </w:r>
      <w:r w:rsidR="0045755D">
        <w:t>Šādā gadījumā d</w:t>
      </w:r>
      <w:r w:rsidR="002F7E66" w:rsidRPr="001F1897">
        <w:t>arbu izpildītāj</w:t>
      </w:r>
      <w:r w:rsidR="0045755D">
        <w:t>s</w:t>
      </w:r>
      <w:r w:rsidR="002F7E66" w:rsidRPr="001F1897">
        <w:t xml:space="preserve"> sagatavotās dokumentācijas (plānā, </w:t>
      </w:r>
      <w:proofErr w:type="spellStart"/>
      <w:r w:rsidR="002F7E66" w:rsidRPr="001F1897">
        <w:t>izpildshēmā</w:t>
      </w:r>
      <w:proofErr w:type="spellEnd"/>
      <w:r w:rsidR="002F7E66" w:rsidRPr="001F1897">
        <w:t>, projektā, plānojumā</w:t>
      </w:r>
      <w:r>
        <w:t>,</w:t>
      </w:r>
      <w:r w:rsidR="002F7E66" w:rsidRPr="001F1897">
        <w:t xml:space="preserve"> u.c.) </w:t>
      </w:r>
      <w:proofErr w:type="spellStart"/>
      <w:r w:rsidR="002F7E66" w:rsidRPr="001F1897">
        <w:t>rakstlaukumā</w:t>
      </w:r>
      <w:proofErr w:type="spellEnd"/>
      <w:r w:rsidR="002F7E66" w:rsidRPr="001F1897">
        <w:t xml:space="preserve"> </w:t>
      </w:r>
      <w:r w:rsidR="003B43C9">
        <w:t>veic ierakstu par</w:t>
      </w:r>
      <w:r w:rsidR="002F7E66" w:rsidRPr="001F1897">
        <w:t xml:space="preserve"> pasūtītāj</w:t>
      </w:r>
      <w:r>
        <w:t xml:space="preserve">u </w:t>
      </w:r>
      <w:r w:rsidR="002F7E66" w:rsidRPr="001F1897">
        <w:t>"</w:t>
      </w:r>
      <w:r w:rsidR="002F7E66">
        <w:t>Ādažu</w:t>
      </w:r>
      <w:r w:rsidR="002F7E66" w:rsidRPr="001F1897">
        <w:t xml:space="preserve"> novada pašvaldība".</w:t>
      </w:r>
    </w:p>
    <w:p w14:paraId="5B685B6E" w14:textId="4B2764AF" w:rsidR="002F7E66" w:rsidRPr="002F7E66" w:rsidRDefault="002F7E66" w:rsidP="00EF3B4C">
      <w:pPr>
        <w:pStyle w:val="Sarakstarindkopa"/>
        <w:spacing w:before="120" w:after="120"/>
        <w:ind w:left="357"/>
        <w:contextualSpacing w:val="0"/>
        <w:jc w:val="center"/>
        <w:rPr>
          <w:b/>
          <w:bCs/>
        </w:rPr>
      </w:pPr>
      <w:r w:rsidRPr="002F7E66">
        <w:rPr>
          <w:b/>
          <w:bCs/>
        </w:rPr>
        <w:t>IV. Noslēguma jautājum</w:t>
      </w:r>
      <w:r w:rsidR="007F09BF">
        <w:rPr>
          <w:b/>
          <w:bCs/>
        </w:rPr>
        <w:t>i</w:t>
      </w:r>
    </w:p>
    <w:p w14:paraId="063B6662" w14:textId="7A12A5F5" w:rsidR="002F7E66" w:rsidRPr="00686ED2" w:rsidRDefault="002F7E66" w:rsidP="00EF3B4C">
      <w:pPr>
        <w:pStyle w:val="Sarakstarindkopa"/>
        <w:widowControl w:val="0"/>
        <w:numPr>
          <w:ilvl w:val="0"/>
          <w:numId w:val="4"/>
        </w:numPr>
        <w:tabs>
          <w:tab w:val="left" w:pos="547"/>
        </w:tabs>
        <w:autoSpaceDE w:val="0"/>
        <w:autoSpaceDN w:val="0"/>
        <w:spacing w:before="120"/>
        <w:ind w:left="426" w:right="113" w:hanging="426"/>
        <w:contextualSpacing w:val="0"/>
        <w:jc w:val="both"/>
      </w:pPr>
      <w:r>
        <w:t>Augstas detalizācijas topogrāfiskā plāna derīguma termiņš ir divi gadi no datuma, kad</w:t>
      </w:r>
      <w:r w:rsidRPr="006607A5">
        <w:t xml:space="preserve"> </w:t>
      </w:r>
      <w:r>
        <w:t>topogrāfiskais</w:t>
      </w:r>
      <w:r w:rsidRPr="006607A5">
        <w:t xml:space="preserve"> </w:t>
      </w:r>
      <w:r>
        <w:t>plāns</w:t>
      </w:r>
      <w:r w:rsidRPr="006607A5">
        <w:t xml:space="preserve"> </w:t>
      </w:r>
      <w:r>
        <w:t>tik</w:t>
      </w:r>
      <w:r w:rsidR="003B43C9">
        <w:t>a</w:t>
      </w:r>
      <w:r w:rsidRPr="006607A5">
        <w:t xml:space="preserve"> </w:t>
      </w:r>
      <w:r>
        <w:t>saskaņots</w:t>
      </w:r>
      <w:r w:rsidRPr="006607A5">
        <w:t xml:space="preserve"> </w:t>
      </w:r>
      <w:r>
        <w:t>ar</w:t>
      </w:r>
      <w:r w:rsidRPr="006607A5">
        <w:t xml:space="preserve"> </w:t>
      </w:r>
      <w:r w:rsidR="003B43C9">
        <w:t>d</w:t>
      </w:r>
      <w:r>
        <w:t>atubāzes turētāju,</w:t>
      </w:r>
      <w:r w:rsidRPr="006607A5">
        <w:t xml:space="preserve"> </w:t>
      </w:r>
      <w:r>
        <w:t>ja</w:t>
      </w:r>
      <w:r w:rsidRPr="006607A5">
        <w:t xml:space="preserve"> </w:t>
      </w:r>
      <w:r>
        <w:t>nav notikušas</w:t>
      </w:r>
      <w:r w:rsidRPr="006607A5">
        <w:t xml:space="preserve"> </w:t>
      </w:r>
      <w:r>
        <w:t>izmaiņas</w:t>
      </w:r>
      <w:r w:rsidRPr="006607A5">
        <w:t xml:space="preserve"> </w:t>
      </w:r>
      <w:r>
        <w:t>virszemes situācijā</w:t>
      </w:r>
      <w:r w:rsidRPr="006607A5">
        <w:t xml:space="preserve"> </w:t>
      </w:r>
      <w:r>
        <w:t>un komunikāciju</w:t>
      </w:r>
      <w:r w:rsidRPr="006607A5">
        <w:t xml:space="preserve"> </w:t>
      </w:r>
      <w:r>
        <w:t>novietojumā.</w:t>
      </w:r>
    </w:p>
    <w:p w14:paraId="5BB1B470" w14:textId="1BB66F32" w:rsidR="002F7E66" w:rsidRPr="00AF0672" w:rsidRDefault="002F7E66" w:rsidP="00EF3B4C">
      <w:pPr>
        <w:pStyle w:val="Sarakstarindkopa"/>
        <w:widowControl w:val="0"/>
        <w:numPr>
          <w:ilvl w:val="0"/>
          <w:numId w:val="4"/>
        </w:numPr>
        <w:tabs>
          <w:tab w:val="left" w:pos="426"/>
        </w:tabs>
        <w:autoSpaceDE w:val="0"/>
        <w:autoSpaceDN w:val="0"/>
        <w:spacing w:before="120"/>
        <w:ind w:left="426" w:right="113" w:hanging="426"/>
        <w:contextualSpacing w:val="0"/>
        <w:jc w:val="both"/>
      </w:pPr>
      <w:r>
        <w:t>Ar šo noteikumu spēkā stāšanos spēku zaudē Ādažu novada</w:t>
      </w:r>
      <w:r w:rsidRPr="006607A5">
        <w:t xml:space="preserve"> </w:t>
      </w:r>
      <w:r w:rsidR="003B43C9">
        <w:t>pašvaldības</w:t>
      </w:r>
      <w:r w:rsidR="003B43C9" w:rsidRPr="006607A5">
        <w:t xml:space="preserve"> </w:t>
      </w:r>
      <w:r w:rsidR="003B43C9">
        <w:t xml:space="preserve">2010. gada 27. jūlija </w:t>
      </w:r>
      <w:r>
        <w:t>saistošie</w:t>
      </w:r>
      <w:r w:rsidRPr="006607A5">
        <w:t xml:space="preserve"> </w:t>
      </w:r>
      <w:r>
        <w:t>noteikumi</w:t>
      </w:r>
      <w:r w:rsidRPr="006607A5">
        <w:t xml:space="preserve"> </w:t>
      </w:r>
      <w:r>
        <w:t>Nr.</w:t>
      </w:r>
      <w:r w:rsidR="003B43C9">
        <w:t xml:space="preserve"> </w:t>
      </w:r>
      <w:r>
        <w:t>22</w:t>
      </w:r>
      <w:r w:rsidRPr="006607A5">
        <w:t xml:space="preserve"> </w:t>
      </w:r>
      <w:r>
        <w:t>„</w:t>
      </w:r>
      <w:r w:rsidRPr="00AE655D">
        <w:t>Saistošie noteikumi par Ādažu novada augstas detalizācijas topogrāfiskās informācijas un citas ģeotelpiskās informācijas aprites kārtību Ādažu novadā</w:t>
      </w:r>
      <w:r>
        <w:t>”.</w:t>
      </w:r>
    </w:p>
    <w:p w14:paraId="033E339E" w14:textId="77777777" w:rsidR="000D2446" w:rsidRPr="00F50B8B" w:rsidRDefault="000D2446" w:rsidP="00D35A90">
      <w:pPr>
        <w:autoSpaceDE w:val="0"/>
        <w:autoSpaceDN w:val="0"/>
        <w:adjustRightInd w:val="0"/>
        <w:spacing w:before="120"/>
        <w:jc w:val="right"/>
        <w:rPr>
          <w:rFonts w:eastAsiaTheme="minorHAnsi"/>
          <w:color w:val="000000"/>
        </w:rPr>
      </w:pPr>
    </w:p>
    <w:p w14:paraId="044EF823" w14:textId="77777777" w:rsidR="00DE3B04" w:rsidRPr="00F50B8B" w:rsidRDefault="00BA5F0F" w:rsidP="000A2528">
      <w:pPr>
        <w:ind w:right="-1"/>
        <w:jc w:val="both"/>
        <w:rPr>
          <w:rFonts w:eastAsia="Calibri"/>
        </w:rPr>
      </w:pPr>
      <w:r w:rsidRPr="00F50B8B">
        <w:rPr>
          <w:rFonts w:eastAsia="Calibri"/>
        </w:rPr>
        <w:t>Pašvaldības domes priekšsēdētāj</w:t>
      </w:r>
      <w:r w:rsidR="000A2528">
        <w:rPr>
          <w:rFonts w:eastAsia="Calibri"/>
        </w:rPr>
        <w:t>s</w:t>
      </w:r>
      <w:r w:rsidRPr="00F50B8B">
        <w:rPr>
          <w:rFonts w:eastAsia="Calibri"/>
        </w:rPr>
        <w:t xml:space="preserve"> </w:t>
      </w:r>
      <w:r w:rsidRPr="00F50B8B">
        <w:rPr>
          <w:rFonts w:eastAsia="Calibri"/>
        </w:rPr>
        <w:tab/>
      </w:r>
      <w:r w:rsidRPr="00F50B8B">
        <w:rPr>
          <w:rFonts w:eastAsia="Calibri"/>
        </w:rPr>
        <w:tab/>
      </w:r>
      <w:r w:rsidRPr="00F50B8B">
        <w:rPr>
          <w:rFonts w:eastAsia="Calibri"/>
        </w:rPr>
        <w:tab/>
      </w:r>
      <w:r w:rsidRPr="00F50B8B">
        <w:rPr>
          <w:rFonts w:eastAsia="Calibri"/>
        </w:rPr>
        <w:tab/>
      </w:r>
      <w:r w:rsidRPr="00F50B8B">
        <w:rPr>
          <w:rFonts w:eastAsia="Calibri"/>
        </w:rPr>
        <w:tab/>
      </w:r>
      <w:proofErr w:type="spellStart"/>
      <w:r w:rsidR="000A2528">
        <w:rPr>
          <w:rFonts w:eastAsia="Calibri"/>
        </w:rPr>
        <w:t>M.Sprindžuks</w:t>
      </w:r>
      <w:proofErr w:type="spellEnd"/>
    </w:p>
    <w:p w14:paraId="649211FC" w14:textId="77777777" w:rsidR="006C0CC4" w:rsidRPr="00F50B8B" w:rsidRDefault="00BA5F0F" w:rsidP="00D35A90">
      <w:pPr>
        <w:autoSpaceDE w:val="0"/>
        <w:autoSpaceDN w:val="0"/>
        <w:adjustRightInd w:val="0"/>
        <w:jc w:val="both"/>
        <w:rPr>
          <w:rFonts w:eastAsiaTheme="minorHAnsi"/>
          <w:color w:val="000000"/>
        </w:rPr>
      </w:pPr>
      <w:r w:rsidRPr="00F50B8B">
        <w:rPr>
          <w:rFonts w:eastAsiaTheme="minorHAnsi"/>
          <w:color w:val="000000"/>
        </w:rPr>
        <w:tab/>
      </w:r>
      <w:r w:rsidRPr="00F50B8B">
        <w:rPr>
          <w:rFonts w:eastAsiaTheme="minorHAnsi"/>
          <w:color w:val="000000"/>
        </w:rPr>
        <w:tab/>
      </w:r>
      <w:r w:rsidRPr="00F50B8B">
        <w:rPr>
          <w:rFonts w:eastAsiaTheme="minorHAnsi"/>
          <w:color w:val="000000"/>
        </w:rPr>
        <w:tab/>
      </w:r>
      <w:r w:rsidRPr="00F50B8B">
        <w:rPr>
          <w:rFonts w:eastAsiaTheme="minorHAnsi"/>
          <w:color w:val="000000"/>
        </w:rPr>
        <w:tab/>
      </w:r>
      <w:r w:rsidRPr="00F50B8B">
        <w:rPr>
          <w:rFonts w:eastAsiaTheme="minorHAnsi"/>
          <w:color w:val="000000"/>
        </w:rPr>
        <w:tab/>
      </w:r>
    </w:p>
    <w:p w14:paraId="52C8D504" w14:textId="794E2084" w:rsidR="003E66FF" w:rsidRDefault="00BA5F0F">
      <w:pPr>
        <w:autoSpaceDE w:val="0"/>
        <w:autoSpaceDN w:val="0"/>
        <w:adjustRightInd w:val="0"/>
        <w:jc w:val="both"/>
        <w:rPr>
          <w:rFonts w:eastAsiaTheme="minorHAnsi"/>
          <w:color w:val="000000"/>
          <w:sz w:val="28"/>
          <w:szCs w:val="28"/>
        </w:rPr>
      </w:pPr>
      <w:r w:rsidRPr="00F50B8B">
        <w:rPr>
          <w:rFonts w:eastAsiaTheme="minorHAnsi"/>
          <w:color w:val="000000"/>
        </w:rPr>
        <w:tab/>
      </w:r>
      <w:r w:rsidRPr="00F50B8B">
        <w:rPr>
          <w:rFonts w:eastAsiaTheme="minorHAnsi"/>
          <w:color w:val="000000"/>
        </w:rPr>
        <w:tab/>
      </w:r>
      <w:r w:rsidRPr="00F50B8B">
        <w:rPr>
          <w:rFonts w:eastAsiaTheme="minorHAnsi"/>
          <w:color w:val="000000"/>
        </w:rPr>
        <w:tab/>
      </w:r>
      <w:r w:rsidRPr="00F50B8B">
        <w:rPr>
          <w:rFonts w:eastAsiaTheme="minorHAnsi"/>
          <w:color w:val="000000"/>
        </w:rPr>
        <w:tab/>
      </w:r>
      <w:r w:rsidRPr="00F50B8B">
        <w:rPr>
          <w:rFonts w:eastAsiaTheme="minorHAnsi"/>
          <w:color w:val="000000"/>
        </w:rPr>
        <w:tab/>
      </w:r>
      <w:r w:rsidRPr="00F50B8B">
        <w:rPr>
          <w:rFonts w:eastAsiaTheme="minorHAnsi"/>
          <w:color w:val="000000"/>
        </w:rPr>
        <w:tab/>
      </w:r>
      <w:r w:rsidR="006241C4">
        <w:rPr>
          <w:rFonts w:eastAsiaTheme="minorHAnsi"/>
          <w:color w:val="000000"/>
        </w:rPr>
        <w:t xml:space="preserve"> </w:t>
      </w:r>
      <w:r w:rsidRPr="00F50B8B">
        <w:rPr>
          <w:rFonts w:eastAsiaTheme="minorHAnsi"/>
          <w:color w:val="000000"/>
          <w:sz w:val="28"/>
          <w:szCs w:val="28"/>
        </w:rPr>
        <w:br w:type="page"/>
      </w:r>
    </w:p>
    <w:p w14:paraId="0C95501B" w14:textId="33619FB8" w:rsidR="00604E99" w:rsidRDefault="003B43C9" w:rsidP="003E66FF">
      <w:pPr>
        <w:shd w:val="clear" w:color="auto" w:fill="FFFFFF"/>
        <w:jc w:val="right"/>
        <w:rPr>
          <w:lang w:eastAsia="lv-LV"/>
        </w:rPr>
      </w:pPr>
      <w:r>
        <w:rPr>
          <w:lang w:eastAsia="lv-LV"/>
        </w:rPr>
        <w:lastRenderedPageBreak/>
        <w:t>P</w:t>
      </w:r>
      <w:r w:rsidR="003E66FF" w:rsidRPr="00AE655D">
        <w:rPr>
          <w:lang w:eastAsia="lv-LV"/>
        </w:rPr>
        <w:t>ielikums</w:t>
      </w:r>
      <w:r w:rsidR="003E66FF" w:rsidRPr="00AE655D">
        <w:rPr>
          <w:lang w:eastAsia="lv-LV"/>
        </w:rPr>
        <w:br/>
        <w:t xml:space="preserve">Ādažu novada </w:t>
      </w:r>
      <w:r w:rsidR="003E66FF">
        <w:rPr>
          <w:lang w:eastAsia="lv-LV"/>
        </w:rPr>
        <w:t>pašvald</w:t>
      </w:r>
      <w:r w:rsidR="008847FD">
        <w:rPr>
          <w:lang w:eastAsia="lv-LV"/>
        </w:rPr>
        <w:t>ības</w:t>
      </w:r>
      <w:r w:rsidR="00604E99">
        <w:rPr>
          <w:lang w:eastAsia="lv-LV"/>
        </w:rPr>
        <w:t xml:space="preserve"> </w:t>
      </w:r>
    </w:p>
    <w:p w14:paraId="20A1E103" w14:textId="25B2A30F" w:rsidR="003E66FF" w:rsidRPr="00AE655D" w:rsidRDefault="003E66FF" w:rsidP="003E66FF">
      <w:pPr>
        <w:shd w:val="clear" w:color="auto" w:fill="FFFFFF"/>
        <w:jc w:val="right"/>
        <w:rPr>
          <w:lang w:eastAsia="lv-LV"/>
        </w:rPr>
      </w:pPr>
      <w:r w:rsidRPr="00AE655D">
        <w:rPr>
          <w:lang w:eastAsia="lv-LV"/>
        </w:rPr>
        <w:t xml:space="preserve">2021. gada </w:t>
      </w:r>
      <w:r w:rsidR="00604E99">
        <w:rPr>
          <w:lang w:eastAsia="lv-LV"/>
        </w:rPr>
        <w:t>22</w:t>
      </w:r>
      <w:r w:rsidRPr="00AE655D">
        <w:rPr>
          <w:lang w:eastAsia="lv-LV"/>
        </w:rPr>
        <w:t>.</w:t>
      </w:r>
      <w:r w:rsidR="003B43C9">
        <w:rPr>
          <w:lang w:eastAsia="lv-LV"/>
        </w:rPr>
        <w:t xml:space="preserve"> </w:t>
      </w:r>
      <w:r w:rsidR="00604E99">
        <w:rPr>
          <w:lang w:eastAsia="lv-LV"/>
        </w:rPr>
        <w:t>decembra</w:t>
      </w:r>
      <w:r w:rsidRPr="00AE655D">
        <w:rPr>
          <w:lang w:eastAsia="lv-LV"/>
        </w:rPr>
        <w:t xml:space="preserve"> </w:t>
      </w:r>
      <w:r w:rsidRPr="00AE655D">
        <w:rPr>
          <w:lang w:eastAsia="lv-LV"/>
        </w:rPr>
        <w:br/>
        <w:t>saistošajiem noteikumiem Nr.</w:t>
      </w:r>
      <w:bookmarkStart w:id="2" w:name="piel-721216"/>
      <w:bookmarkEnd w:id="2"/>
      <w:r w:rsidR="003B43C9">
        <w:rPr>
          <w:lang w:eastAsia="lv-LV"/>
        </w:rPr>
        <w:t xml:space="preserve"> </w:t>
      </w:r>
      <w:r w:rsidR="003C1FE3" w:rsidRPr="00EF3B4C">
        <w:rPr>
          <w:highlight w:val="yellow"/>
          <w:lang w:eastAsia="lv-LV"/>
        </w:rPr>
        <w:t>XXX</w:t>
      </w:r>
    </w:p>
    <w:p w14:paraId="7D41FCBD" w14:textId="77777777" w:rsidR="003E66FF" w:rsidRPr="00AE655D" w:rsidRDefault="003E66FF" w:rsidP="003E66FF">
      <w:pPr>
        <w:shd w:val="clear" w:color="auto" w:fill="FFFFFF"/>
        <w:jc w:val="center"/>
        <w:rPr>
          <w:b/>
          <w:bCs/>
          <w:lang w:eastAsia="lv-LV"/>
        </w:rPr>
      </w:pPr>
      <w:bookmarkStart w:id="3" w:name="721217"/>
      <w:bookmarkStart w:id="4" w:name="n-721217"/>
      <w:bookmarkEnd w:id="3"/>
      <w:bookmarkEnd w:id="4"/>
    </w:p>
    <w:p w14:paraId="6789D7E4" w14:textId="77777777" w:rsidR="003E66FF" w:rsidRPr="00AE655D" w:rsidRDefault="003E66FF" w:rsidP="00EF3B4C">
      <w:pPr>
        <w:shd w:val="clear" w:color="auto" w:fill="FFFFFF"/>
        <w:spacing w:after="120"/>
        <w:jc w:val="center"/>
        <w:rPr>
          <w:b/>
          <w:bCs/>
          <w:lang w:eastAsia="lv-LV"/>
        </w:rPr>
      </w:pPr>
      <w:r w:rsidRPr="00AE655D">
        <w:rPr>
          <w:b/>
          <w:bCs/>
          <w:lang w:eastAsia="lv-LV"/>
        </w:rPr>
        <w:t>Ģeotelpiskās informācijas pakalpojumu cenrādis*</w:t>
      </w: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34"/>
        <w:gridCol w:w="5594"/>
        <w:gridCol w:w="1416"/>
        <w:gridCol w:w="1411"/>
      </w:tblGrid>
      <w:tr w:rsidR="003E66FF" w:rsidRPr="00AE655D" w14:paraId="4EFDD3E9"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hideMark/>
          </w:tcPr>
          <w:p w14:paraId="2E2C4223" w14:textId="77777777" w:rsidR="003E66FF" w:rsidRPr="00EF3B4C" w:rsidRDefault="003E66FF" w:rsidP="0079609F">
            <w:pPr>
              <w:spacing w:before="100" w:beforeAutospacing="1" w:after="100" w:afterAutospacing="1" w:line="315" w:lineRule="atLeast"/>
              <w:jc w:val="center"/>
              <w:rPr>
                <w:b/>
                <w:bCs/>
                <w:sz w:val="22"/>
                <w:szCs w:val="22"/>
                <w:lang w:eastAsia="lv-LV"/>
              </w:rPr>
            </w:pPr>
            <w:r w:rsidRPr="00EF3B4C">
              <w:rPr>
                <w:b/>
                <w:bCs/>
                <w:sz w:val="22"/>
                <w:szCs w:val="22"/>
                <w:lang w:eastAsia="lv-LV"/>
              </w:rPr>
              <w:t>Nr.</w:t>
            </w:r>
            <w:r w:rsidRPr="00EF3B4C">
              <w:rPr>
                <w:b/>
                <w:bCs/>
                <w:sz w:val="22"/>
                <w:szCs w:val="22"/>
                <w:lang w:eastAsia="lv-LV"/>
              </w:rPr>
              <w:br/>
              <w:t>p.k.</w:t>
            </w:r>
          </w:p>
        </w:tc>
        <w:tc>
          <w:tcPr>
            <w:tcW w:w="3089" w:type="pct"/>
            <w:tcBorders>
              <w:top w:val="outset" w:sz="6" w:space="0" w:color="414142"/>
              <w:left w:val="outset" w:sz="6" w:space="0" w:color="414142"/>
              <w:bottom w:val="outset" w:sz="6" w:space="0" w:color="414142"/>
              <w:right w:val="outset" w:sz="6" w:space="0" w:color="414142"/>
            </w:tcBorders>
            <w:vAlign w:val="center"/>
            <w:hideMark/>
          </w:tcPr>
          <w:p w14:paraId="72F1F94D" w14:textId="77777777" w:rsidR="003E66FF" w:rsidRPr="00EF3B4C" w:rsidRDefault="003E66FF" w:rsidP="0079609F">
            <w:pPr>
              <w:spacing w:before="100" w:beforeAutospacing="1" w:after="100" w:afterAutospacing="1" w:line="315" w:lineRule="atLeast"/>
              <w:jc w:val="center"/>
              <w:rPr>
                <w:b/>
                <w:bCs/>
                <w:sz w:val="22"/>
                <w:szCs w:val="22"/>
                <w:lang w:eastAsia="lv-LV"/>
              </w:rPr>
            </w:pPr>
            <w:r w:rsidRPr="00EF3B4C">
              <w:rPr>
                <w:b/>
                <w:bCs/>
                <w:sz w:val="22"/>
                <w:szCs w:val="22"/>
                <w:lang w:eastAsia="lv-LV"/>
              </w:rPr>
              <w:t>Pakalpojuma veids</w:t>
            </w:r>
          </w:p>
        </w:tc>
        <w:tc>
          <w:tcPr>
            <w:tcW w:w="782" w:type="pct"/>
            <w:tcBorders>
              <w:top w:val="outset" w:sz="6" w:space="0" w:color="414142"/>
              <w:left w:val="outset" w:sz="6" w:space="0" w:color="414142"/>
              <w:bottom w:val="outset" w:sz="6" w:space="0" w:color="414142"/>
              <w:right w:val="outset" w:sz="6" w:space="0" w:color="414142"/>
            </w:tcBorders>
            <w:vAlign w:val="center"/>
            <w:hideMark/>
          </w:tcPr>
          <w:p w14:paraId="47F5EED7" w14:textId="77777777" w:rsidR="003E66FF" w:rsidRPr="00EF3B4C" w:rsidRDefault="003E66FF" w:rsidP="0079609F">
            <w:pPr>
              <w:spacing w:before="100" w:beforeAutospacing="1" w:after="100" w:afterAutospacing="1" w:line="315" w:lineRule="atLeast"/>
              <w:jc w:val="center"/>
              <w:rPr>
                <w:b/>
                <w:bCs/>
                <w:sz w:val="22"/>
                <w:szCs w:val="22"/>
                <w:lang w:eastAsia="lv-LV"/>
              </w:rPr>
            </w:pPr>
            <w:r w:rsidRPr="00EF3B4C">
              <w:rPr>
                <w:b/>
                <w:bCs/>
                <w:sz w:val="22"/>
                <w:szCs w:val="22"/>
                <w:lang w:eastAsia="lv-LV"/>
              </w:rPr>
              <w:t>Mērvienība</w:t>
            </w:r>
          </w:p>
        </w:tc>
        <w:tc>
          <w:tcPr>
            <w:tcW w:w="778" w:type="pct"/>
            <w:tcBorders>
              <w:top w:val="outset" w:sz="6" w:space="0" w:color="414142"/>
              <w:left w:val="outset" w:sz="6" w:space="0" w:color="414142"/>
              <w:bottom w:val="outset" w:sz="6" w:space="0" w:color="414142"/>
              <w:right w:val="outset" w:sz="6" w:space="0" w:color="414142"/>
            </w:tcBorders>
            <w:vAlign w:val="center"/>
            <w:hideMark/>
          </w:tcPr>
          <w:p w14:paraId="257ED2BE" w14:textId="77777777" w:rsidR="003B43C9" w:rsidRDefault="003E66FF" w:rsidP="00EF3B4C">
            <w:pPr>
              <w:spacing w:line="315" w:lineRule="atLeast"/>
              <w:jc w:val="center"/>
              <w:rPr>
                <w:b/>
                <w:bCs/>
                <w:sz w:val="22"/>
                <w:szCs w:val="22"/>
                <w:lang w:eastAsia="lv-LV"/>
              </w:rPr>
            </w:pPr>
            <w:r w:rsidRPr="00EF3B4C">
              <w:rPr>
                <w:b/>
                <w:bCs/>
                <w:sz w:val="22"/>
                <w:szCs w:val="22"/>
                <w:lang w:eastAsia="lv-LV"/>
              </w:rPr>
              <w:t>Cena, EUR*</w:t>
            </w:r>
          </w:p>
          <w:p w14:paraId="40D88F4A" w14:textId="4339171B" w:rsidR="003E66FF" w:rsidRPr="00EF3B4C" w:rsidRDefault="003E66FF" w:rsidP="00EF3B4C">
            <w:pPr>
              <w:spacing w:after="100" w:afterAutospacing="1" w:line="315" w:lineRule="atLeast"/>
              <w:jc w:val="center"/>
              <w:rPr>
                <w:b/>
                <w:bCs/>
                <w:sz w:val="22"/>
                <w:szCs w:val="22"/>
                <w:lang w:eastAsia="lv-LV"/>
              </w:rPr>
            </w:pPr>
            <w:r w:rsidRPr="00EF3B4C">
              <w:rPr>
                <w:b/>
                <w:bCs/>
                <w:sz w:val="22"/>
                <w:szCs w:val="22"/>
                <w:lang w:eastAsia="lv-LV"/>
              </w:rPr>
              <w:t>(bez PVN)</w:t>
            </w:r>
          </w:p>
        </w:tc>
      </w:tr>
      <w:tr w:rsidR="003E66FF" w:rsidRPr="00AE655D" w14:paraId="62A831AA"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hideMark/>
          </w:tcPr>
          <w:p w14:paraId="7AB77D2A"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w:t>
            </w:r>
          </w:p>
        </w:tc>
        <w:tc>
          <w:tcPr>
            <w:tcW w:w="4650" w:type="pct"/>
            <w:gridSpan w:val="3"/>
            <w:tcBorders>
              <w:top w:val="outset" w:sz="6" w:space="0" w:color="414142"/>
              <w:left w:val="outset" w:sz="6" w:space="0" w:color="414142"/>
              <w:bottom w:val="outset" w:sz="6" w:space="0" w:color="414142"/>
              <w:right w:val="outset" w:sz="6" w:space="0" w:color="414142"/>
            </w:tcBorders>
            <w:vAlign w:val="center"/>
            <w:hideMark/>
          </w:tcPr>
          <w:p w14:paraId="6C49A732" w14:textId="3B7FC2EA" w:rsidR="003E66FF" w:rsidRPr="00EF3B4C" w:rsidRDefault="003E66FF" w:rsidP="00EF3B4C">
            <w:pPr>
              <w:jc w:val="both"/>
              <w:rPr>
                <w:sz w:val="22"/>
                <w:szCs w:val="22"/>
                <w:lang w:eastAsia="lv-LV"/>
              </w:rPr>
            </w:pPr>
            <w:r w:rsidRPr="00EF3B4C">
              <w:rPr>
                <w:b/>
                <w:bCs/>
                <w:sz w:val="22"/>
                <w:szCs w:val="22"/>
                <w:lang w:eastAsia="lv-LV"/>
              </w:rPr>
              <w:t>Topogrāfiskās informācijas izsniegšana (t</w:t>
            </w:r>
            <w:r w:rsidR="003B43C9">
              <w:rPr>
                <w:b/>
                <w:bCs/>
                <w:sz w:val="22"/>
                <w:szCs w:val="22"/>
                <w:lang w:eastAsia="lv-LV"/>
              </w:rPr>
              <w:t>.</w:t>
            </w:r>
            <w:r w:rsidRPr="00EF3B4C">
              <w:rPr>
                <w:b/>
                <w:bCs/>
                <w:sz w:val="22"/>
                <w:szCs w:val="22"/>
                <w:lang w:eastAsia="lv-LV"/>
              </w:rPr>
              <w:t>sk</w:t>
            </w:r>
            <w:r w:rsidR="003B43C9">
              <w:rPr>
                <w:b/>
                <w:bCs/>
                <w:sz w:val="22"/>
                <w:szCs w:val="22"/>
                <w:lang w:eastAsia="lv-LV"/>
              </w:rPr>
              <w:t>.</w:t>
            </w:r>
            <w:r w:rsidRPr="00EF3B4C">
              <w:rPr>
                <w:b/>
                <w:bCs/>
                <w:sz w:val="22"/>
                <w:szCs w:val="22"/>
                <w:lang w:eastAsia="lv-LV"/>
              </w:rPr>
              <w:t xml:space="preserve"> ielu sarkano līniju)</w:t>
            </w:r>
            <w:r w:rsidRPr="00EF3B4C">
              <w:rPr>
                <w:b/>
                <w:bCs/>
                <w:color w:val="FF0000"/>
                <w:sz w:val="22"/>
                <w:szCs w:val="22"/>
                <w:lang w:eastAsia="lv-LV"/>
              </w:rPr>
              <w:t xml:space="preserve"> </w:t>
            </w:r>
            <w:r w:rsidRPr="00EF3B4C">
              <w:rPr>
                <w:b/>
                <w:bCs/>
                <w:sz w:val="22"/>
                <w:szCs w:val="22"/>
                <w:lang w:eastAsia="lv-LV"/>
              </w:rPr>
              <w:t xml:space="preserve">pieņemšana, pārbaude, ievietošana karšu lapās, reģistrēšana datubāzē un nosūtīšana </w:t>
            </w:r>
            <w:r w:rsidR="003B43C9">
              <w:rPr>
                <w:b/>
                <w:bCs/>
                <w:sz w:val="22"/>
                <w:szCs w:val="22"/>
                <w:lang w:eastAsia="lv-LV"/>
              </w:rPr>
              <w:t>P</w:t>
            </w:r>
            <w:r w:rsidRPr="00EF3B4C">
              <w:rPr>
                <w:b/>
                <w:bCs/>
                <w:sz w:val="22"/>
                <w:szCs w:val="22"/>
                <w:lang w:eastAsia="lv-LV"/>
              </w:rPr>
              <w:t>ašvaldībai:</w:t>
            </w:r>
            <w:r w:rsidRPr="00EF3B4C">
              <w:rPr>
                <w:sz w:val="22"/>
                <w:szCs w:val="22"/>
                <w:lang w:eastAsia="lv-LV"/>
              </w:rPr>
              <w:t xml:space="preserve"> </w:t>
            </w:r>
          </w:p>
          <w:p w14:paraId="794EE4B0" w14:textId="226826B2" w:rsidR="003E66FF" w:rsidRPr="00EF3B4C" w:rsidRDefault="003E66FF" w:rsidP="00EF3B4C">
            <w:pPr>
              <w:jc w:val="both"/>
              <w:rPr>
                <w:sz w:val="22"/>
                <w:szCs w:val="22"/>
                <w:lang w:eastAsia="lv-LV"/>
              </w:rPr>
            </w:pPr>
            <w:r w:rsidRPr="00EF3B4C">
              <w:rPr>
                <w:i/>
                <w:iCs/>
                <w:sz w:val="22"/>
                <w:szCs w:val="22"/>
                <w:lang w:eastAsia="lv-LV"/>
              </w:rPr>
              <w:t>Cenrādi pielieto arī par būves (ar labiekārtojuma elementiem un/vai inženiertīkliem)</w:t>
            </w:r>
            <w:r w:rsidR="003B43C9">
              <w:rPr>
                <w:i/>
                <w:iCs/>
                <w:sz w:val="22"/>
                <w:szCs w:val="22"/>
                <w:lang w:eastAsia="lv-LV"/>
              </w:rPr>
              <w:t>,</w:t>
            </w:r>
            <w:r w:rsidRPr="00EF3B4C">
              <w:rPr>
                <w:i/>
                <w:iCs/>
                <w:sz w:val="22"/>
                <w:szCs w:val="22"/>
                <w:lang w:eastAsia="lv-LV"/>
              </w:rPr>
              <w:t xml:space="preserve"> kā arī ceļu un grāvju </w:t>
            </w:r>
            <w:proofErr w:type="spellStart"/>
            <w:r w:rsidRPr="00EF3B4C">
              <w:rPr>
                <w:i/>
                <w:iCs/>
                <w:sz w:val="22"/>
                <w:szCs w:val="22"/>
                <w:lang w:eastAsia="lv-LV"/>
              </w:rPr>
              <w:t>izpildmērījum</w:t>
            </w:r>
            <w:r w:rsidR="003B43C9">
              <w:rPr>
                <w:i/>
                <w:iCs/>
                <w:sz w:val="22"/>
                <w:szCs w:val="22"/>
                <w:lang w:eastAsia="lv-LV"/>
              </w:rPr>
              <w:t>u</w:t>
            </w:r>
            <w:proofErr w:type="spellEnd"/>
            <w:r w:rsidRPr="00EF3B4C">
              <w:rPr>
                <w:i/>
                <w:iCs/>
                <w:sz w:val="22"/>
                <w:szCs w:val="22"/>
                <w:lang w:eastAsia="lv-LV"/>
              </w:rPr>
              <w:t xml:space="preserve"> plān</w:t>
            </w:r>
            <w:r w:rsidR="003B43C9">
              <w:rPr>
                <w:i/>
                <w:iCs/>
                <w:sz w:val="22"/>
                <w:szCs w:val="22"/>
                <w:lang w:eastAsia="lv-LV"/>
              </w:rPr>
              <w:t>u</w:t>
            </w:r>
            <w:r w:rsidRPr="00EF3B4C">
              <w:rPr>
                <w:i/>
                <w:iCs/>
                <w:sz w:val="22"/>
                <w:szCs w:val="22"/>
                <w:lang w:eastAsia="lv-LV"/>
              </w:rPr>
              <w:t xml:space="preserve"> pārbaudei, reģistrēšanai datubāzē un nosūtīšanai </w:t>
            </w:r>
            <w:r w:rsidR="003B43C9">
              <w:rPr>
                <w:i/>
                <w:iCs/>
                <w:sz w:val="22"/>
                <w:szCs w:val="22"/>
                <w:lang w:eastAsia="lv-LV"/>
              </w:rPr>
              <w:t>P</w:t>
            </w:r>
            <w:r w:rsidRPr="00EF3B4C">
              <w:rPr>
                <w:i/>
                <w:iCs/>
                <w:sz w:val="22"/>
                <w:szCs w:val="22"/>
                <w:lang w:eastAsia="lv-LV"/>
              </w:rPr>
              <w:t>ašvaldībai.</w:t>
            </w:r>
          </w:p>
        </w:tc>
      </w:tr>
      <w:tr w:rsidR="003E66FF" w:rsidRPr="00AE655D" w14:paraId="05E9B929"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hideMark/>
          </w:tcPr>
          <w:p w14:paraId="69863F2A"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1.1.</w:t>
            </w:r>
          </w:p>
        </w:tc>
        <w:tc>
          <w:tcPr>
            <w:tcW w:w="3089" w:type="pct"/>
            <w:tcBorders>
              <w:top w:val="outset" w:sz="6" w:space="0" w:color="414142"/>
              <w:left w:val="outset" w:sz="6" w:space="0" w:color="414142"/>
              <w:bottom w:val="outset" w:sz="6" w:space="0" w:color="414142"/>
              <w:right w:val="outset" w:sz="6" w:space="0" w:color="414142"/>
            </w:tcBorders>
            <w:vAlign w:val="center"/>
            <w:hideMark/>
          </w:tcPr>
          <w:p w14:paraId="5E322A7D" w14:textId="77777777" w:rsidR="003E66FF" w:rsidRPr="00EF3B4C" w:rsidRDefault="003E66FF" w:rsidP="00EF3B4C">
            <w:pPr>
              <w:jc w:val="both"/>
              <w:rPr>
                <w:sz w:val="22"/>
                <w:szCs w:val="22"/>
                <w:lang w:eastAsia="lv-LV"/>
              </w:rPr>
            </w:pPr>
            <w:r w:rsidRPr="00EF3B4C">
              <w:rPr>
                <w:sz w:val="22"/>
                <w:szCs w:val="22"/>
                <w:lang w:eastAsia="lv-LV"/>
              </w:rPr>
              <w:t>platībā līdz 0,3 ha (ieskaitot)</w:t>
            </w:r>
          </w:p>
        </w:tc>
        <w:tc>
          <w:tcPr>
            <w:tcW w:w="782" w:type="pct"/>
            <w:tcBorders>
              <w:top w:val="outset" w:sz="6" w:space="0" w:color="414142"/>
              <w:left w:val="outset" w:sz="6" w:space="0" w:color="414142"/>
              <w:bottom w:val="outset" w:sz="6" w:space="0" w:color="414142"/>
              <w:right w:val="outset" w:sz="6" w:space="0" w:color="414142"/>
            </w:tcBorders>
            <w:vAlign w:val="center"/>
            <w:hideMark/>
          </w:tcPr>
          <w:p w14:paraId="4594DD65"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hideMark/>
          </w:tcPr>
          <w:p w14:paraId="7AFE3950"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15,00</w:t>
            </w:r>
          </w:p>
        </w:tc>
      </w:tr>
      <w:tr w:rsidR="003E66FF" w:rsidRPr="00AE655D" w14:paraId="4BC8845F"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hideMark/>
          </w:tcPr>
          <w:p w14:paraId="7271208D"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1.2.</w:t>
            </w:r>
          </w:p>
        </w:tc>
        <w:tc>
          <w:tcPr>
            <w:tcW w:w="3089" w:type="pct"/>
            <w:tcBorders>
              <w:top w:val="outset" w:sz="6" w:space="0" w:color="414142"/>
              <w:left w:val="outset" w:sz="6" w:space="0" w:color="414142"/>
              <w:bottom w:val="outset" w:sz="6" w:space="0" w:color="414142"/>
              <w:right w:val="outset" w:sz="6" w:space="0" w:color="414142"/>
            </w:tcBorders>
            <w:vAlign w:val="center"/>
            <w:hideMark/>
          </w:tcPr>
          <w:p w14:paraId="78FAA613" w14:textId="77777777" w:rsidR="003E66FF" w:rsidRPr="00EF3B4C" w:rsidRDefault="003E66FF" w:rsidP="00EF3B4C">
            <w:pPr>
              <w:jc w:val="both"/>
              <w:rPr>
                <w:sz w:val="22"/>
                <w:szCs w:val="22"/>
                <w:lang w:eastAsia="lv-LV"/>
              </w:rPr>
            </w:pPr>
            <w:r w:rsidRPr="00EF3B4C">
              <w:rPr>
                <w:sz w:val="22"/>
                <w:szCs w:val="22"/>
                <w:lang w:eastAsia="lv-LV"/>
              </w:rPr>
              <w:t>platībā no 0,3 ha līdz 0,5 ha (ieskaitot)</w:t>
            </w:r>
          </w:p>
        </w:tc>
        <w:tc>
          <w:tcPr>
            <w:tcW w:w="782" w:type="pct"/>
            <w:tcBorders>
              <w:top w:val="outset" w:sz="6" w:space="0" w:color="414142"/>
              <w:left w:val="outset" w:sz="6" w:space="0" w:color="414142"/>
              <w:bottom w:val="outset" w:sz="6" w:space="0" w:color="414142"/>
              <w:right w:val="outset" w:sz="6" w:space="0" w:color="414142"/>
            </w:tcBorders>
            <w:vAlign w:val="center"/>
            <w:hideMark/>
          </w:tcPr>
          <w:p w14:paraId="42C213A0"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hideMark/>
          </w:tcPr>
          <w:p w14:paraId="2A77AA2F"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18,00</w:t>
            </w:r>
          </w:p>
        </w:tc>
      </w:tr>
      <w:tr w:rsidR="003E66FF" w:rsidRPr="00AE655D" w14:paraId="5D9AB7A3"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hideMark/>
          </w:tcPr>
          <w:p w14:paraId="668B0C4C"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1.3.</w:t>
            </w:r>
          </w:p>
        </w:tc>
        <w:tc>
          <w:tcPr>
            <w:tcW w:w="3089" w:type="pct"/>
            <w:tcBorders>
              <w:top w:val="outset" w:sz="6" w:space="0" w:color="414142"/>
              <w:left w:val="outset" w:sz="6" w:space="0" w:color="414142"/>
              <w:bottom w:val="outset" w:sz="6" w:space="0" w:color="414142"/>
              <w:right w:val="outset" w:sz="6" w:space="0" w:color="414142"/>
            </w:tcBorders>
            <w:vAlign w:val="center"/>
            <w:hideMark/>
          </w:tcPr>
          <w:p w14:paraId="7F63AD00" w14:textId="77777777" w:rsidR="003E66FF" w:rsidRPr="00EF3B4C" w:rsidRDefault="003E66FF" w:rsidP="00EF3B4C">
            <w:pPr>
              <w:jc w:val="both"/>
              <w:rPr>
                <w:sz w:val="22"/>
                <w:szCs w:val="22"/>
                <w:lang w:eastAsia="lv-LV"/>
              </w:rPr>
            </w:pPr>
            <w:r w:rsidRPr="00EF3B4C">
              <w:rPr>
                <w:sz w:val="22"/>
                <w:szCs w:val="22"/>
                <w:lang w:eastAsia="lv-LV"/>
              </w:rPr>
              <w:t>platībā no 0,5 ha līdz 1,0 ha (ieskaitot)</w:t>
            </w:r>
          </w:p>
        </w:tc>
        <w:tc>
          <w:tcPr>
            <w:tcW w:w="782" w:type="pct"/>
            <w:tcBorders>
              <w:top w:val="outset" w:sz="6" w:space="0" w:color="414142"/>
              <w:left w:val="outset" w:sz="6" w:space="0" w:color="414142"/>
              <w:bottom w:val="outset" w:sz="6" w:space="0" w:color="414142"/>
              <w:right w:val="outset" w:sz="6" w:space="0" w:color="414142"/>
            </w:tcBorders>
            <w:vAlign w:val="center"/>
            <w:hideMark/>
          </w:tcPr>
          <w:p w14:paraId="2DF0E0B2"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hideMark/>
          </w:tcPr>
          <w:p w14:paraId="0CE8E4B5"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23,00</w:t>
            </w:r>
          </w:p>
        </w:tc>
      </w:tr>
      <w:tr w:rsidR="003E66FF" w:rsidRPr="00AE655D" w14:paraId="2CED5723"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hideMark/>
          </w:tcPr>
          <w:p w14:paraId="1383D7C9"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1.4.</w:t>
            </w:r>
          </w:p>
        </w:tc>
        <w:tc>
          <w:tcPr>
            <w:tcW w:w="3089" w:type="pct"/>
            <w:tcBorders>
              <w:top w:val="outset" w:sz="6" w:space="0" w:color="414142"/>
              <w:left w:val="outset" w:sz="6" w:space="0" w:color="414142"/>
              <w:bottom w:val="outset" w:sz="6" w:space="0" w:color="414142"/>
              <w:right w:val="outset" w:sz="6" w:space="0" w:color="414142"/>
            </w:tcBorders>
            <w:vAlign w:val="center"/>
            <w:hideMark/>
          </w:tcPr>
          <w:p w14:paraId="43F9FF41" w14:textId="77777777" w:rsidR="003E66FF" w:rsidRPr="00EF3B4C" w:rsidRDefault="003E66FF" w:rsidP="00EF3B4C">
            <w:pPr>
              <w:jc w:val="both"/>
              <w:rPr>
                <w:sz w:val="22"/>
                <w:szCs w:val="22"/>
                <w:lang w:eastAsia="lv-LV"/>
              </w:rPr>
            </w:pPr>
            <w:r w:rsidRPr="00EF3B4C">
              <w:rPr>
                <w:sz w:val="22"/>
                <w:szCs w:val="22"/>
                <w:lang w:eastAsia="lv-LV"/>
              </w:rPr>
              <w:t>platībā no 1,0 ha papildus par katru nākamo ha</w:t>
            </w:r>
          </w:p>
        </w:tc>
        <w:tc>
          <w:tcPr>
            <w:tcW w:w="782" w:type="pct"/>
            <w:tcBorders>
              <w:top w:val="outset" w:sz="6" w:space="0" w:color="414142"/>
              <w:left w:val="outset" w:sz="6" w:space="0" w:color="414142"/>
              <w:bottom w:val="outset" w:sz="6" w:space="0" w:color="414142"/>
              <w:right w:val="outset" w:sz="6" w:space="0" w:color="414142"/>
            </w:tcBorders>
            <w:vAlign w:val="center"/>
            <w:hideMark/>
          </w:tcPr>
          <w:p w14:paraId="68C23428"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hideMark/>
          </w:tcPr>
          <w:p w14:paraId="7D57D0AC"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6,00</w:t>
            </w:r>
          </w:p>
        </w:tc>
      </w:tr>
      <w:tr w:rsidR="003E66FF" w:rsidRPr="00AE655D" w14:paraId="1564DEC1"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2834AEE9"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1.5.</w:t>
            </w:r>
          </w:p>
        </w:tc>
        <w:tc>
          <w:tcPr>
            <w:tcW w:w="3089" w:type="pct"/>
            <w:tcBorders>
              <w:top w:val="outset" w:sz="6" w:space="0" w:color="414142"/>
              <w:left w:val="outset" w:sz="6" w:space="0" w:color="414142"/>
              <w:bottom w:val="outset" w:sz="6" w:space="0" w:color="414142"/>
              <w:right w:val="outset" w:sz="6" w:space="0" w:color="414142"/>
            </w:tcBorders>
            <w:vAlign w:val="center"/>
          </w:tcPr>
          <w:p w14:paraId="0826E848" w14:textId="13096607" w:rsidR="003E66FF" w:rsidRPr="00EF3B4C" w:rsidRDefault="003B43C9" w:rsidP="00EF3B4C">
            <w:pPr>
              <w:jc w:val="both"/>
              <w:rPr>
                <w:sz w:val="22"/>
                <w:szCs w:val="22"/>
                <w:lang w:eastAsia="lv-LV"/>
              </w:rPr>
            </w:pPr>
            <w:r>
              <w:rPr>
                <w:sz w:val="22"/>
                <w:szCs w:val="22"/>
                <w:lang w:eastAsia="lv-LV"/>
              </w:rPr>
              <w:t>ā</w:t>
            </w:r>
            <w:r w:rsidR="003E66FF" w:rsidRPr="00EF3B4C">
              <w:rPr>
                <w:sz w:val="22"/>
                <w:szCs w:val="22"/>
                <w:lang w:eastAsia="lv-LV"/>
              </w:rPr>
              <w:t>rpus apdzīvotām teritorijām (pilsētām un ciemiem) maksimālā cena par objektu</w:t>
            </w:r>
          </w:p>
        </w:tc>
        <w:tc>
          <w:tcPr>
            <w:tcW w:w="782" w:type="pct"/>
            <w:tcBorders>
              <w:top w:val="outset" w:sz="6" w:space="0" w:color="414142"/>
              <w:left w:val="outset" w:sz="6" w:space="0" w:color="414142"/>
              <w:bottom w:val="outset" w:sz="6" w:space="0" w:color="414142"/>
              <w:right w:val="outset" w:sz="6" w:space="0" w:color="414142"/>
            </w:tcBorders>
            <w:vAlign w:val="center"/>
          </w:tcPr>
          <w:p w14:paraId="57A9B825"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tcPr>
          <w:p w14:paraId="250A40CE"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250,00</w:t>
            </w:r>
          </w:p>
        </w:tc>
      </w:tr>
      <w:tr w:rsidR="003E66FF" w:rsidRPr="00AE655D" w14:paraId="40DFD8D2" w14:textId="77777777" w:rsidTr="0079609F">
        <w:tc>
          <w:tcPr>
            <w:tcW w:w="350" w:type="pct"/>
            <w:tcBorders>
              <w:top w:val="outset" w:sz="6" w:space="0" w:color="414142"/>
              <w:left w:val="outset" w:sz="6" w:space="0" w:color="414142"/>
              <w:bottom w:val="outset" w:sz="6" w:space="0" w:color="414142"/>
              <w:right w:val="outset" w:sz="6" w:space="0" w:color="414142"/>
            </w:tcBorders>
          </w:tcPr>
          <w:p w14:paraId="59C24344" w14:textId="77777777" w:rsidR="003E66FF" w:rsidRPr="00EF3B4C" w:rsidRDefault="003E66FF" w:rsidP="0079609F">
            <w:pPr>
              <w:spacing w:before="100" w:beforeAutospacing="1" w:after="100" w:afterAutospacing="1" w:line="315" w:lineRule="atLeast"/>
              <w:jc w:val="center"/>
              <w:rPr>
                <w:sz w:val="22"/>
                <w:szCs w:val="22"/>
                <w:lang w:eastAsia="lv-LV"/>
              </w:rPr>
            </w:pPr>
          </w:p>
        </w:tc>
        <w:tc>
          <w:tcPr>
            <w:tcW w:w="4650" w:type="pct"/>
            <w:gridSpan w:val="3"/>
            <w:tcBorders>
              <w:top w:val="outset" w:sz="6" w:space="0" w:color="414142"/>
              <w:left w:val="outset" w:sz="6" w:space="0" w:color="414142"/>
              <w:bottom w:val="outset" w:sz="6" w:space="0" w:color="414142"/>
              <w:right w:val="outset" w:sz="6" w:space="0" w:color="414142"/>
            </w:tcBorders>
          </w:tcPr>
          <w:p w14:paraId="0C9B678A" w14:textId="69FBB1A9" w:rsidR="003E66FF" w:rsidRPr="00EF3B4C" w:rsidRDefault="003E66FF" w:rsidP="00EF3B4C">
            <w:pPr>
              <w:jc w:val="both"/>
              <w:rPr>
                <w:i/>
                <w:iCs/>
                <w:sz w:val="22"/>
                <w:szCs w:val="22"/>
                <w:lang w:eastAsia="lv-LV"/>
              </w:rPr>
            </w:pPr>
            <w:r w:rsidRPr="00EF3B4C">
              <w:rPr>
                <w:i/>
                <w:iCs/>
                <w:sz w:val="22"/>
                <w:szCs w:val="22"/>
                <w:lang w:eastAsia="lv-LV"/>
              </w:rPr>
              <w:t>Piezīme: Ja topogrāfiskais plāns ir starp apdzīvoto un ārpus apdzīvoto teritoriju, tad cenu aprēķina uzmērāmās teritorijas procentuāli lielāk</w:t>
            </w:r>
            <w:r w:rsidR="007B657C">
              <w:rPr>
                <w:i/>
                <w:iCs/>
                <w:sz w:val="22"/>
                <w:szCs w:val="22"/>
                <w:lang w:eastAsia="lv-LV"/>
              </w:rPr>
              <w:t>ajai</w:t>
            </w:r>
            <w:r w:rsidRPr="00EF3B4C">
              <w:rPr>
                <w:i/>
                <w:iCs/>
                <w:sz w:val="22"/>
                <w:szCs w:val="22"/>
                <w:lang w:eastAsia="lv-LV"/>
              </w:rPr>
              <w:t xml:space="preserve"> daļ</w:t>
            </w:r>
            <w:r w:rsidR="007B657C">
              <w:rPr>
                <w:i/>
                <w:iCs/>
                <w:sz w:val="22"/>
                <w:szCs w:val="22"/>
                <w:lang w:eastAsia="lv-LV"/>
              </w:rPr>
              <w:t>ai</w:t>
            </w:r>
            <w:r w:rsidRPr="00EF3B4C">
              <w:rPr>
                <w:i/>
                <w:iCs/>
                <w:sz w:val="22"/>
                <w:szCs w:val="22"/>
                <w:lang w:eastAsia="lv-LV"/>
              </w:rPr>
              <w:t>.</w:t>
            </w:r>
          </w:p>
        </w:tc>
      </w:tr>
      <w:tr w:rsidR="003E66FF" w:rsidRPr="00AE655D" w14:paraId="5C463F47"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668DD943"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2.</w:t>
            </w:r>
          </w:p>
        </w:tc>
        <w:tc>
          <w:tcPr>
            <w:tcW w:w="4650" w:type="pct"/>
            <w:gridSpan w:val="3"/>
            <w:tcBorders>
              <w:top w:val="outset" w:sz="6" w:space="0" w:color="414142"/>
              <w:left w:val="outset" w:sz="6" w:space="0" w:color="414142"/>
              <w:bottom w:val="outset" w:sz="6" w:space="0" w:color="414142"/>
              <w:right w:val="outset" w:sz="6" w:space="0" w:color="414142"/>
            </w:tcBorders>
            <w:vAlign w:val="center"/>
          </w:tcPr>
          <w:p w14:paraId="6AD4CB89" w14:textId="0DBFBAD5" w:rsidR="003E66FF" w:rsidRPr="00EF3B4C" w:rsidRDefault="003E66FF" w:rsidP="0079609F">
            <w:pPr>
              <w:jc w:val="both"/>
              <w:rPr>
                <w:b/>
                <w:sz w:val="22"/>
                <w:szCs w:val="22"/>
              </w:rPr>
            </w:pPr>
            <w:proofErr w:type="spellStart"/>
            <w:r w:rsidRPr="00EF3B4C">
              <w:rPr>
                <w:b/>
                <w:sz w:val="22"/>
                <w:szCs w:val="22"/>
              </w:rPr>
              <w:t>Izpildmērījuma</w:t>
            </w:r>
            <w:proofErr w:type="spellEnd"/>
            <w:r w:rsidRPr="00EF3B4C">
              <w:rPr>
                <w:b/>
                <w:sz w:val="22"/>
                <w:szCs w:val="22"/>
              </w:rPr>
              <w:t xml:space="preserve"> plāna par inženiertīklu (t</w:t>
            </w:r>
            <w:r w:rsidR="007B657C">
              <w:rPr>
                <w:b/>
                <w:sz w:val="22"/>
                <w:szCs w:val="22"/>
              </w:rPr>
              <w:t>.</w:t>
            </w:r>
            <w:r w:rsidRPr="00EF3B4C">
              <w:rPr>
                <w:b/>
                <w:sz w:val="22"/>
                <w:szCs w:val="22"/>
              </w:rPr>
              <w:t>sk</w:t>
            </w:r>
            <w:r w:rsidR="007B657C">
              <w:rPr>
                <w:b/>
                <w:sz w:val="22"/>
                <w:szCs w:val="22"/>
              </w:rPr>
              <w:t>.</w:t>
            </w:r>
            <w:r w:rsidRPr="00EF3B4C">
              <w:rPr>
                <w:b/>
                <w:sz w:val="22"/>
                <w:szCs w:val="22"/>
              </w:rPr>
              <w:t xml:space="preserve"> inženiertīklu nojaukšanas) pieņemšana, pārbaude, ievietošana karšu lapās, ievadīšana datubāzē, reģistrēšana un nosūtīšana </w:t>
            </w:r>
            <w:r w:rsidR="007B657C">
              <w:rPr>
                <w:b/>
                <w:sz w:val="22"/>
                <w:szCs w:val="22"/>
              </w:rPr>
              <w:t>P</w:t>
            </w:r>
            <w:r w:rsidRPr="00EF3B4C">
              <w:rPr>
                <w:b/>
                <w:sz w:val="22"/>
                <w:szCs w:val="22"/>
              </w:rPr>
              <w:t>ašvaldībai</w:t>
            </w:r>
            <w:r w:rsidR="00647213">
              <w:rPr>
                <w:b/>
                <w:sz w:val="22"/>
                <w:szCs w:val="22"/>
              </w:rPr>
              <w:t>:</w:t>
            </w:r>
          </w:p>
          <w:p w14:paraId="00912BB4" w14:textId="75D0CC5F" w:rsidR="003E66FF" w:rsidRPr="00EF3B4C" w:rsidRDefault="003E66FF" w:rsidP="0079609F">
            <w:pPr>
              <w:jc w:val="both"/>
              <w:rPr>
                <w:bCs/>
                <w:i/>
                <w:iCs/>
                <w:sz w:val="22"/>
                <w:szCs w:val="22"/>
              </w:rPr>
            </w:pPr>
            <w:r w:rsidRPr="00EF3B4C">
              <w:rPr>
                <w:bCs/>
                <w:i/>
                <w:iCs/>
                <w:sz w:val="22"/>
                <w:szCs w:val="22"/>
              </w:rPr>
              <w:t xml:space="preserve">Ja jauna inženiertīkla </w:t>
            </w:r>
            <w:proofErr w:type="spellStart"/>
            <w:r w:rsidRPr="00EF3B4C">
              <w:rPr>
                <w:bCs/>
                <w:i/>
                <w:iCs/>
                <w:sz w:val="22"/>
                <w:szCs w:val="22"/>
              </w:rPr>
              <w:t>izpildmerījumu</w:t>
            </w:r>
            <w:proofErr w:type="spellEnd"/>
            <w:r w:rsidRPr="00EF3B4C">
              <w:rPr>
                <w:bCs/>
                <w:i/>
                <w:iCs/>
                <w:sz w:val="22"/>
                <w:szCs w:val="22"/>
              </w:rPr>
              <w:t xml:space="preserve"> plānā norāda arī demontētos inženiertīklus, tad </w:t>
            </w:r>
            <w:r w:rsidR="007B657C" w:rsidRPr="00E409B0">
              <w:rPr>
                <w:bCs/>
                <w:i/>
                <w:iCs/>
                <w:sz w:val="22"/>
                <w:szCs w:val="22"/>
              </w:rPr>
              <w:t>par demontēto posmu</w:t>
            </w:r>
            <w:r w:rsidR="007B657C" w:rsidRPr="007B657C">
              <w:rPr>
                <w:bCs/>
                <w:i/>
                <w:iCs/>
                <w:sz w:val="22"/>
                <w:szCs w:val="22"/>
              </w:rPr>
              <w:t xml:space="preserve"> </w:t>
            </w:r>
            <w:r w:rsidRPr="00EF3B4C">
              <w:rPr>
                <w:bCs/>
                <w:i/>
                <w:iCs/>
                <w:sz w:val="22"/>
                <w:szCs w:val="22"/>
              </w:rPr>
              <w:t>papildu maks</w:t>
            </w:r>
            <w:r w:rsidR="007B657C">
              <w:rPr>
                <w:bCs/>
                <w:i/>
                <w:iCs/>
                <w:sz w:val="22"/>
                <w:szCs w:val="22"/>
              </w:rPr>
              <w:t>u</w:t>
            </w:r>
            <w:r w:rsidRPr="00EF3B4C">
              <w:rPr>
                <w:bCs/>
                <w:i/>
                <w:iCs/>
                <w:sz w:val="22"/>
                <w:szCs w:val="22"/>
              </w:rPr>
              <w:t xml:space="preserve"> nepiemēro. Ja nepieciešams, abus </w:t>
            </w:r>
            <w:proofErr w:type="spellStart"/>
            <w:r w:rsidRPr="00EF3B4C">
              <w:rPr>
                <w:bCs/>
                <w:i/>
                <w:iCs/>
                <w:sz w:val="22"/>
                <w:szCs w:val="22"/>
              </w:rPr>
              <w:t>izpildmērījumus</w:t>
            </w:r>
            <w:proofErr w:type="spellEnd"/>
            <w:r w:rsidRPr="00EF3B4C">
              <w:rPr>
                <w:bCs/>
                <w:i/>
                <w:iCs/>
                <w:sz w:val="22"/>
                <w:szCs w:val="22"/>
              </w:rPr>
              <w:t xml:space="preserve"> var noformēt atsevišķi, bet iesniegt kopā.</w:t>
            </w:r>
          </w:p>
        </w:tc>
      </w:tr>
      <w:tr w:rsidR="003E66FF" w:rsidRPr="00AE655D" w14:paraId="4E8B4045"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0DF66B0D"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2.1.</w:t>
            </w:r>
          </w:p>
        </w:tc>
        <w:tc>
          <w:tcPr>
            <w:tcW w:w="3089" w:type="pct"/>
            <w:tcBorders>
              <w:top w:val="outset" w:sz="6" w:space="0" w:color="414142"/>
              <w:left w:val="outset" w:sz="6" w:space="0" w:color="414142"/>
              <w:bottom w:val="outset" w:sz="6" w:space="0" w:color="414142"/>
              <w:right w:val="outset" w:sz="6" w:space="0" w:color="414142"/>
            </w:tcBorders>
            <w:vAlign w:val="center"/>
          </w:tcPr>
          <w:p w14:paraId="41759203" w14:textId="663D43CF" w:rsidR="003E66FF" w:rsidRPr="00EF3B4C" w:rsidRDefault="003E66FF" w:rsidP="0079609F">
            <w:pPr>
              <w:rPr>
                <w:sz w:val="22"/>
                <w:szCs w:val="22"/>
                <w:lang w:eastAsia="lv-LV"/>
              </w:rPr>
            </w:pPr>
            <w:r w:rsidRPr="00EF3B4C">
              <w:rPr>
                <w:sz w:val="22"/>
                <w:szCs w:val="22"/>
                <w:lang w:eastAsia="lv-LV"/>
              </w:rPr>
              <w:t xml:space="preserve">inženiertīklu garums no 0 </w:t>
            </w:r>
            <w:r w:rsidR="007B657C">
              <w:rPr>
                <w:sz w:val="22"/>
                <w:szCs w:val="22"/>
                <w:lang w:eastAsia="lv-LV"/>
              </w:rPr>
              <w:t xml:space="preserve">m </w:t>
            </w:r>
            <w:r w:rsidRPr="00EF3B4C">
              <w:rPr>
                <w:sz w:val="22"/>
                <w:szCs w:val="22"/>
                <w:lang w:eastAsia="lv-LV"/>
              </w:rPr>
              <w:t>līdz 30 m (ieskaitot)</w:t>
            </w:r>
          </w:p>
        </w:tc>
        <w:tc>
          <w:tcPr>
            <w:tcW w:w="782" w:type="pct"/>
            <w:tcBorders>
              <w:top w:val="outset" w:sz="6" w:space="0" w:color="414142"/>
              <w:left w:val="outset" w:sz="6" w:space="0" w:color="414142"/>
              <w:bottom w:val="outset" w:sz="6" w:space="0" w:color="414142"/>
              <w:right w:val="outset" w:sz="6" w:space="0" w:color="414142"/>
            </w:tcBorders>
            <w:vAlign w:val="center"/>
          </w:tcPr>
          <w:p w14:paraId="566F5115"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tcPr>
          <w:p w14:paraId="07868439"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7,00</w:t>
            </w:r>
          </w:p>
        </w:tc>
      </w:tr>
      <w:tr w:rsidR="003E66FF" w:rsidRPr="00AE655D" w14:paraId="031F10EE"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4F2D6E6F"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2.2.</w:t>
            </w:r>
          </w:p>
        </w:tc>
        <w:tc>
          <w:tcPr>
            <w:tcW w:w="3089" w:type="pct"/>
            <w:tcBorders>
              <w:top w:val="outset" w:sz="6" w:space="0" w:color="414142"/>
              <w:left w:val="outset" w:sz="6" w:space="0" w:color="414142"/>
              <w:bottom w:val="outset" w:sz="6" w:space="0" w:color="414142"/>
              <w:right w:val="outset" w:sz="6" w:space="0" w:color="414142"/>
            </w:tcBorders>
            <w:vAlign w:val="center"/>
          </w:tcPr>
          <w:p w14:paraId="1CF26A39" w14:textId="575F3A3C" w:rsidR="003E66FF" w:rsidRPr="00EF3B4C" w:rsidRDefault="003E66FF" w:rsidP="0079609F">
            <w:pPr>
              <w:rPr>
                <w:sz w:val="22"/>
                <w:szCs w:val="22"/>
                <w:lang w:eastAsia="lv-LV"/>
              </w:rPr>
            </w:pPr>
            <w:r w:rsidRPr="00EF3B4C">
              <w:rPr>
                <w:sz w:val="22"/>
                <w:szCs w:val="22"/>
                <w:lang w:eastAsia="lv-LV"/>
              </w:rPr>
              <w:t>inženiertīklu garums no 31</w:t>
            </w:r>
            <w:r w:rsidR="007B657C">
              <w:rPr>
                <w:sz w:val="22"/>
                <w:szCs w:val="22"/>
                <w:lang w:eastAsia="lv-LV"/>
              </w:rPr>
              <w:t xml:space="preserve"> m</w:t>
            </w:r>
            <w:r w:rsidRPr="00EF3B4C">
              <w:rPr>
                <w:sz w:val="22"/>
                <w:szCs w:val="22"/>
                <w:lang w:eastAsia="lv-LV"/>
              </w:rPr>
              <w:t xml:space="preserve"> līdz 300 m (ieskaitot)</w:t>
            </w:r>
          </w:p>
        </w:tc>
        <w:tc>
          <w:tcPr>
            <w:tcW w:w="782" w:type="pct"/>
            <w:tcBorders>
              <w:top w:val="outset" w:sz="6" w:space="0" w:color="414142"/>
              <w:left w:val="outset" w:sz="6" w:space="0" w:color="414142"/>
              <w:bottom w:val="outset" w:sz="6" w:space="0" w:color="414142"/>
              <w:right w:val="outset" w:sz="6" w:space="0" w:color="414142"/>
            </w:tcBorders>
            <w:vAlign w:val="center"/>
          </w:tcPr>
          <w:p w14:paraId="1AE1D4A4"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tcPr>
          <w:p w14:paraId="64A75970"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9,00</w:t>
            </w:r>
          </w:p>
        </w:tc>
      </w:tr>
      <w:tr w:rsidR="003E66FF" w:rsidRPr="00AE655D" w14:paraId="21719672"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59D93BDF"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2.3.</w:t>
            </w:r>
          </w:p>
        </w:tc>
        <w:tc>
          <w:tcPr>
            <w:tcW w:w="3089" w:type="pct"/>
            <w:tcBorders>
              <w:top w:val="outset" w:sz="6" w:space="0" w:color="414142"/>
              <w:left w:val="outset" w:sz="6" w:space="0" w:color="414142"/>
              <w:bottom w:val="outset" w:sz="6" w:space="0" w:color="414142"/>
              <w:right w:val="outset" w:sz="6" w:space="0" w:color="414142"/>
            </w:tcBorders>
            <w:vAlign w:val="center"/>
          </w:tcPr>
          <w:p w14:paraId="7DDAC9CE" w14:textId="5D58869A" w:rsidR="003E66FF" w:rsidRPr="00EF3B4C" w:rsidRDefault="003E66FF" w:rsidP="00EF3B4C">
            <w:pPr>
              <w:jc w:val="both"/>
              <w:rPr>
                <w:sz w:val="22"/>
                <w:szCs w:val="22"/>
                <w:lang w:eastAsia="lv-LV"/>
              </w:rPr>
            </w:pPr>
            <w:r w:rsidRPr="00EF3B4C">
              <w:rPr>
                <w:sz w:val="22"/>
                <w:szCs w:val="22"/>
                <w:lang w:eastAsia="lv-LV"/>
              </w:rPr>
              <w:t>inženiertīklu garums virs 300 m, papildu par katriem nākamajiem 100 m</w:t>
            </w:r>
          </w:p>
        </w:tc>
        <w:tc>
          <w:tcPr>
            <w:tcW w:w="782" w:type="pct"/>
            <w:tcBorders>
              <w:top w:val="outset" w:sz="6" w:space="0" w:color="414142"/>
              <w:left w:val="outset" w:sz="6" w:space="0" w:color="414142"/>
              <w:bottom w:val="outset" w:sz="6" w:space="0" w:color="414142"/>
              <w:right w:val="outset" w:sz="6" w:space="0" w:color="414142"/>
            </w:tcBorders>
            <w:vAlign w:val="center"/>
          </w:tcPr>
          <w:p w14:paraId="4D7CD4FA"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tcPr>
          <w:p w14:paraId="49035F73"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3,00</w:t>
            </w:r>
          </w:p>
        </w:tc>
      </w:tr>
      <w:tr w:rsidR="003E66FF" w:rsidRPr="00AE655D" w14:paraId="656B92DC"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1DA55AD3"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2.4.</w:t>
            </w:r>
          </w:p>
        </w:tc>
        <w:tc>
          <w:tcPr>
            <w:tcW w:w="3089" w:type="pct"/>
            <w:tcBorders>
              <w:top w:val="outset" w:sz="6" w:space="0" w:color="414142"/>
              <w:left w:val="outset" w:sz="6" w:space="0" w:color="414142"/>
              <w:bottom w:val="outset" w:sz="6" w:space="0" w:color="414142"/>
              <w:right w:val="outset" w:sz="6" w:space="0" w:color="414142"/>
            </w:tcBorders>
            <w:vAlign w:val="center"/>
          </w:tcPr>
          <w:p w14:paraId="6B9A0819" w14:textId="0B0FC827" w:rsidR="003E66FF" w:rsidRPr="00EF3B4C" w:rsidRDefault="007B657C" w:rsidP="00EF3B4C">
            <w:pPr>
              <w:jc w:val="both"/>
              <w:rPr>
                <w:sz w:val="22"/>
                <w:szCs w:val="22"/>
                <w:lang w:eastAsia="lv-LV"/>
              </w:rPr>
            </w:pPr>
            <w:r>
              <w:rPr>
                <w:sz w:val="22"/>
                <w:szCs w:val="22"/>
                <w:lang w:eastAsia="lv-LV"/>
              </w:rPr>
              <w:t>ā</w:t>
            </w:r>
            <w:r w:rsidR="003E66FF" w:rsidRPr="00EF3B4C">
              <w:rPr>
                <w:sz w:val="22"/>
                <w:szCs w:val="22"/>
                <w:lang w:eastAsia="lv-LV"/>
              </w:rPr>
              <w:t>rpus apdzīvotām teritorijām (pilsētām un ciemiem)</w:t>
            </w:r>
            <w:r>
              <w:rPr>
                <w:sz w:val="22"/>
                <w:szCs w:val="22"/>
                <w:lang w:eastAsia="lv-LV"/>
              </w:rPr>
              <w:t xml:space="preserve"> </w:t>
            </w:r>
            <w:r w:rsidR="003E66FF" w:rsidRPr="00EF3B4C">
              <w:rPr>
                <w:sz w:val="22"/>
                <w:szCs w:val="22"/>
                <w:lang w:eastAsia="lv-LV"/>
              </w:rPr>
              <w:t>maksimālā cena par objektu</w:t>
            </w:r>
          </w:p>
        </w:tc>
        <w:tc>
          <w:tcPr>
            <w:tcW w:w="782" w:type="pct"/>
            <w:tcBorders>
              <w:top w:val="outset" w:sz="6" w:space="0" w:color="414142"/>
              <w:left w:val="outset" w:sz="6" w:space="0" w:color="414142"/>
              <w:bottom w:val="outset" w:sz="6" w:space="0" w:color="414142"/>
              <w:right w:val="outset" w:sz="6" w:space="0" w:color="414142"/>
            </w:tcBorders>
            <w:vAlign w:val="center"/>
          </w:tcPr>
          <w:p w14:paraId="0F3590CF"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tcPr>
          <w:p w14:paraId="15011411"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250,00</w:t>
            </w:r>
          </w:p>
        </w:tc>
      </w:tr>
      <w:tr w:rsidR="003E66FF" w:rsidRPr="00AE655D" w14:paraId="022C889F"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6AEDF516"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3.</w:t>
            </w:r>
          </w:p>
        </w:tc>
        <w:tc>
          <w:tcPr>
            <w:tcW w:w="3089" w:type="pct"/>
            <w:tcBorders>
              <w:top w:val="outset" w:sz="6" w:space="0" w:color="414142"/>
              <w:left w:val="outset" w:sz="6" w:space="0" w:color="414142"/>
              <w:bottom w:val="outset" w:sz="6" w:space="0" w:color="414142"/>
              <w:right w:val="outset" w:sz="6" w:space="0" w:color="414142"/>
            </w:tcBorders>
            <w:vAlign w:val="center"/>
          </w:tcPr>
          <w:p w14:paraId="45E02DCD" w14:textId="777E3D28" w:rsidR="003E66FF" w:rsidRPr="00EF3B4C" w:rsidRDefault="003E66FF" w:rsidP="00EF3B4C">
            <w:pPr>
              <w:jc w:val="both"/>
              <w:rPr>
                <w:b/>
                <w:bCs/>
                <w:sz w:val="22"/>
                <w:szCs w:val="22"/>
                <w:lang w:eastAsia="lv-LV"/>
              </w:rPr>
            </w:pPr>
            <w:proofErr w:type="spellStart"/>
            <w:r w:rsidRPr="00EF3B4C">
              <w:rPr>
                <w:b/>
                <w:bCs/>
                <w:sz w:val="22"/>
                <w:szCs w:val="22"/>
                <w:lang w:eastAsia="lv-LV"/>
              </w:rPr>
              <w:t>Izpildmērījuma</w:t>
            </w:r>
            <w:proofErr w:type="spellEnd"/>
            <w:r w:rsidRPr="00EF3B4C">
              <w:rPr>
                <w:b/>
                <w:bCs/>
                <w:sz w:val="22"/>
                <w:szCs w:val="22"/>
                <w:lang w:eastAsia="lv-LV"/>
              </w:rPr>
              <w:t xml:space="preserve"> plāna par būves nojaukšanu (demontāžu) reģistrēšana datubāzē un nosūtīšana </w:t>
            </w:r>
            <w:r w:rsidR="00647213" w:rsidRPr="00EF3B4C">
              <w:rPr>
                <w:b/>
                <w:bCs/>
                <w:sz w:val="22"/>
                <w:szCs w:val="22"/>
                <w:lang w:eastAsia="lv-LV"/>
              </w:rPr>
              <w:t>P</w:t>
            </w:r>
            <w:r w:rsidRPr="00EF3B4C">
              <w:rPr>
                <w:b/>
                <w:bCs/>
                <w:sz w:val="22"/>
                <w:szCs w:val="22"/>
                <w:lang w:eastAsia="lv-LV"/>
              </w:rPr>
              <w:t>ašvaldībai.</w:t>
            </w:r>
          </w:p>
        </w:tc>
        <w:tc>
          <w:tcPr>
            <w:tcW w:w="782" w:type="pct"/>
            <w:tcBorders>
              <w:top w:val="outset" w:sz="6" w:space="0" w:color="414142"/>
              <w:left w:val="outset" w:sz="6" w:space="0" w:color="414142"/>
              <w:bottom w:val="outset" w:sz="6" w:space="0" w:color="414142"/>
              <w:right w:val="outset" w:sz="6" w:space="0" w:color="414142"/>
            </w:tcBorders>
            <w:vAlign w:val="center"/>
          </w:tcPr>
          <w:p w14:paraId="4449DF06"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tcPr>
          <w:p w14:paraId="60FDC2F1"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5,00</w:t>
            </w:r>
          </w:p>
        </w:tc>
      </w:tr>
      <w:tr w:rsidR="003E66FF" w:rsidRPr="00AE655D" w14:paraId="5B67A334"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0181F2EA"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4.</w:t>
            </w:r>
          </w:p>
        </w:tc>
        <w:tc>
          <w:tcPr>
            <w:tcW w:w="3089" w:type="pct"/>
            <w:tcBorders>
              <w:top w:val="outset" w:sz="6" w:space="0" w:color="414142"/>
              <w:left w:val="outset" w:sz="6" w:space="0" w:color="414142"/>
              <w:bottom w:val="outset" w:sz="6" w:space="0" w:color="414142"/>
              <w:right w:val="outset" w:sz="6" w:space="0" w:color="414142"/>
            </w:tcBorders>
            <w:vAlign w:val="center"/>
          </w:tcPr>
          <w:p w14:paraId="7150A27F" w14:textId="40FD2230" w:rsidR="003E66FF" w:rsidRPr="00EF3B4C" w:rsidRDefault="003E66FF" w:rsidP="00EF3B4C">
            <w:pPr>
              <w:jc w:val="both"/>
              <w:rPr>
                <w:b/>
                <w:bCs/>
                <w:sz w:val="22"/>
                <w:szCs w:val="22"/>
                <w:lang w:eastAsia="lv-LV"/>
              </w:rPr>
            </w:pPr>
            <w:r w:rsidRPr="00EF3B4C">
              <w:rPr>
                <w:b/>
                <w:bCs/>
                <w:sz w:val="22"/>
                <w:szCs w:val="22"/>
                <w:lang w:eastAsia="lv-LV"/>
              </w:rPr>
              <w:t xml:space="preserve">Galveno </w:t>
            </w:r>
            <w:proofErr w:type="spellStart"/>
            <w:r w:rsidRPr="00EF3B4C">
              <w:rPr>
                <w:b/>
                <w:bCs/>
                <w:sz w:val="22"/>
                <w:szCs w:val="22"/>
                <w:lang w:eastAsia="lv-LV"/>
              </w:rPr>
              <w:t>būvasu</w:t>
            </w:r>
            <w:proofErr w:type="spellEnd"/>
            <w:r w:rsidRPr="00EF3B4C">
              <w:rPr>
                <w:b/>
                <w:bCs/>
                <w:sz w:val="22"/>
                <w:szCs w:val="22"/>
                <w:lang w:eastAsia="lv-LV"/>
              </w:rPr>
              <w:t xml:space="preserve"> reģistrēšana datu bāzē un nosūtīšana </w:t>
            </w:r>
            <w:r w:rsidR="00647213" w:rsidRPr="00EF3B4C">
              <w:rPr>
                <w:b/>
                <w:bCs/>
                <w:sz w:val="22"/>
                <w:szCs w:val="22"/>
                <w:lang w:eastAsia="lv-LV"/>
              </w:rPr>
              <w:t>P</w:t>
            </w:r>
            <w:r w:rsidRPr="00EF3B4C">
              <w:rPr>
                <w:b/>
                <w:bCs/>
                <w:sz w:val="22"/>
                <w:szCs w:val="22"/>
                <w:lang w:eastAsia="lv-LV"/>
              </w:rPr>
              <w:t>ašvaldībai.</w:t>
            </w:r>
          </w:p>
        </w:tc>
        <w:tc>
          <w:tcPr>
            <w:tcW w:w="782" w:type="pct"/>
            <w:tcBorders>
              <w:top w:val="outset" w:sz="6" w:space="0" w:color="414142"/>
              <w:left w:val="outset" w:sz="6" w:space="0" w:color="414142"/>
              <w:bottom w:val="outset" w:sz="6" w:space="0" w:color="414142"/>
              <w:right w:val="outset" w:sz="6" w:space="0" w:color="414142"/>
            </w:tcBorders>
            <w:vAlign w:val="center"/>
          </w:tcPr>
          <w:p w14:paraId="3D76C869"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zemes vienība</w:t>
            </w:r>
          </w:p>
        </w:tc>
        <w:tc>
          <w:tcPr>
            <w:tcW w:w="778" w:type="pct"/>
            <w:tcBorders>
              <w:top w:val="outset" w:sz="6" w:space="0" w:color="414142"/>
              <w:left w:val="outset" w:sz="6" w:space="0" w:color="414142"/>
              <w:bottom w:val="outset" w:sz="6" w:space="0" w:color="414142"/>
              <w:right w:val="outset" w:sz="6" w:space="0" w:color="414142"/>
            </w:tcBorders>
            <w:vAlign w:val="center"/>
          </w:tcPr>
          <w:p w14:paraId="10F3288F"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5,00</w:t>
            </w:r>
          </w:p>
        </w:tc>
      </w:tr>
      <w:tr w:rsidR="003E66FF" w:rsidRPr="00AE655D" w14:paraId="4AA9B1E6"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31ECF701"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5.</w:t>
            </w:r>
          </w:p>
        </w:tc>
        <w:tc>
          <w:tcPr>
            <w:tcW w:w="4650" w:type="pct"/>
            <w:gridSpan w:val="3"/>
            <w:tcBorders>
              <w:top w:val="outset" w:sz="6" w:space="0" w:color="414142"/>
              <w:left w:val="outset" w:sz="6" w:space="0" w:color="414142"/>
              <w:bottom w:val="outset" w:sz="6" w:space="0" w:color="414142"/>
              <w:right w:val="outset" w:sz="6" w:space="0" w:color="414142"/>
            </w:tcBorders>
            <w:vAlign w:val="center"/>
          </w:tcPr>
          <w:p w14:paraId="6ACCB787" w14:textId="77777777" w:rsidR="003E66FF" w:rsidRPr="00EF3B4C" w:rsidRDefault="003E66FF" w:rsidP="0079609F">
            <w:pPr>
              <w:spacing w:before="100" w:beforeAutospacing="1" w:after="100" w:afterAutospacing="1" w:line="315" w:lineRule="atLeast"/>
              <w:rPr>
                <w:b/>
                <w:bCs/>
                <w:sz w:val="22"/>
                <w:szCs w:val="22"/>
                <w:lang w:eastAsia="lv-LV"/>
              </w:rPr>
            </w:pPr>
            <w:proofErr w:type="spellStart"/>
            <w:r w:rsidRPr="00EF3B4C">
              <w:rPr>
                <w:b/>
                <w:bCs/>
                <w:sz w:val="22"/>
                <w:szCs w:val="22"/>
                <w:lang w:eastAsia="lv-LV"/>
              </w:rPr>
              <w:t>Izpildmērījuma</w:t>
            </w:r>
            <w:proofErr w:type="spellEnd"/>
            <w:r w:rsidRPr="00EF3B4C">
              <w:rPr>
                <w:b/>
                <w:bCs/>
                <w:sz w:val="22"/>
                <w:szCs w:val="22"/>
                <w:lang w:eastAsia="lv-LV"/>
              </w:rPr>
              <w:t xml:space="preserve"> plāna par būvēm (nodošanai ekspluatācijā) pārbaude:</w:t>
            </w:r>
          </w:p>
        </w:tc>
      </w:tr>
      <w:tr w:rsidR="003E66FF" w:rsidRPr="00AE655D" w14:paraId="112D283D"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6B1AA822"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5.1.</w:t>
            </w:r>
          </w:p>
        </w:tc>
        <w:tc>
          <w:tcPr>
            <w:tcW w:w="3089" w:type="pct"/>
            <w:tcBorders>
              <w:top w:val="outset" w:sz="6" w:space="0" w:color="414142"/>
              <w:left w:val="outset" w:sz="6" w:space="0" w:color="414142"/>
              <w:bottom w:val="outset" w:sz="6" w:space="0" w:color="414142"/>
              <w:right w:val="outset" w:sz="6" w:space="0" w:color="414142"/>
            </w:tcBorders>
            <w:vAlign w:val="center"/>
          </w:tcPr>
          <w:p w14:paraId="78B1098C" w14:textId="6C551D28" w:rsidR="003E66FF" w:rsidRPr="00EF3B4C" w:rsidRDefault="003E66FF" w:rsidP="0079609F">
            <w:pPr>
              <w:rPr>
                <w:sz w:val="22"/>
                <w:szCs w:val="22"/>
                <w:lang w:eastAsia="lv-LV"/>
              </w:rPr>
            </w:pPr>
            <w:r w:rsidRPr="00EF3B4C">
              <w:rPr>
                <w:sz w:val="22"/>
                <w:szCs w:val="22"/>
                <w:lang w:eastAsia="lv-LV"/>
              </w:rPr>
              <w:t xml:space="preserve">Būves (bez labiekārtojuma elementiem) </w:t>
            </w:r>
            <w:proofErr w:type="spellStart"/>
            <w:r w:rsidRPr="00EF3B4C">
              <w:rPr>
                <w:sz w:val="22"/>
                <w:szCs w:val="22"/>
                <w:lang w:eastAsia="lv-LV"/>
              </w:rPr>
              <w:t>izpildmērījuma</w:t>
            </w:r>
            <w:proofErr w:type="spellEnd"/>
            <w:r w:rsidRPr="00EF3B4C">
              <w:rPr>
                <w:sz w:val="22"/>
                <w:szCs w:val="22"/>
                <w:lang w:eastAsia="lv-LV"/>
              </w:rPr>
              <w:t xml:space="preserve"> plāna pārbaude </w:t>
            </w:r>
            <w:r w:rsidR="00647213">
              <w:rPr>
                <w:sz w:val="22"/>
                <w:szCs w:val="22"/>
                <w:lang w:eastAsia="lv-LV"/>
              </w:rPr>
              <w:t>(m</w:t>
            </w:r>
            <w:r w:rsidRPr="00EF3B4C">
              <w:rPr>
                <w:sz w:val="22"/>
                <w:szCs w:val="22"/>
                <w:lang w:eastAsia="lv-LV"/>
              </w:rPr>
              <w:t>ērvienība - ēka un saistītās būves zemes vienībā līdz 0.3 ha platībai</w:t>
            </w:r>
            <w:r w:rsidR="00647213">
              <w:rPr>
                <w:sz w:val="22"/>
                <w:szCs w:val="22"/>
                <w:lang w:eastAsia="lv-LV"/>
              </w:rPr>
              <w:t>)</w:t>
            </w:r>
            <w:r w:rsidRPr="00EF3B4C">
              <w:rPr>
                <w:sz w:val="22"/>
                <w:szCs w:val="22"/>
                <w:lang w:eastAsia="lv-LV"/>
              </w:rPr>
              <w:t>.</w:t>
            </w:r>
          </w:p>
          <w:p w14:paraId="3AC840F6" w14:textId="5DED20D2" w:rsidR="003E66FF" w:rsidRPr="00EF3B4C" w:rsidRDefault="003E66FF" w:rsidP="00EF3B4C">
            <w:pPr>
              <w:jc w:val="both"/>
              <w:rPr>
                <w:i/>
                <w:iCs/>
                <w:sz w:val="22"/>
                <w:szCs w:val="22"/>
                <w:lang w:eastAsia="lv-LV"/>
              </w:rPr>
            </w:pPr>
            <w:r w:rsidRPr="00EF3B4C">
              <w:rPr>
                <w:i/>
                <w:iCs/>
                <w:sz w:val="22"/>
                <w:szCs w:val="22"/>
                <w:lang w:eastAsia="lv-LV"/>
              </w:rPr>
              <w:t xml:space="preserve">Ja būves </w:t>
            </w:r>
            <w:proofErr w:type="spellStart"/>
            <w:r w:rsidRPr="00EF3B4C">
              <w:rPr>
                <w:i/>
                <w:iCs/>
                <w:sz w:val="22"/>
                <w:szCs w:val="22"/>
                <w:lang w:eastAsia="lv-LV"/>
              </w:rPr>
              <w:t>izpildmērījuma</w:t>
            </w:r>
            <w:proofErr w:type="spellEnd"/>
            <w:r w:rsidRPr="00EF3B4C">
              <w:rPr>
                <w:i/>
                <w:iCs/>
                <w:sz w:val="22"/>
                <w:szCs w:val="22"/>
                <w:lang w:eastAsia="lv-LV"/>
              </w:rPr>
              <w:t xml:space="preserve"> plānā attēlotās būves platība pārsniedz 0.3 ha, tad cenas noteikšanai piemēro</w:t>
            </w:r>
            <w:r w:rsidR="00647213" w:rsidRPr="00EF3B4C">
              <w:rPr>
                <w:i/>
                <w:iCs/>
                <w:sz w:val="22"/>
                <w:szCs w:val="22"/>
                <w:lang w:eastAsia="lv-LV"/>
              </w:rPr>
              <w:t xml:space="preserve"> </w:t>
            </w:r>
            <w:r w:rsidRPr="00EF3B4C">
              <w:rPr>
                <w:i/>
                <w:iCs/>
                <w:sz w:val="22"/>
                <w:szCs w:val="22"/>
                <w:lang w:eastAsia="lv-LV"/>
              </w:rPr>
              <w:t>cenrāža 1.</w:t>
            </w:r>
            <w:r w:rsidR="00647213" w:rsidRPr="00EF3B4C">
              <w:rPr>
                <w:i/>
                <w:iCs/>
                <w:sz w:val="22"/>
                <w:szCs w:val="22"/>
                <w:lang w:eastAsia="lv-LV"/>
              </w:rPr>
              <w:t xml:space="preserve"> </w:t>
            </w:r>
            <w:r w:rsidRPr="00EF3B4C">
              <w:rPr>
                <w:i/>
                <w:iCs/>
                <w:sz w:val="22"/>
                <w:szCs w:val="22"/>
                <w:lang w:eastAsia="lv-LV"/>
              </w:rPr>
              <w:t>punkta nosacījum</w:t>
            </w:r>
            <w:r w:rsidR="00647213" w:rsidRPr="00EF3B4C">
              <w:rPr>
                <w:i/>
                <w:iCs/>
                <w:sz w:val="22"/>
                <w:szCs w:val="22"/>
                <w:lang w:eastAsia="lv-LV"/>
              </w:rPr>
              <w:t>us</w:t>
            </w:r>
            <w:r w:rsidRPr="00EF3B4C">
              <w:rPr>
                <w:i/>
                <w:iCs/>
                <w:sz w:val="22"/>
                <w:szCs w:val="22"/>
                <w:lang w:eastAsia="lv-LV"/>
              </w:rPr>
              <w:t>.</w:t>
            </w:r>
          </w:p>
        </w:tc>
        <w:tc>
          <w:tcPr>
            <w:tcW w:w="782" w:type="pct"/>
            <w:tcBorders>
              <w:top w:val="outset" w:sz="6" w:space="0" w:color="414142"/>
              <w:left w:val="outset" w:sz="6" w:space="0" w:color="414142"/>
              <w:bottom w:val="outset" w:sz="6" w:space="0" w:color="414142"/>
              <w:right w:val="outset" w:sz="6" w:space="0" w:color="414142"/>
            </w:tcBorders>
            <w:vAlign w:val="center"/>
          </w:tcPr>
          <w:p w14:paraId="2F70F602"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tcPr>
          <w:p w14:paraId="1B9A7FFF"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10,00</w:t>
            </w:r>
          </w:p>
        </w:tc>
      </w:tr>
      <w:tr w:rsidR="003E66FF" w:rsidRPr="00AE655D" w14:paraId="331D8E92"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0C6D7465"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5.2.</w:t>
            </w:r>
          </w:p>
        </w:tc>
        <w:tc>
          <w:tcPr>
            <w:tcW w:w="4650" w:type="pct"/>
            <w:gridSpan w:val="3"/>
            <w:tcBorders>
              <w:top w:val="outset" w:sz="6" w:space="0" w:color="414142"/>
              <w:left w:val="outset" w:sz="6" w:space="0" w:color="414142"/>
              <w:bottom w:val="outset" w:sz="6" w:space="0" w:color="414142"/>
              <w:right w:val="outset" w:sz="6" w:space="0" w:color="414142"/>
            </w:tcBorders>
            <w:vAlign w:val="center"/>
          </w:tcPr>
          <w:p w14:paraId="5E16FE10" w14:textId="2FC031AD" w:rsidR="003E66FF" w:rsidRPr="00EF3B4C" w:rsidRDefault="003E66FF" w:rsidP="00EF3B4C">
            <w:pPr>
              <w:spacing w:after="100" w:afterAutospacing="1"/>
              <w:jc w:val="both"/>
              <w:rPr>
                <w:sz w:val="22"/>
                <w:szCs w:val="22"/>
                <w:lang w:eastAsia="lv-LV"/>
              </w:rPr>
            </w:pPr>
            <w:r w:rsidRPr="00EF3B4C">
              <w:rPr>
                <w:sz w:val="22"/>
                <w:szCs w:val="22"/>
                <w:lang w:eastAsia="lv-LV"/>
              </w:rPr>
              <w:t xml:space="preserve">Būves (ar labiekārtojuma elementiem vai inženiertīkliem) kā arī ceļu un grāvju </w:t>
            </w:r>
            <w:proofErr w:type="spellStart"/>
            <w:r w:rsidRPr="00EF3B4C">
              <w:rPr>
                <w:sz w:val="22"/>
                <w:szCs w:val="22"/>
                <w:lang w:eastAsia="lv-LV"/>
              </w:rPr>
              <w:t>izpildmērījuma</w:t>
            </w:r>
            <w:proofErr w:type="spellEnd"/>
            <w:r w:rsidRPr="00EF3B4C">
              <w:rPr>
                <w:sz w:val="22"/>
                <w:szCs w:val="22"/>
                <w:lang w:eastAsia="lv-LV"/>
              </w:rPr>
              <w:t xml:space="preserve"> plāna pārbaude, reģistrēšana datubāzē un nosūtīšana </w:t>
            </w:r>
            <w:r w:rsidR="00647213">
              <w:rPr>
                <w:sz w:val="22"/>
                <w:szCs w:val="22"/>
                <w:lang w:eastAsia="lv-LV"/>
              </w:rPr>
              <w:t>P</w:t>
            </w:r>
            <w:r w:rsidRPr="00EF3B4C">
              <w:rPr>
                <w:sz w:val="22"/>
                <w:szCs w:val="22"/>
                <w:lang w:eastAsia="lv-LV"/>
              </w:rPr>
              <w:t>ašvaldībai</w:t>
            </w:r>
            <w:r w:rsidR="00647213">
              <w:rPr>
                <w:sz w:val="22"/>
                <w:szCs w:val="22"/>
                <w:lang w:eastAsia="lv-LV"/>
              </w:rPr>
              <w:t xml:space="preserve"> -</w:t>
            </w:r>
            <w:r w:rsidRPr="00EF3B4C">
              <w:rPr>
                <w:sz w:val="22"/>
                <w:szCs w:val="22"/>
                <w:lang w:eastAsia="lv-LV"/>
              </w:rPr>
              <w:t xml:space="preserve"> </w:t>
            </w:r>
            <w:r w:rsidRPr="00EF3B4C">
              <w:rPr>
                <w:i/>
                <w:iCs/>
                <w:sz w:val="22"/>
                <w:szCs w:val="22"/>
                <w:lang w:eastAsia="lv-LV"/>
              </w:rPr>
              <w:t>cenas noteikšanai piemēro cenrāža 1.</w:t>
            </w:r>
            <w:r w:rsidR="00647213" w:rsidRPr="00EF3B4C">
              <w:rPr>
                <w:i/>
                <w:iCs/>
                <w:sz w:val="22"/>
                <w:szCs w:val="22"/>
                <w:lang w:eastAsia="lv-LV"/>
              </w:rPr>
              <w:t xml:space="preserve"> </w:t>
            </w:r>
            <w:r w:rsidRPr="00EF3B4C">
              <w:rPr>
                <w:i/>
                <w:iCs/>
                <w:sz w:val="22"/>
                <w:szCs w:val="22"/>
                <w:lang w:eastAsia="lv-LV"/>
              </w:rPr>
              <w:t>punkta nosacījum</w:t>
            </w:r>
            <w:r w:rsidR="00647213" w:rsidRPr="00EF3B4C">
              <w:rPr>
                <w:i/>
                <w:iCs/>
                <w:sz w:val="22"/>
                <w:szCs w:val="22"/>
                <w:lang w:eastAsia="lv-LV"/>
              </w:rPr>
              <w:t>us</w:t>
            </w:r>
            <w:r w:rsidRPr="00EF3B4C">
              <w:rPr>
                <w:i/>
                <w:iCs/>
                <w:sz w:val="22"/>
                <w:szCs w:val="22"/>
                <w:lang w:eastAsia="lv-LV"/>
              </w:rPr>
              <w:t>.</w:t>
            </w:r>
            <w:r w:rsidRPr="00EF3B4C">
              <w:rPr>
                <w:sz w:val="22"/>
                <w:szCs w:val="22"/>
                <w:lang w:eastAsia="lv-LV"/>
              </w:rPr>
              <w:t xml:space="preserve"> </w:t>
            </w:r>
          </w:p>
        </w:tc>
      </w:tr>
      <w:tr w:rsidR="003C1FE3" w:rsidRPr="003C1FE3" w14:paraId="43E27A04"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0FF339F4"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lastRenderedPageBreak/>
              <w:t>6.</w:t>
            </w:r>
          </w:p>
        </w:tc>
        <w:tc>
          <w:tcPr>
            <w:tcW w:w="3089" w:type="pct"/>
            <w:tcBorders>
              <w:top w:val="outset" w:sz="6" w:space="0" w:color="414142"/>
              <w:left w:val="outset" w:sz="6" w:space="0" w:color="414142"/>
              <w:bottom w:val="outset" w:sz="6" w:space="0" w:color="414142"/>
              <w:right w:val="outset" w:sz="6" w:space="0" w:color="414142"/>
            </w:tcBorders>
            <w:vAlign w:val="center"/>
          </w:tcPr>
          <w:p w14:paraId="010300FD" w14:textId="291F4AD9" w:rsidR="003E66FF" w:rsidRPr="00EF3B4C" w:rsidRDefault="003E66FF" w:rsidP="00EF3B4C">
            <w:pPr>
              <w:jc w:val="both"/>
              <w:rPr>
                <w:sz w:val="22"/>
                <w:szCs w:val="22"/>
                <w:lang w:eastAsia="lv-LV"/>
              </w:rPr>
            </w:pPr>
            <w:r w:rsidRPr="00EF3B4C">
              <w:rPr>
                <w:sz w:val="22"/>
                <w:szCs w:val="22"/>
                <w:lang w:eastAsia="lv-LV"/>
              </w:rPr>
              <w:t xml:space="preserve">Viena zemes ierīcības projekta grafiskās daļas reģistrēšana, ievadīšana datubāzē (ielu sarkanās līnijas) un nosūtīšana </w:t>
            </w:r>
            <w:r w:rsidR="00647213">
              <w:rPr>
                <w:sz w:val="22"/>
                <w:szCs w:val="22"/>
                <w:lang w:eastAsia="lv-LV"/>
              </w:rPr>
              <w:t>P</w:t>
            </w:r>
            <w:r w:rsidRPr="00EF3B4C">
              <w:rPr>
                <w:sz w:val="22"/>
                <w:szCs w:val="22"/>
                <w:lang w:eastAsia="lv-LV"/>
              </w:rPr>
              <w:t>ašvaldībai (tikai pilsētu, ciemu teritorijām).</w:t>
            </w:r>
          </w:p>
        </w:tc>
        <w:tc>
          <w:tcPr>
            <w:tcW w:w="782" w:type="pct"/>
            <w:tcBorders>
              <w:top w:val="outset" w:sz="6" w:space="0" w:color="414142"/>
              <w:left w:val="outset" w:sz="6" w:space="0" w:color="414142"/>
              <w:bottom w:val="outset" w:sz="6" w:space="0" w:color="414142"/>
              <w:right w:val="outset" w:sz="6" w:space="0" w:color="414142"/>
            </w:tcBorders>
            <w:vAlign w:val="center"/>
          </w:tcPr>
          <w:p w14:paraId="6B4997FD"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tcPr>
          <w:p w14:paraId="0158B9F4"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10,00</w:t>
            </w:r>
          </w:p>
        </w:tc>
      </w:tr>
      <w:tr w:rsidR="003E66FF" w:rsidRPr="00AE655D" w14:paraId="54C60FA0"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tcPr>
          <w:p w14:paraId="626FC405"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7.</w:t>
            </w:r>
          </w:p>
        </w:tc>
        <w:tc>
          <w:tcPr>
            <w:tcW w:w="3089" w:type="pct"/>
            <w:tcBorders>
              <w:top w:val="outset" w:sz="6" w:space="0" w:color="414142"/>
              <w:left w:val="outset" w:sz="6" w:space="0" w:color="414142"/>
              <w:bottom w:val="outset" w:sz="6" w:space="0" w:color="414142"/>
              <w:right w:val="outset" w:sz="6" w:space="0" w:color="414142"/>
            </w:tcBorders>
            <w:vAlign w:val="center"/>
          </w:tcPr>
          <w:p w14:paraId="74BFCD94" w14:textId="77777777" w:rsidR="003E66FF" w:rsidRPr="00EF3B4C" w:rsidRDefault="003E66FF" w:rsidP="00EF3B4C">
            <w:pPr>
              <w:jc w:val="both"/>
              <w:rPr>
                <w:sz w:val="22"/>
                <w:szCs w:val="22"/>
                <w:lang w:eastAsia="lv-LV"/>
              </w:rPr>
            </w:pPr>
            <w:r w:rsidRPr="00EF3B4C">
              <w:rPr>
                <w:sz w:val="22"/>
                <w:szCs w:val="22"/>
                <w:lang w:eastAsia="lv-LV"/>
              </w:rPr>
              <w:t>Sertificētas personas sagatavota Būvju situācijas plāna pārbaude un reģistrēšana datubāzē.</w:t>
            </w:r>
          </w:p>
        </w:tc>
        <w:tc>
          <w:tcPr>
            <w:tcW w:w="782" w:type="pct"/>
            <w:tcBorders>
              <w:top w:val="outset" w:sz="6" w:space="0" w:color="414142"/>
              <w:left w:val="outset" w:sz="6" w:space="0" w:color="414142"/>
              <w:bottom w:val="outset" w:sz="6" w:space="0" w:color="414142"/>
              <w:right w:val="outset" w:sz="6" w:space="0" w:color="414142"/>
            </w:tcBorders>
            <w:vAlign w:val="center"/>
          </w:tcPr>
          <w:p w14:paraId="7D3E97D4"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objekts</w:t>
            </w:r>
          </w:p>
        </w:tc>
        <w:tc>
          <w:tcPr>
            <w:tcW w:w="778" w:type="pct"/>
            <w:tcBorders>
              <w:top w:val="outset" w:sz="6" w:space="0" w:color="414142"/>
              <w:left w:val="outset" w:sz="6" w:space="0" w:color="414142"/>
              <w:bottom w:val="outset" w:sz="6" w:space="0" w:color="414142"/>
              <w:right w:val="outset" w:sz="6" w:space="0" w:color="414142"/>
            </w:tcBorders>
            <w:vAlign w:val="center"/>
          </w:tcPr>
          <w:p w14:paraId="6553A3F6"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10,00</w:t>
            </w:r>
          </w:p>
        </w:tc>
      </w:tr>
      <w:tr w:rsidR="003E66FF" w:rsidRPr="00AE655D" w14:paraId="30C70512"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hideMark/>
          </w:tcPr>
          <w:p w14:paraId="4D523F3F"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8.</w:t>
            </w:r>
          </w:p>
        </w:tc>
        <w:tc>
          <w:tcPr>
            <w:tcW w:w="4650" w:type="pct"/>
            <w:gridSpan w:val="3"/>
            <w:tcBorders>
              <w:top w:val="outset" w:sz="6" w:space="0" w:color="414142"/>
              <w:left w:val="outset" w:sz="6" w:space="0" w:color="414142"/>
              <w:bottom w:val="outset" w:sz="6" w:space="0" w:color="414142"/>
              <w:right w:val="outset" w:sz="6" w:space="0" w:color="414142"/>
            </w:tcBorders>
            <w:vAlign w:val="center"/>
            <w:hideMark/>
          </w:tcPr>
          <w:p w14:paraId="675130B9" w14:textId="77777777" w:rsidR="003E66FF" w:rsidRPr="00EF3B4C" w:rsidRDefault="003E66FF" w:rsidP="0079609F">
            <w:pPr>
              <w:rPr>
                <w:sz w:val="22"/>
                <w:szCs w:val="22"/>
                <w:lang w:eastAsia="lv-LV"/>
              </w:rPr>
            </w:pPr>
            <w:r w:rsidRPr="00EF3B4C">
              <w:rPr>
                <w:sz w:val="22"/>
                <w:szCs w:val="22"/>
                <w:lang w:eastAsia="lv-LV"/>
              </w:rPr>
              <w:t>Būvju situācijas plāna izsniegšana</w:t>
            </w:r>
            <w:r w:rsidRPr="00EF3B4C">
              <w:rPr>
                <w:sz w:val="22"/>
                <w:szCs w:val="22"/>
              </w:rPr>
              <w:t>**</w:t>
            </w:r>
            <w:r w:rsidRPr="00EF3B4C">
              <w:rPr>
                <w:sz w:val="22"/>
                <w:szCs w:val="22"/>
                <w:lang w:eastAsia="lv-LV"/>
              </w:rPr>
              <w:t>:</w:t>
            </w:r>
          </w:p>
        </w:tc>
      </w:tr>
      <w:tr w:rsidR="003E66FF" w:rsidRPr="00AE655D" w14:paraId="6CC7A596"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hideMark/>
          </w:tcPr>
          <w:p w14:paraId="5E1A518A"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8.1.</w:t>
            </w:r>
          </w:p>
        </w:tc>
        <w:tc>
          <w:tcPr>
            <w:tcW w:w="3089" w:type="pct"/>
            <w:tcBorders>
              <w:top w:val="outset" w:sz="6" w:space="0" w:color="414142"/>
              <w:left w:val="outset" w:sz="6" w:space="0" w:color="414142"/>
              <w:bottom w:val="outset" w:sz="6" w:space="0" w:color="414142"/>
              <w:right w:val="outset" w:sz="6" w:space="0" w:color="414142"/>
            </w:tcBorders>
            <w:vAlign w:val="center"/>
            <w:hideMark/>
          </w:tcPr>
          <w:p w14:paraId="32B6F858" w14:textId="30871F8E" w:rsidR="003E66FF" w:rsidRPr="00EF3B4C" w:rsidRDefault="003E66FF" w:rsidP="0079609F">
            <w:pPr>
              <w:rPr>
                <w:sz w:val="22"/>
                <w:szCs w:val="22"/>
                <w:lang w:eastAsia="lv-LV"/>
              </w:rPr>
            </w:pPr>
            <w:r w:rsidRPr="00EF3B4C">
              <w:rPr>
                <w:sz w:val="22"/>
                <w:szCs w:val="22"/>
                <w:lang w:eastAsia="lv-LV"/>
              </w:rPr>
              <w:t>platībā līdz 1 hektāram (ieskaitot)</w:t>
            </w:r>
          </w:p>
        </w:tc>
        <w:tc>
          <w:tcPr>
            <w:tcW w:w="782" w:type="pct"/>
            <w:tcBorders>
              <w:top w:val="outset" w:sz="6" w:space="0" w:color="414142"/>
              <w:left w:val="outset" w:sz="6" w:space="0" w:color="414142"/>
              <w:bottom w:val="outset" w:sz="6" w:space="0" w:color="414142"/>
              <w:right w:val="outset" w:sz="6" w:space="0" w:color="414142"/>
            </w:tcBorders>
            <w:vAlign w:val="center"/>
            <w:hideMark/>
          </w:tcPr>
          <w:p w14:paraId="3062204F"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zemes vienība</w:t>
            </w:r>
          </w:p>
        </w:tc>
        <w:tc>
          <w:tcPr>
            <w:tcW w:w="778" w:type="pct"/>
            <w:tcBorders>
              <w:top w:val="outset" w:sz="6" w:space="0" w:color="414142"/>
              <w:left w:val="outset" w:sz="6" w:space="0" w:color="414142"/>
              <w:bottom w:val="outset" w:sz="6" w:space="0" w:color="414142"/>
              <w:right w:val="outset" w:sz="6" w:space="0" w:color="414142"/>
            </w:tcBorders>
            <w:vAlign w:val="center"/>
            <w:hideMark/>
          </w:tcPr>
          <w:p w14:paraId="3F7E5675"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22,00</w:t>
            </w:r>
          </w:p>
        </w:tc>
      </w:tr>
      <w:tr w:rsidR="003E66FF" w:rsidRPr="00AE655D" w14:paraId="4BB251ED"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hideMark/>
          </w:tcPr>
          <w:p w14:paraId="42285897"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8.2.</w:t>
            </w:r>
          </w:p>
        </w:tc>
        <w:tc>
          <w:tcPr>
            <w:tcW w:w="3089" w:type="pct"/>
            <w:tcBorders>
              <w:top w:val="outset" w:sz="6" w:space="0" w:color="414142"/>
              <w:left w:val="outset" w:sz="6" w:space="0" w:color="414142"/>
              <w:bottom w:val="outset" w:sz="6" w:space="0" w:color="414142"/>
              <w:right w:val="outset" w:sz="6" w:space="0" w:color="414142"/>
            </w:tcBorders>
            <w:vAlign w:val="center"/>
            <w:hideMark/>
          </w:tcPr>
          <w:p w14:paraId="20DB5E51" w14:textId="4AD25151" w:rsidR="003E66FF" w:rsidRPr="00EF3B4C" w:rsidRDefault="003E66FF" w:rsidP="0079609F">
            <w:pPr>
              <w:rPr>
                <w:sz w:val="22"/>
                <w:szCs w:val="22"/>
                <w:lang w:eastAsia="lv-LV"/>
              </w:rPr>
            </w:pPr>
            <w:r w:rsidRPr="00EF3B4C">
              <w:rPr>
                <w:sz w:val="22"/>
                <w:szCs w:val="22"/>
                <w:lang w:eastAsia="lv-LV"/>
              </w:rPr>
              <w:t>par katru hektāru virs 1 hektāra</w:t>
            </w:r>
          </w:p>
        </w:tc>
        <w:tc>
          <w:tcPr>
            <w:tcW w:w="782" w:type="pct"/>
            <w:tcBorders>
              <w:top w:val="outset" w:sz="6" w:space="0" w:color="414142"/>
              <w:left w:val="outset" w:sz="6" w:space="0" w:color="414142"/>
              <w:bottom w:val="outset" w:sz="6" w:space="0" w:color="414142"/>
              <w:right w:val="outset" w:sz="6" w:space="0" w:color="414142"/>
            </w:tcBorders>
            <w:vAlign w:val="center"/>
            <w:hideMark/>
          </w:tcPr>
          <w:p w14:paraId="1ABE0B84"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zemes vienība</w:t>
            </w:r>
          </w:p>
        </w:tc>
        <w:tc>
          <w:tcPr>
            <w:tcW w:w="778" w:type="pct"/>
            <w:tcBorders>
              <w:top w:val="outset" w:sz="6" w:space="0" w:color="414142"/>
              <w:left w:val="outset" w:sz="6" w:space="0" w:color="414142"/>
              <w:bottom w:val="outset" w:sz="6" w:space="0" w:color="414142"/>
              <w:right w:val="outset" w:sz="6" w:space="0" w:color="414142"/>
            </w:tcBorders>
            <w:vAlign w:val="center"/>
            <w:hideMark/>
          </w:tcPr>
          <w:p w14:paraId="07CC8260"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6,00</w:t>
            </w:r>
          </w:p>
        </w:tc>
      </w:tr>
      <w:tr w:rsidR="003E66FF" w:rsidRPr="00AE655D" w14:paraId="00FBC448" w14:textId="77777777" w:rsidTr="00EF3B4C">
        <w:tc>
          <w:tcPr>
            <w:tcW w:w="350" w:type="pct"/>
            <w:tcBorders>
              <w:top w:val="outset" w:sz="6" w:space="0" w:color="414142"/>
              <w:left w:val="outset" w:sz="6" w:space="0" w:color="414142"/>
              <w:bottom w:val="outset" w:sz="6" w:space="0" w:color="414142"/>
              <w:right w:val="outset" w:sz="6" w:space="0" w:color="414142"/>
            </w:tcBorders>
            <w:vAlign w:val="center"/>
            <w:hideMark/>
          </w:tcPr>
          <w:p w14:paraId="12FDBBA8"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9.</w:t>
            </w:r>
          </w:p>
        </w:tc>
        <w:tc>
          <w:tcPr>
            <w:tcW w:w="3089" w:type="pct"/>
            <w:tcBorders>
              <w:top w:val="outset" w:sz="6" w:space="0" w:color="414142"/>
              <w:left w:val="outset" w:sz="6" w:space="0" w:color="414142"/>
              <w:bottom w:val="outset" w:sz="6" w:space="0" w:color="414142"/>
              <w:right w:val="outset" w:sz="6" w:space="0" w:color="414142"/>
            </w:tcBorders>
            <w:vAlign w:val="center"/>
            <w:hideMark/>
          </w:tcPr>
          <w:p w14:paraId="56DFB19D" w14:textId="1F596557" w:rsidR="003E66FF" w:rsidRPr="00EF3B4C" w:rsidRDefault="003E66FF" w:rsidP="00EF3B4C">
            <w:pPr>
              <w:jc w:val="both"/>
              <w:rPr>
                <w:sz w:val="22"/>
                <w:szCs w:val="22"/>
                <w:lang w:eastAsia="lv-LV"/>
              </w:rPr>
            </w:pPr>
            <w:r w:rsidRPr="00EF3B4C">
              <w:rPr>
                <w:sz w:val="22"/>
                <w:szCs w:val="22"/>
                <w:lang w:eastAsia="lv-LV"/>
              </w:rPr>
              <w:t xml:space="preserve">Datubāzes informācijas izsniegšana (karšu lapas, ielu sarkanās līnijas) zemes vienības </w:t>
            </w:r>
            <w:proofErr w:type="spellStart"/>
            <w:r w:rsidRPr="00EF3B4C">
              <w:rPr>
                <w:sz w:val="22"/>
                <w:szCs w:val="22"/>
                <w:lang w:eastAsia="lv-LV"/>
              </w:rPr>
              <w:t>robežplānu</w:t>
            </w:r>
            <w:proofErr w:type="spellEnd"/>
            <w:r w:rsidRPr="00EF3B4C">
              <w:rPr>
                <w:sz w:val="22"/>
                <w:szCs w:val="22"/>
                <w:lang w:eastAsia="lv-LV"/>
              </w:rPr>
              <w:t xml:space="preserve"> izgatavošanai vai citu būvniecības darbu vajadzībām, kas nav minēti iepriekš</w:t>
            </w:r>
            <w:r w:rsidR="00BC4C86">
              <w:rPr>
                <w:sz w:val="22"/>
                <w:szCs w:val="22"/>
                <w:lang w:eastAsia="lv-LV"/>
              </w:rPr>
              <w:t>ēj</w:t>
            </w:r>
            <w:r w:rsidRPr="00EF3B4C">
              <w:rPr>
                <w:sz w:val="22"/>
                <w:szCs w:val="22"/>
                <w:lang w:eastAsia="lv-LV"/>
              </w:rPr>
              <w:t xml:space="preserve">os punktos. </w:t>
            </w:r>
          </w:p>
        </w:tc>
        <w:tc>
          <w:tcPr>
            <w:tcW w:w="782" w:type="pct"/>
            <w:tcBorders>
              <w:top w:val="outset" w:sz="6" w:space="0" w:color="414142"/>
              <w:left w:val="outset" w:sz="6" w:space="0" w:color="414142"/>
              <w:bottom w:val="outset" w:sz="6" w:space="0" w:color="414142"/>
              <w:right w:val="outset" w:sz="6" w:space="0" w:color="414142"/>
            </w:tcBorders>
            <w:vAlign w:val="center"/>
            <w:hideMark/>
          </w:tcPr>
          <w:p w14:paraId="5EADC8EC"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1 karšu lapa***</w:t>
            </w:r>
          </w:p>
        </w:tc>
        <w:tc>
          <w:tcPr>
            <w:tcW w:w="778" w:type="pct"/>
            <w:tcBorders>
              <w:top w:val="outset" w:sz="6" w:space="0" w:color="414142"/>
              <w:left w:val="outset" w:sz="6" w:space="0" w:color="414142"/>
              <w:bottom w:val="outset" w:sz="6" w:space="0" w:color="414142"/>
              <w:right w:val="outset" w:sz="6" w:space="0" w:color="414142"/>
            </w:tcBorders>
            <w:vAlign w:val="center"/>
            <w:hideMark/>
          </w:tcPr>
          <w:p w14:paraId="4C01ED5C" w14:textId="77777777" w:rsidR="003E66FF" w:rsidRPr="00EF3B4C" w:rsidRDefault="003E66FF" w:rsidP="0079609F">
            <w:pPr>
              <w:spacing w:before="100" w:beforeAutospacing="1" w:after="100" w:afterAutospacing="1" w:line="315" w:lineRule="atLeast"/>
              <w:jc w:val="center"/>
              <w:rPr>
                <w:sz w:val="22"/>
                <w:szCs w:val="22"/>
                <w:lang w:eastAsia="lv-LV"/>
              </w:rPr>
            </w:pPr>
            <w:r w:rsidRPr="00EF3B4C">
              <w:rPr>
                <w:sz w:val="22"/>
                <w:szCs w:val="22"/>
                <w:lang w:eastAsia="lv-LV"/>
              </w:rPr>
              <w:t>3,00</w:t>
            </w:r>
          </w:p>
        </w:tc>
      </w:tr>
      <w:tr w:rsidR="003E66FF" w:rsidRPr="00AE655D" w14:paraId="51E416C8" w14:textId="77777777" w:rsidTr="0079609F">
        <w:tc>
          <w:tcPr>
            <w:tcW w:w="5000" w:type="pct"/>
            <w:gridSpan w:val="4"/>
            <w:tcBorders>
              <w:top w:val="nil"/>
              <w:left w:val="nil"/>
              <w:bottom w:val="nil"/>
              <w:right w:val="nil"/>
            </w:tcBorders>
            <w:vAlign w:val="center"/>
            <w:hideMark/>
          </w:tcPr>
          <w:p w14:paraId="55A5BA2C" w14:textId="77777777" w:rsidR="003E66FF" w:rsidRPr="00EF3B4C" w:rsidRDefault="003E66FF" w:rsidP="0079609F">
            <w:pPr>
              <w:spacing w:before="100" w:beforeAutospacing="1" w:after="100" w:afterAutospacing="1" w:line="315" w:lineRule="atLeast"/>
              <w:rPr>
                <w:sz w:val="22"/>
                <w:szCs w:val="22"/>
                <w:lang w:eastAsia="lv-LV"/>
              </w:rPr>
            </w:pPr>
          </w:p>
        </w:tc>
      </w:tr>
    </w:tbl>
    <w:p w14:paraId="364AD212" w14:textId="43917606" w:rsidR="003E66FF" w:rsidRPr="00AE655D" w:rsidRDefault="003E66FF" w:rsidP="003E66FF">
      <w:r w:rsidRPr="00AE655D">
        <w:t>* Pakalpojumu izmaksās iekļauta samaksa par informācijas izsniegšanu.</w:t>
      </w:r>
    </w:p>
    <w:p w14:paraId="6F69C717" w14:textId="3E69AB18" w:rsidR="003E66FF" w:rsidRPr="00AE655D" w:rsidRDefault="003E66FF" w:rsidP="003E66FF">
      <w:pPr>
        <w:jc w:val="both"/>
      </w:pPr>
      <w:r w:rsidRPr="00AE655D">
        <w:t>** Pakalpojumā nav iekļautas izmaksas par kadastra informāciju.</w:t>
      </w:r>
    </w:p>
    <w:p w14:paraId="4807B34B" w14:textId="77777777" w:rsidR="003E66FF" w:rsidRPr="00AE655D" w:rsidRDefault="003E66FF" w:rsidP="00EF3B4C">
      <w:pPr>
        <w:jc w:val="both"/>
      </w:pPr>
      <w:r w:rsidRPr="00AE655D">
        <w:t>*** 1993. gada topogrāfisko karšu sistēmas (TKS-93) mēroga 1:1000 karšu lapa, 25 ha.</w:t>
      </w:r>
    </w:p>
    <w:p w14:paraId="7F6E19DA" w14:textId="77777777" w:rsidR="00BC4C86" w:rsidRDefault="00BC4C86" w:rsidP="003E66FF"/>
    <w:p w14:paraId="6A761A7C" w14:textId="5431B036" w:rsidR="003E66FF" w:rsidRPr="00AE655D" w:rsidRDefault="003E66FF" w:rsidP="00EF3B4C">
      <w:pPr>
        <w:jc w:val="both"/>
      </w:pPr>
      <w:r w:rsidRPr="00AE655D">
        <w:t xml:space="preserve">Objekts – topogrāfiskais vai </w:t>
      </w:r>
      <w:proofErr w:type="spellStart"/>
      <w:r w:rsidRPr="00AE655D">
        <w:t>izpildmērījuma</w:t>
      </w:r>
      <w:proofErr w:type="spellEnd"/>
      <w:r w:rsidRPr="00AE655D">
        <w:t xml:space="preserve"> plāns, kas noformēts vienā datnē, ar vienotu lappušu numerāciju un attālums starp uzmērītajām teritorijām nav lielāks par 100 m (grafiskās informācijas pārrāvums). Ja attālums ir lielāks par 100 m, to klasificē kā jaunu/atsevišķu objektu.</w:t>
      </w:r>
    </w:p>
    <w:p w14:paraId="454250B4" w14:textId="64A3A836" w:rsidR="00A65292" w:rsidRDefault="00A65292">
      <w:pPr>
        <w:spacing w:after="160" w:line="259" w:lineRule="auto"/>
        <w:rPr>
          <w:rFonts w:eastAsiaTheme="minorHAnsi"/>
          <w:color w:val="000000"/>
          <w:sz w:val="28"/>
          <w:szCs w:val="28"/>
        </w:rPr>
      </w:pPr>
      <w:r>
        <w:rPr>
          <w:rFonts w:eastAsiaTheme="minorHAnsi"/>
          <w:color w:val="000000"/>
          <w:sz w:val="28"/>
          <w:szCs w:val="28"/>
        </w:rPr>
        <w:br w:type="page"/>
      </w:r>
    </w:p>
    <w:p w14:paraId="7DA0DB42" w14:textId="77777777" w:rsidR="000D2446" w:rsidRPr="00BA5F0F" w:rsidRDefault="00BA5F0F" w:rsidP="00D35A90">
      <w:pPr>
        <w:autoSpaceDE w:val="0"/>
        <w:autoSpaceDN w:val="0"/>
        <w:adjustRightInd w:val="0"/>
        <w:jc w:val="center"/>
        <w:rPr>
          <w:rFonts w:eastAsiaTheme="minorHAnsi"/>
          <w:color w:val="000000"/>
        </w:rPr>
      </w:pPr>
      <w:r w:rsidRPr="00BA5F0F">
        <w:rPr>
          <w:rFonts w:eastAsiaTheme="minorHAnsi"/>
          <w:color w:val="000000"/>
        </w:rPr>
        <w:lastRenderedPageBreak/>
        <w:t>PASKAIDROJUMA RAKSTS</w:t>
      </w:r>
    </w:p>
    <w:p w14:paraId="1F0866E5" w14:textId="1141D984" w:rsidR="000D2446" w:rsidRDefault="00BA5F0F" w:rsidP="00BA5F0F">
      <w:pPr>
        <w:spacing w:after="240"/>
        <w:jc w:val="center"/>
        <w:rPr>
          <w:rFonts w:eastAsiaTheme="minorHAnsi"/>
          <w:color w:val="000000"/>
        </w:rPr>
      </w:pPr>
      <w:r w:rsidRPr="00BA5F0F">
        <w:rPr>
          <w:rFonts w:eastAsiaTheme="minorHAnsi"/>
          <w:color w:val="000000"/>
        </w:rPr>
        <w:t xml:space="preserve">Ādažu novada </w:t>
      </w:r>
      <w:r w:rsidR="00BA002A" w:rsidRPr="00BA5F0F">
        <w:rPr>
          <w:rFonts w:eastAsiaTheme="minorHAnsi"/>
          <w:color w:val="000000"/>
        </w:rPr>
        <w:t>pašvaldības</w:t>
      </w:r>
      <w:r>
        <w:rPr>
          <w:rFonts w:eastAsiaTheme="minorHAnsi"/>
          <w:color w:val="000000"/>
        </w:rPr>
        <w:t xml:space="preserve"> </w:t>
      </w:r>
      <w:r w:rsidR="008847FD">
        <w:rPr>
          <w:rFonts w:eastAsiaTheme="minorHAnsi"/>
          <w:color w:val="000000"/>
        </w:rPr>
        <w:t>22</w:t>
      </w:r>
      <w:r>
        <w:rPr>
          <w:rFonts w:eastAsiaTheme="minorHAnsi"/>
          <w:color w:val="000000"/>
        </w:rPr>
        <w:t>.1</w:t>
      </w:r>
      <w:r w:rsidR="008847FD">
        <w:rPr>
          <w:rFonts w:eastAsiaTheme="minorHAnsi"/>
          <w:color w:val="000000"/>
        </w:rPr>
        <w:t>2</w:t>
      </w:r>
      <w:r>
        <w:rPr>
          <w:rFonts w:eastAsiaTheme="minorHAnsi"/>
          <w:color w:val="000000"/>
        </w:rPr>
        <w:t>.2021.</w:t>
      </w:r>
      <w:r w:rsidRPr="00BA5F0F">
        <w:rPr>
          <w:rFonts w:eastAsiaTheme="minorHAnsi"/>
          <w:color w:val="000000"/>
        </w:rPr>
        <w:t xml:space="preserve"> saistošajiem noteikumiem</w:t>
      </w:r>
      <w:r>
        <w:rPr>
          <w:rFonts w:eastAsiaTheme="minorHAnsi"/>
          <w:color w:val="000000"/>
        </w:rPr>
        <w:t xml:space="preserve"> Nr.</w:t>
      </w:r>
      <w:r w:rsidR="00403663">
        <w:rPr>
          <w:rFonts w:eastAsiaTheme="minorHAnsi"/>
          <w:color w:val="000000"/>
        </w:rPr>
        <w:t xml:space="preserve"> </w:t>
      </w:r>
      <w:r w:rsidR="008847FD" w:rsidRPr="00EF3B4C">
        <w:rPr>
          <w:rFonts w:eastAsiaTheme="minorHAnsi"/>
          <w:color w:val="000000"/>
          <w:highlight w:val="yellow"/>
        </w:rPr>
        <w:t>XX</w:t>
      </w:r>
      <w:r w:rsidR="00403663">
        <w:rPr>
          <w:rFonts w:eastAsiaTheme="minorHAnsi"/>
          <w:color w:val="000000"/>
        </w:rPr>
        <w:t>/</w:t>
      </w:r>
      <w:r>
        <w:rPr>
          <w:rFonts w:eastAsiaTheme="minorHAnsi"/>
          <w:color w:val="000000"/>
        </w:rPr>
        <w:t>2021</w:t>
      </w:r>
      <w:r w:rsidRPr="00BA5F0F">
        <w:rPr>
          <w:rFonts w:eastAsiaTheme="minorHAnsi"/>
          <w:color w:val="000000"/>
        </w:rPr>
        <w:t xml:space="preserve"> “</w:t>
      </w:r>
      <w:r w:rsidR="008847FD" w:rsidRPr="008847FD">
        <w:t xml:space="preserve">Par </w:t>
      </w:r>
      <w:r w:rsidR="008847FD">
        <w:t xml:space="preserve">augstas detalizācijas topogrāfiskās </w:t>
      </w:r>
      <w:r w:rsidR="008847FD" w:rsidRPr="008847FD">
        <w:t xml:space="preserve"> </w:t>
      </w:r>
      <w:r w:rsidR="008847FD">
        <w:t>informācijas un citas ģeotelpiskās informācijas aprites kārtību</w:t>
      </w:r>
      <w:r w:rsidRPr="00BA5F0F">
        <w:rPr>
          <w:rFonts w:eastAsiaTheme="minorHAnsi"/>
          <w:color w:val="000000"/>
        </w:rPr>
        <w:t>”</w:t>
      </w:r>
    </w:p>
    <w:tbl>
      <w:tblPr>
        <w:tblStyle w:val="Reatabula"/>
        <w:tblW w:w="0" w:type="auto"/>
        <w:tblLook w:val="04A0" w:firstRow="1" w:lastRow="0" w:firstColumn="1" w:lastColumn="0" w:noHBand="0" w:noVBand="1"/>
      </w:tblPr>
      <w:tblGrid>
        <w:gridCol w:w="9061"/>
      </w:tblGrid>
      <w:tr w:rsidR="007C015C" w14:paraId="20B8FBCC" w14:textId="77777777" w:rsidTr="00805C17">
        <w:tc>
          <w:tcPr>
            <w:tcW w:w="9061" w:type="dxa"/>
          </w:tcPr>
          <w:p w14:paraId="206012AB" w14:textId="77777777" w:rsidR="00BA002A" w:rsidRPr="00D35A90" w:rsidRDefault="00BA5F0F">
            <w:pPr>
              <w:spacing w:after="120"/>
              <w:jc w:val="center"/>
              <w:rPr>
                <w:rFonts w:eastAsia="Calibri"/>
                <w:b/>
                <w:bCs/>
              </w:rPr>
            </w:pPr>
            <w:r w:rsidRPr="00F50B8B">
              <w:rPr>
                <w:rFonts w:eastAsiaTheme="minorHAnsi"/>
                <w:b/>
                <w:bCs/>
                <w:color w:val="000000"/>
              </w:rPr>
              <w:t xml:space="preserve">Paskaidrojuma raksta sadaļas un norādāmā informācija </w:t>
            </w:r>
          </w:p>
        </w:tc>
      </w:tr>
      <w:tr w:rsidR="007C015C" w14:paraId="4BE3A552" w14:textId="77777777" w:rsidTr="00545B3D">
        <w:tc>
          <w:tcPr>
            <w:tcW w:w="9061" w:type="dxa"/>
          </w:tcPr>
          <w:p w14:paraId="73A07422" w14:textId="19E0B3C5" w:rsidR="00BA002A" w:rsidRPr="00F50B8B" w:rsidRDefault="00BA5F0F" w:rsidP="00EF3B4C">
            <w:pPr>
              <w:autoSpaceDE w:val="0"/>
              <w:autoSpaceDN w:val="0"/>
              <w:adjustRightInd w:val="0"/>
              <w:ind w:left="451" w:hanging="451"/>
              <w:rPr>
                <w:rFonts w:eastAsiaTheme="minorHAnsi"/>
                <w:b/>
                <w:bCs/>
                <w:color w:val="000000"/>
              </w:rPr>
            </w:pPr>
            <w:r w:rsidRPr="00F50B8B">
              <w:rPr>
                <w:rFonts w:eastAsiaTheme="minorHAnsi"/>
                <w:b/>
                <w:bCs/>
                <w:color w:val="000000"/>
              </w:rPr>
              <w:t xml:space="preserve">1.   </w:t>
            </w:r>
            <w:r w:rsidR="00BC4C86">
              <w:rPr>
                <w:rFonts w:eastAsiaTheme="minorHAnsi"/>
                <w:b/>
                <w:bCs/>
                <w:color w:val="000000"/>
              </w:rPr>
              <w:t xml:space="preserve"> </w:t>
            </w:r>
            <w:r w:rsidRPr="00F50B8B">
              <w:rPr>
                <w:rFonts w:eastAsiaTheme="minorHAnsi"/>
                <w:b/>
                <w:bCs/>
                <w:color w:val="000000"/>
              </w:rPr>
              <w:t xml:space="preserve">Projekta nepieciešamības </w:t>
            </w:r>
            <w:r w:rsidRPr="00D35A90">
              <w:rPr>
                <w:rFonts w:eastAsiaTheme="minorHAnsi"/>
                <w:b/>
                <w:bCs/>
                <w:color w:val="000000"/>
              </w:rPr>
              <w:t>pamatojums</w:t>
            </w:r>
            <w:r w:rsidRPr="00F50B8B">
              <w:rPr>
                <w:rFonts w:eastAsiaTheme="minorHAnsi"/>
                <w:b/>
                <w:bCs/>
                <w:color w:val="000000"/>
              </w:rPr>
              <w:t>.</w:t>
            </w:r>
          </w:p>
          <w:p w14:paraId="2910B1A3" w14:textId="3119E63D" w:rsidR="00BC4C86" w:rsidRPr="008847FD" w:rsidRDefault="00EF3B4C" w:rsidP="00EF3B4C">
            <w:pPr>
              <w:pStyle w:val="Sarakstarindkopa"/>
              <w:autoSpaceDE w:val="0"/>
              <w:autoSpaceDN w:val="0"/>
              <w:adjustRightInd w:val="0"/>
              <w:ind w:left="0" w:firstLine="451"/>
              <w:jc w:val="both"/>
              <w:rPr>
                <w:iCs/>
                <w:shd w:val="clear" w:color="auto" w:fill="FFFFFF"/>
              </w:rPr>
            </w:pPr>
            <w:hyperlink r:id="rId12" w:tgtFrame="_blank" w:history="1">
              <w:r w:rsidR="008847FD" w:rsidRPr="008847FD">
                <w:rPr>
                  <w:iCs/>
                </w:rPr>
                <w:t>Ģeotelpiskās informācijas likuma</w:t>
              </w:r>
            </w:hyperlink>
            <w:r w:rsidR="008847FD" w:rsidRPr="008847FD">
              <w:rPr>
                <w:iCs/>
                <w:shd w:val="clear" w:color="auto" w:fill="FFFFFF"/>
              </w:rPr>
              <w:t> (turpmāk – Likums) </w:t>
            </w:r>
            <w:hyperlink r:id="rId13" w:anchor="p6" w:tgtFrame="_blank" w:history="1">
              <w:r w:rsidR="008847FD" w:rsidRPr="008847FD">
                <w:rPr>
                  <w:iCs/>
                </w:rPr>
                <w:t>6. panta</w:t>
              </w:r>
            </w:hyperlink>
            <w:r w:rsidR="008847FD" w:rsidRPr="008847FD">
              <w:rPr>
                <w:iCs/>
                <w:shd w:val="clear" w:color="auto" w:fill="FFFFFF"/>
              </w:rPr>
              <w:t xml:space="preserve"> pirmā daļa nosaka, ka pašvaldība savu funkciju izpildei organizē nepieciešamās ģeotelpiskās informācijas iegūšanu un uzturēšanu, kā arī </w:t>
            </w:r>
            <w:r w:rsidR="00BC4C86">
              <w:rPr>
                <w:iCs/>
                <w:shd w:val="clear" w:color="auto" w:fill="FFFFFF"/>
              </w:rPr>
              <w:t xml:space="preserve">tās </w:t>
            </w:r>
            <w:r w:rsidR="008847FD" w:rsidRPr="008847FD">
              <w:rPr>
                <w:iCs/>
                <w:shd w:val="clear" w:color="auto" w:fill="FFFFFF"/>
              </w:rPr>
              <w:t>izmantošanas kārtību. Likuma </w:t>
            </w:r>
            <w:hyperlink r:id="rId14" w:anchor="p13" w:tgtFrame="_blank" w:history="1">
              <w:r w:rsidR="008847FD" w:rsidRPr="008847FD">
                <w:rPr>
                  <w:iCs/>
                </w:rPr>
                <w:t>13.</w:t>
              </w:r>
            </w:hyperlink>
            <w:r w:rsidR="008847FD" w:rsidRPr="008847FD">
              <w:rPr>
                <w:iCs/>
                <w:shd w:val="clear" w:color="auto" w:fill="FFFFFF"/>
              </w:rPr>
              <w:t> panta sestā daļa nosaka, ka pašvaldība, lai nodrošinātu savu funkciju un uzdevumu izpildi par savu administratīvo teritoriju izveido un uztur augstas detalizācijas topogrāfiskās informācijas datubāzi, veic iesniegtās informācijas pārbaudi, kā arī nosaka augstas detalizācijas topogrāfiskās informācijas iesniegšanas un pieņemšanas kārtību. Likuma </w:t>
            </w:r>
            <w:hyperlink r:id="rId15" w:anchor="p26" w:tgtFrame="_blank" w:history="1">
              <w:r w:rsidR="008847FD" w:rsidRPr="008847FD">
                <w:rPr>
                  <w:iCs/>
                </w:rPr>
                <w:t>26. panta</w:t>
              </w:r>
            </w:hyperlink>
            <w:r w:rsidR="008847FD" w:rsidRPr="008847FD">
              <w:rPr>
                <w:iCs/>
                <w:shd w:val="clear" w:color="auto" w:fill="FFFFFF"/>
              </w:rPr>
              <w:t xml:space="preserve"> trešā daļa un </w:t>
            </w:r>
            <w:r w:rsidR="008847FD" w:rsidRPr="00EF3B4C">
              <w:rPr>
                <w:iCs/>
                <w:highlight w:val="yellow"/>
                <w:shd w:val="clear" w:color="auto" w:fill="FFFFFF"/>
              </w:rPr>
              <w:t>7.1</w:t>
            </w:r>
            <w:r w:rsidR="008847FD" w:rsidRPr="008847FD">
              <w:rPr>
                <w:iCs/>
                <w:shd w:val="clear" w:color="auto" w:fill="FFFFFF"/>
              </w:rPr>
              <w:t xml:space="preserve"> daļa nosaka, ka pašvaldības saistošajos noteikumos nosaka maksu par augstas detalizācijas topogrāfiskās informācijas pārbaudi, reģistrāciju </w:t>
            </w:r>
            <w:r w:rsidR="00BC4C86">
              <w:rPr>
                <w:iCs/>
                <w:shd w:val="clear" w:color="auto" w:fill="FFFFFF"/>
              </w:rPr>
              <w:t>d</w:t>
            </w:r>
            <w:r w:rsidR="008847FD" w:rsidRPr="008847FD">
              <w:rPr>
                <w:iCs/>
                <w:shd w:val="clear" w:color="auto" w:fill="FFFFFF"/>
              </w:rPr>
              <w:t xml:space="preserve">atubāzē, sagatavošanu un izsniegšanu no </w:t>
            </w:r>
            <w:r w:rsidR="00BC4C86">
              <w:rPr>
                <w:iCs/>
                <w:shd w:val="clear" w:color="auto" w:fill="FFFFFF"/>
              </w:rPr>
              <w:t>d</w:t>
            </w:r>
            <w:r w:rsidR="008847FD" w:rsidRPr="008847FD">
              <w:rPr>
                <w:iCs/>
                <w:shd w:val="clear" w:color="auto" w:fill="FFFFFF"/>
              </w:rPr>
              <w:t>atubāzes, kā arī maksu par tās turējumā esošās ģeotelpiskās informācijas izmantošanu, ģeotelpiskās informācijas pakalpojumiem un maksas piemērošanas kārtību.</w:t>
            </w:r>
          </w:p>
          <w:p w14:paraId="0FFBD9EA" w14:textId="54EA206F" w:rsidR="00BA002A" w:rsidRPr="008847FD" w:rsidRDefault="00A81DDF" w:rsidP="00EF3B4C">
            <w:pPr>
              <w:pStyle w:val="Sarakstarindkopa"/>
              <w:autoSpaceDE w:val="0"/>
              <w:autoSpaceDN w:val="0"/>
              <w:adjustRightInd w:val="0"/>
              <w:ind w:left="0" w:firstLine="451"/>
              <w:jc w:val="both"/>
              <w:rPr>
                <w:iCs/>
                <w:shd w:val="clear" w:color="auto" w:fill="FFFFFF"/>
              </w:rPr>
            </w:pPr>
            <w:hyperlink r:id="rId16" w:tgtFrame="_blank" w:history="1">
              <w:r w:rsidR="008847FD" w:rsidRPr="008847FD">
                <w:rPr>
                  <w:iCs/>
                  <w:shd w:val="clear" w:color="auto" w:fill="FFFFFF"/>
                </w:rPr>
                <w:t>Administratīvo teritoriju un apdzīvoto vietu likuma</w:t>
              </w:r>
            </w:hyperlink>
            <w:r w:rsidR="008847FD" w:rsidRPr="008847FD">
              <w:rPr>
                <w:iCs/>
                <w:shd w:val="clear" w:color="auto" w:fill="FFFFFF"/>
              </w:rPr>
              <w:t> pārejas noteikumu 17. punkt</w:t>
            </w:r>
            <w:r>
              <w:rPr>
                <w:iCs/>
                <w:shd w:val="clear" w:color="auto" w:fill="FFFFFF"/>
              </w:rPr>
              <w:t>ā</w:t>
            </w:r>
            <w:r w:rsidR="008847FD" w:rsidRPr="008847FD">
              <w:rPr>
                <w:iCs/>
                <w:shd w:val="clear" w:color="auto" w:fill="FFFFFF"/>
              </w:rPr>
              <w:t xml:space="preserve"> </w:t>
            </w:r>
            <w:r w:rsidR="00BC4C86">
              <w:rPr>
                <w:iCs/>
                <w:shd w:val="clear" w:color="auto" w:fill="FFFFFF"/>
              </w:rPr>
              <w:t>no</w:t>
            </w:r>
            <w:r>
              <w:rPr>
                <w:iCs/>
                <w:shd w:val="clear" w:color="auto" w:fill="FFFFFF"/>
              </w:rPr>
              <w:t>teikts</w:t>
            </w:r>
            <w:r w:rsidR="008847FD" w:rsidRPr="008847FD">
              <w:rPr>
                <w:iCs/>
                <w:shd w:val="clear" w:color="auto" w:fill="FFFFFF"/>
              </w:rPr>
              <w:t xml:space="preserve">, ka 2021. gada pašvaldību vēlēšanās ievēlētā novada </w:t>
            </w:r>
            <w:r>
              <w:rPr>
                <w:iCs/>
                <w:shd w:val="clear" w:color="auto" w:fill="FFFFFF"/>
              </w:rPr>
              <w:t xml:space="preserve">pašvaldības </w:t>
            </w:r>
            <w:r w:rsidR="008847FD" w:rsidRPr="008847FD">
              <w:rPr>
                <w:iCs/>
                <w:shd w:val="clear" w:color="auto" w:fill="FFFFFF"/>
              </w:rPr>
              <w:t>dome izvērtē novadu veidojošo bijušo pašvaldību pieņemtos saistošos noteikumus un pieņem jaunus saistošos noteikumus.</w:t>
            </w:r>
          </w:p>
        </w:tc>
      </w:tr>
      <w:tr w:rsidR="007C015C" w14:paraId="35D953E4" w14:textId="77777777" w:rsidTr="00803C22">
        <w:tc>
          <w:tcPr>
            <w:tcW w:w="9061" w:type="dxa"/>
          </w:tcPr>
          <w:p w14:paraId="774A2748" w14:textId="405310EB" w:rsidR="006C0CC4" w:rsidRPr="00EF3B4C" w:rsidRDefault="00BC4C86" w:rsidP="00EF3B4C">
            <w:pPr>
              <w:rPr>
                <w:rFonts w:eastAsiaTheme="minorHAnsi"/>
                <w:b/>
                <w:bCs/>
                <w:color w:val="000000"/>
              </w:rPr>
            </w:pPr>
            <w:r>
              <w:rPr>
                <w:rFonts w:eastAsiaTheme="minorHAnsi"/>
                <w:b/>
                <w:bCs/>
                <w:color w:val="000000"/>
              </w:rPr>
              <w:t xml:space="preserve">2.     </w:t>
            </w:r>
            <w:r w:rsidR="00BA5F0F" w:rsidRPr="00EF3B4C">
              <w:rPr>
                <w:rFonts w:eastAsiaTheme="minorHAnsi"/>
                <w:b/>
                <w:bCs/>
                <w:color w:val="000000"/>
              </w:rPr>
              <w:t>Īss projekta satura izklāsts.</w:t>
            </w:r>
          </w:p>
          <w:p w14:paraId="7791F7B8" w14:textId="34EB387D" w:rsidR="006C0CC4" w:rsidRPr="00F50B8B" w:rsidRDefault="00A81DDF" w:rsidP="00EF3B4C">
            <w:pPr>
              <w:pStyle w:val="Sarakstarindkopa"/>
              <w:spacing w:after="120"/>
              <w:ind w:left="26" w:firstLine="425"/>
              <w:jc w:val="both"/>
              <w:rPr>
                <w:rFonts w:eastAsia="Calibri"/>
                <w:b/>
                <w:bCs/>
              </w:rPr>
            </w:pPr>
            <w:r>
              <w:rPr>
                <w:rFonts w:eastAsiaTheme="minorHAnsi"/>
                <w:color w:val="000000"/>
              </w:rPr>
              <w:t>Šie s</w:t>
            </w:r>
            <w:r w:rsidR="008847FD" w:rsidRPr="008847FD">
              <w:rPr>
                <w:rFonts w:eastAsiaTheme="minorHAnsi"/>
                <w:color w:val="000000"/>
              </w:rPr>
              <w:t xml:space="preserve">aistošie noteikumi </w:t>
            </w:r>
            <w:r>
              <w:rPr>
                <w:rFonts w:eastAsiaTheme="minorHAnsi"/>
                <w:color w:val="000000"/>
              </w:rPr>
              <w:t xml:space="preserve">(turpmāk – Noteikumi) </w:t>
            </w:r>
            <w:r w:rsidR="008847FD" w:rsidRPr="008847FD">
              <w:rPr>
                <w:rFonts w:eastAsiaTheme="minorHAnsi"/>
                <w:color w:val="000000"/>
              </w:rPr>
              <w:t xml:space="preserve">nosaka augstas detalizētas topogrāfiskās informācijas iesniegšanas, pieņemšanas, pārbaudes, izsniegšanas un atjaunināšanas kārtību </w:t>
            </w:r>
            <w:r w:rsidR="008847FD">
              <w:rPr>
                <w:rFonts w:eastAsiaTheme="minorHAnsi"/>
                <w:color w:val="000000"/>
              </w:rPr>
              <w:t>Ādažu</w:t>
            </w:r>
            <w:r w:rsidR="008847FD" w:rsidRPr="008847FD">
              <w:rPr>
                <w:rFonts w:eastAsiaTheme="minorHAnsi"/>
                <w:color w:val="000000"/>
              </w:rPr>
              <w:t xml:space="preserve"> novada</w:t>
            </w:r>
            <w:r w:rsidR="008847FD">
              <w:rPr>
                <w:rFonts w:eastAsiaTheme="minorHAnsi"/>
                <w:color w:val="000000"/>
              </w:rPr>
              <w:t xml:space="preserve"> pašvaldības</w:t>
            </w:r>
            <w:r w:rsidR="008847FD" w:rsidRPr="008847FD">
              <w:rPr>
                <w:rFonts w:eastAsiaTheme="minorHAnsi"/>
                <w:color w:val="000000"/>
              </w:rPr>
              <w:t xml:space="preserve"> administratīvajā teritorijā, kā arī maksas piemērošanas kārtību par ģeotelpiskās informācijas izsniegšanu.</w:t>
            </w:r>
          </w:p>
        </w:tc>
      </w:tr>
      <w:tr w:rsidR="007C015C" w14:paraId="7BCFFB8A" w14:textId="77777777" w:rsidTr="00B10724">
        <w:tc>
          <w:tcPr>
            <w:tcW w:w="9061" w:type="dxa"/>
          </w:tcPr>
          <w:p w14:paraId="6D742A04" w14:textId="0C395714" w:rsidR="006C0CC4" w:rsidRPr="00F50B8B" w:rsidRDefault="00BA5F0F" w:rsidP="00311DDA">
            <w:pPr>
              <w:autoSpaceDE w:val="0"/>
              <w:autoSpaceDN w:val="0"/>
              <w:adjustRightInd w:val="0"/>
              <w:rPr>
                <w:rFonts w:eastAsiaTheme="minorHAnsi"/>
                <w:b/>
                <w:bCs/>
                <w:color w:val="000000"/>
              </w:rPr>
            </w:pPr>
            <w:r w:rsidRPr="00F50B8B">
              <w:rPr>
                <w:rFonts w:eastAsiaTheme="minorHAnsi"/>
                <w:b/>
                <w:bCs/>
                <w:color w:val="000000"/>
              </w:rPr>
              <w:t xml:space="preserve">3. </w:t>
            </w:r>
            <w:r w:rsidR="00BC4C86">
              <w:rPr>
                <w:rFonts w:eastAsiaTheme="minorHAnsi"/>
                <w:b/>
                <w:bCs/>
                <w:color w:val="000000"/>
              </w:rPr>
              <w:t xml:space="preserve">    </w:t>
            </w:r>
            <w:r w:rsidRPr="00F50B8B">
              <w:rPr>
                <w:rFonts w:eastAsiaTheme="minorHAnsi"/>
                <w:b/>
                <w:bCs/>
                <w:color w:val="000000"/>
              </w:rPr>
              <w:t xml:space="preserve">Informācija par plānoto </w:t>
            </w:r>
            <w:r w:rsidRPr="00D35A90">
              <w:rPr>
                <w:rFonts w:eastAsiaTheme="minorHAnsi"/>
                <w:b/>
                <w:bCs/>
                <w:color w:val="000000"/>
              </w:rPr>
              <w:t>projekta ietekmi uz</w:t>
            </w:r>
            <w:r w:rsidRPr="00F50B8B">
              <w:rPr>
                <w:rFonts w:eastAsiaTheme="minorHAnsi"/>
                <w:b/>
                <w:bCs/>
                <w:color w:val="000000"/>
              </w:rPr>
              <w:t xml:space="preserve"> pašvaldības budžetu.</w:t>
            </w:r>
          </w:p>
          <w:p w14:paraId="1C7CD3A4" w14:textId="1A120512" w:rsidR="006C0CC4" w:rsidRPr="00D35A90" w:rsidRDefault="00A81DDF" w:rsidP="00EF3B4C">
            <w:pPr>
              <w:pStyle w:val="Sarakstarindkopa"/>
              <w:spacing w:after="120"/>
              <w:ind w:left="26" w:firstLine="425"/>
              <w:jc w:val="both"/>
              <w:rPr>
                <w:rFonts w:eastAsia="Calibri"/>
                <w:b/>
                <w:bCs/>
              </w:rPr>
            </w:pPr>
            <w:r>
              <w:rPr>
                <w:rFonts w:eastAsiaTheme="minorHAnsi"/>
                <w:color w:val="000000"/>
              </w:rPr>
              <w:t>N</w:t>
            </w:r>
            <w:r w:rsidR="008847FD" w:rsidRPr="008847FD">
              <w:rPr>
                <w:rFonts w:eastAsiaTheme="minorHAnsi"/>
                <w:color w:val="000000"/>
              </w:rPr>
              <w:t>oteikumu īstenošanai finansiāla ietekme uz pašvaldības budžetu nav prognozēta.</w:t>
            </w:r>
          </w:p>
        </w:tc>
      </w:tr>
      <w:tr w:rsidR="007C015C" w14:paraId="626FF630" w14:textId="77777777" w:rsidTr="009E519E">
        <w:tc>
          <w:tcPr>
            <w:tcW w:w="9061" w:type="dxa"/>
          </w:tcPr>
          <w:p w14:paraId="74F1C97A" w14:textId="6A571CD5" w:rsidR="006C0CC4" w:rsidRPr="00F50B8B" w:rsidRDefault="00BA5F0F" w:rsidP="0094065A">
            <w:pPr>
              <w:autoSpaceDE w:val="0"/>
              <w:autoSpaceDN w:val="0"/>
              <w:adjustRightInd w:val="0"/>
              <w:rPr>
                <w:rFonts w:eastAsiaTheme="minorHAnsi"/>
                <w:b/>
                <w:bCs/>
                <w:color w:val="000000"/>
              </w:rPr>
            </w:pPr>
            <w:r w:rsidRPr="00F50B8B">
              <w:rPr>
                <w:rFonts w:eastAsiaTheme="minorHAnsi"/>
                <w:b/>
                <w:bCs/>
                <w:color w:val="000000"/>
              </w:rPr>
              <w:t xml:space="preserve">4. </w:t>
            </w:r>
            <w:r w:rsidR="00BC4C86">
              <w:rPr>
                <w:rFonts w:eastAsiaTheme="minorHAnsi"/>
                <w:b/>
                <w:bCs/>
                <w:color w:val="000000"/>
              </w:rPr>
              <w:t xml:space="preserve">    </w:t>
            </w:r>
            <w:r w:rsidRPr="00F50B8B">
              <w:rPr>
                <w:rFonts w:eastAsiaTheme="minorHAnsi"/>
                <w:b/>
                <w:bCs/>
                <w:color w:val="000000"/>
              </w:rPr>
              <w:t>Informācija par plānoto</w:t>
            </w:r>
            <w:r w:rsidRPr="00D35A90">
              <w:rPr>
                <w:rFonts w:eastAsiaTheme="minorHAnsi"/>
                <w:b/>
                <w:bCs/>
                <w:color w:val="000000"/>
              </w:rPr>
              <w:t xml:space="preserve"> </w:t>
            </w:r>
            <w:r w:rsidRPr="00F50B8B">
              <w:rPr>
                <w:rFonts w:eastAsiaTheme="minorHAnsi"/>
                <w:b/>
                <w:bCs/>
                <w:color w:val="000000"/>
              </w:rPr>
              <w:t>projekta ietekmi uz sabiedrību (</w:t>
            </w:r>
            <w:proofErr w:type="spellStart"/>
            <w:r w:rsidRPr="00F50B8B">
              <w:rPr>
                <w:rFonts w:eastAsiaTheme="minorHAnsi"/>
                <w:b/>
                <w:bCs/>
                <w:color w:val="000000"/>
              </w:rPr>
              <w:t>mērķgrupām</w:t>
            </w:r>
            <w:proofErr w:type="spellEnd"/>
            <w:r w:rsidRPr="00F50B8B">
              <w:rPr>
                <w:rFonts w:eastAsiaTheme="minorHAnsi"/>
                <w:b/>
                <w:bCs/>
                <w:color w:val="000000"/>
              </w:rPr>
              <w:t>) un uzņēmējdarbības vidi pašvaldības teritorijā.</w:t>
            </w:r>
          </w:p>
          <w:p w14:paraId="7ACB4055" w14:textId="259D42C9" w:rsidR="006C0CC4" w:rsidRPr="00F50B8B" w:rsidRDefault="008847FD" w:rsidP="00EF3B4C">
            <w:pPr>
              <w:spacing w:after="120"/>
              <w:ind w:firstLine="451"/>
              <w:jc w:val="both"/>
              <w:rPr>
                <w:rFonts w:eastAsia="Calibri"/>
                <w:b/>
                <w:bCs/>
              </w:rPr>
            </w:pPr>
            <w:r>
              <w:rPr>
                <w:rFonts w:eastAsia="Calibri"/>
              </w:rPr>
              <w:t>Nav ietekmes</w:t>
            </w:r>
            <w:r w:rsidR="00A81DDF">
              <w:rPr>
                <w:rFonts w:eastAsia="Calibri"/>
              </w:rPr>
              <w:t>.</w:t>
            </w:r>
          </w:p>
        </w:tc>
      </w:tr>
      <w:tr w:rsidR="007C015C" w14:paraId="133E2C66" w14:textId="77777777" w:rsidTr="005631A5">
        <w:tc>
          <w:tcPr>
            <w:tcW w:w="9061" w:type="dxa"/>
          </w:tcPr>
          <w:p w14:paraId="7C446C45" w14:textId="070EEAC7" w:rsidR="006C0CC4" w:rsidRPr="00F50B8B" w:rsidRDefault="00BA5F0F" w:rsidP="001B40F6">
            <w:pPr>
              <w:autoSpaceDE w:val="0"/>
              <w:autoSpaceDN w:val="0"/>
              <w:adjustRightInd w:val="0"/>
              <w:rPr>
                <w:rFonts w:eastAsiaTheme="minorHAnsi"/>
                <w:b/>
                <w:bCs/>
                <w:color w:val="000000"/>
              </w:rPr>
            </w:pPr>
            <w:r w:rsidRPr="00F50B8B">
              <w:rPr>
                <w:rFonts w:eastAsiaTheme="minorHAnsi"/>
                <w:b/>
                <w:bCs/>
                <w:color w:val="000000"/>
              </w:rPr>
              <w:t>5.</w:t>
            </w:r>
            <w:r w:rsidR="00BC4C86">
              <w:rPr>
                <w:rFonts w:eastAsiaTheme="minorHAnsi"/>
                <w:b/>
                <w:bCs/>
                <w:color w:val="000000"/>
              </w:rPr>
              <w:t xml:space="preserve">     </w:t>
            </w:r>
            <w:r w:rsidRPr="00F50B8B">
              <w:rPr>
                <w:rFonts w:eastAsiaTheme="minorHAnsi"/>
                <w:b/>
                <w:bCs/>
                <w:color w:val="000000"/>
              </w:rPr>
              <w:t xml:space="preserve">Informācija par administratīvajām procedūrām. </w:t>
            </w:r>
          </w:p>
          <w:p w14:paraId="67FA954A" w14:textId="6F703A6A" w:rsidR="00CE5A08" w:rsidRPr="00E543BE" w:rsidRDefault="00A81DDF" w:rsidP="00EF3B4C">
            <w:pPr>
              <w:pStyle w:val="Sarakstarindkopa"/>
              <w:spacing w:after="120"/>
              <w:ind w:left="26" w:firstLine="425"/>
              <w:jc w:val="both"/>
              <w:rPr>
                <w:rFonts w:eastAsiaTheme="minorHAnsi"/>
                <w:color w:val="000000"/>
              </w:rPr>
            </w:pPr>
            <w:r>
              <w:rPr>
                <w:rFonts w:eastAsiaTheme="minorHAnsi"/>
                <w:color w:val="000000"/>
              </w:rPr>
              <w:t>N</w:t>
            </w:r>
            <w:r w:rsidR="00BA5F0F" w:rsidRPr="00D35A90">
              <w:rPr>
                <w:rFonts w:eastAsiaTheme="minorHAnsi"/>
                <w:color w:val="000000"/>
              </w:rPr>
              <w:t xml:space="preserve">oteikumu </w:t>
            </w:r>
            <w:r w:rsidR="00CE5A08">
              <w:rPr>
                <w:rFonts w:eastAsiaTheme="minorHAnsi"/>
                <w:color w:val="000000"/>
              </w:rPr>
              <w:t>darbības pārraudzību nodrošinās</w:t>
            </w:r>
            <w:r w:rsidR="00BA5F0F" w:rsidRPr="00F50B8B">
              <w:rPr>
                <w:rFonts w:eastAsiaTheme="minorHAnsi"/>
                <w:color w:val="000000"/>
              </w:rPr>
              <w:t xml:space="preserve"> pašvaldības dome. </w:t>
            </w:r>
            <w:r>
              <w:rPr>
                <w:rFonts w:eastAsiaTheme="minorHAnsi"/>
                <w:color w:val="000000"/>
              </w:rPr>
              <w:t>N</w:t>
            </w:r>
            <w:r w:rsidR="00CE5A08" w:rsidRPr="00CE5A08">
              <w:rPr>
                <w:rFonts w:eastAsiaTheme="minorHAnsi"/>
                <w:color w:val="000000"/>
              </w:rPr>
              <w:t xml:space="preserve">oteikumu izpilde neietekmēs tās institūcijas funkcijas un uzdevumus, kura nodrošinās </w:t>
            </w:r>
            <w:r>
              <w:rPr>
                <w:rFonts w:eastAsiaTheme="minorHAnsi"/>
                <w:color w:val="000000"/>
              </w:rPr>
              <w:t>N</w:t>
            </w:r>
            <w:r w:rsidR="00CE5A08" w:rsidRPr="00CE5A08">
              <w:rPr>
                <w:rFonts w:eastAsiaTheme="minorHAnsi"/>
                <w:color w:val="000000"/>
              </w:rPr>
              <w:t>oteikumu darbības pārraudzību, neradīs papildus slogu administratīvajām procedūrām.</w:t>
            </w:r>
            <w:r w:rsidR="00CE5A08">
              <w:rPr>
                <w:rFonts w:eastAsiaTheme="minorHAnsi"/>
                <w:color w:val="000000"/>
              </w:rPr>
              <w:t xml:space="preserve"> </w:t>
            </w:r>
          </w:p>
        </w:tc>
      </w:tr>
      <w:tr w:rsidR="007C015C" w14:paraId="11D6A467" w14:textId="77777777" w:rsidTr="00142AC5">
        <w:tc>
          <w:tcPr>
            <w:tcW w:w="9061" w:type="dxa"/>
          </w:tcPr>
          <w:p w14:paraId="533A09D7" w14:textId="120547DF" w:rsidR="006C0CC4" w:rsidRPr="00D35A90" w:rsidRDefault="00BA5F0F" w:rsidP="00D35A90">
            <w:pPr>
              <w:autoSpaceDE w:val="0"/>
              <w:autoSpaceDN w:val="0"/>
              <w:adjustRightInd w:val="0"/>
              <w:rPr>
                <w:rFonts w:eastAsia="Calibri"/>
                <w:b/>
                <w:bCs/>
              </w:rPr>
            </w:pPr>
            <w:r w:rsidRPr="00F50B8B">
              <w:rPr>
                <w:rFonts w:eastAsiaTheme="minorHAnsi"/>
                <w:b/>
                <w:bCs/>
                <w:color w:val="000000"/>
              </w:rPr>
              <w:t xml:space="preserve">6. </w:t>
            </w:r>
            <w:r w:rsidR="00BC4C86">
              <w:rPr>
                <w:rFonts w:eastAsiaTheme="minorHAnsi"/>
                <w:b/>
                <w:bCs/>
                <w:color w:val="000000"/>
              </w:rPr>
              <w:t xml:space="preserve">   </w:t>
            </w:r>
            <w:r w:rsidRPr="00F50B8B">
              <w:rPr>
                <w:rFonts w:eastAsiaTheme="minorHAnsi"/>
                <w:b/>
                <w:bCs/>
                <w:color w:val="000000"/>
              </w:rPr>
              <w:t>Informācija par konsultācijām ar privātpersonām.</w:t>
            </w:r>
          </w:p>
          <w:p w14:paraId="10A5C4C1" w14:textId="77777777" w:rsidR="00E543BE" w:rsidRPr="005A435F" w:rsidRDefault="00E543BE" w:rsidP="00EF3B4C">
            <w:pPr>
              <w:ind w:firstLine="451"/>
              <w:jc w:val="both"/>
              <w:rPr>
                <w:bCs/>
              </w:rPr>
            </w:pPr>
            <w:r w:rsidRPr="005A435F">
              <w:rPr>
                <w:bCs/>
              </w:rPr>
              <w:t xml:space="preserve">Noteikumu projekts tika izskatīts pašvaldības domes </w:t>
            </w:r>
            <w:r>
              <w:rPr>
                <w:bCs/>
              </w:rPr>
              <w:t xml:space="preserve">Finanšu </w:t>
            </w:r>
            <w:r w:rsidRPr="005A435F">
              <w:rPr>
                <w:bCs/>
              </w:rPr>
              <w:t>komitejā.</w:t>
            </w:r>
          </w:p>
          <w:p w14:paraId="74984D33" w14:textId="4279E07A" w:rsidR="006C0CC4" w:rsidRPr="00F50B8B" w:rsidRDefault="00E543BE" w:rsidP="00E543BE">
            <w:pPr>
              <w:pStyle w:val="Sarakstarindkopa"/>
              <w:spacing w:after="120"/>
              <w:ind w:left="26"/>
              <w:jc w:val="both"/>
              <w:rPr>
                <w:rFonts w:eastAsiaTheme="minorHAnsi"/>
                <w:color w:val="000000"/>
              </w:rPr>
            </w:pPr>
            <w:r w:rsidRPr="005A435F">
              <w:rPr>
                <w:lang w:eastAsia="lv-LV"/>
              </w:rPr>
              <w:t xml:space="preserve">Pēc Noteikumu projekta izskatīšanas </w:t>
            </w:r>
            <w:r w:rsidRPr="005A435F">
              <w:t>Finanšu komitejā</w:t>
            </w:r>
            <w:r w:rsidRPr="005A435F">
              <w:rPr>
                <w:lang w:eastAsia="lv-LV"/>
              </w:rPr>
              <w:t xml:space="preserve">, tas tika publicēts pašvaldības tīmekļvietnē </w:t>
            </w:r>
            <w:hyperlink r:id="rId17" w:history="1">
              <w:r w:rsidRPr="005A435F">
                <w:rPr>
                  <w:rStyle w:val="Hipersaite"/>
                  <w:color w:val="0563C1"/>
                  <w:lang w:eastAsia="lv-LV"/>
                </w:rPr>
                <w:t>www.adazi.lv</w:t>
              </w:r>
            </w:hyperlink>
            <w:r w:rsidRPr="005A435F">
              <w:rPr>
                <w:lang w:eastAsia="lv-LV"/>
              </w:rPr>
              <w:t>, nodrošinot iespēju sabiedrības pārstāvjiem izteikt priekšlikumus vai iebildumus.</w:t>
            </w:r>
          </w:p>
        </w:tc>
      </w:tr>
    </w:tbl>
    <w:p w14:paraId="726DB518" w14:textId="77777777" w:rsidR="00874D04" w:rsidRPr="00F50B8B" w:rsidRDefault="00874D04" w:rsidP="00874D04">
      <w:pPr>
        <w:autoSpaceDE w:val="0"/>
        <w:autoSpaceDN w:val="0"/>
        <w:adjustRightInd w:val="0"/>
        <w:rPr>
          <w:rFonts w:eastAsiaTheme="minorHAnsi"/>
          <w:color w:val="000000"/>
        </w:rPr>
      </w:pPr>
    </w:p>
    <w:p w14:paraId="4329545A" w14:textId="77777777" w:rsidR="00403663" w:rsidRPr="00D35A90" w:rsidRDefault="00403663" w:rsidP="006C0CC4">
      <w:pPr>
        <w:ind w:right="-1"/>
        <w:jc w:val="both"/>
        <w:rPr>
          <w:rFonts w:eastAsia="Calibri"/>
        </w:rPr>
      </w:pPr>
    </w:p>
    <w:p w14:paraId="45414A73" w14:textId="44C5A446" w:rsidR="00FB6081" w:rsidRPr="00F50B8B" w:rsidRDefault="00BA5F0F" w:rsidP="00263AE7">
      <w:pPr>
        <w:ind w:right="-1"/>
        <w:jc w:val="both"/>
        <w:rPr>
          <w:rFonts w:eastAsia="Calibri"/>
        </w:rPr>
      </w:pPr>
      <w:bookmarkStart w:id="5" w:name="_Hlk85721805"/>
      <w:r w:rsidRPr="00F50B8B">
        <w:rPr>
          <w:rFonts w:eastAsia="Calibri"/>
        </w:rPr>
        <w:t>Pašvaldības domes priekšsēdētāj</w:t>
      </w:r>
      <w:r w:rsidR="00263AE7">
        <w:rPr>
          <w:rFonts w:eastAsia="Calibri"/>
        </w:rPr>
        <w:t>s</w:t>
      </w:r>
      <w:r w:rsidRPr="00F50B8B">
        <w:rPr>
          <w:rFonts w:eastAsia="Calibri"/>
        </w:rPr>
        <w:t xml:space="preserve"> </w:t>
      </w:r>
      <w:r w:rsidR="00263AE7">
        <w:rPr>
          <w:rFonts w:eastAsia="Calibri"/>
        </w:rPr>
        <w:tab/>
      </w:r>
      <w:r w:rsidRPr="00F50B8B">
        <w:rPr>
          <w:rFonts w:eastAsia="Calibri"/>
        </w:rPr>
        <w:tab/>
      </w:r>
      <w:r w:rsidRPr="00F50B8B">
        <w:rPr>
          <w:rFonts w:eastAsia="Calibri"/>
        </w:rPr>
        <w:tab/>
      </w:r>
      <w:r w:rsidRPr="00F50B8B">
        <w:rPr>
          <w:rFonts w:eastAsia="Calibri"/>
        </w:rPr>
        <w:tab/>
      </w:r>
      <w:bookmarkEnd w:id="5"/>
      <w:r w:rsidR="00403663">
        <w:rPr>
          <w:rFonts w:eastAsia="Calibri"/>
        </w:rPr>
        <w:tab/>
      </w:r>
      <w:r w:rsidR="00403663">
        <w:rPr>
          <w:rFonts w:eastAsia="Calibri"/>
        </w:rPr>
        <w:tab/>
      </w:r>
      <w:r w:rsidR="00263AE7">
        <w:rPr>
          <w:rFonts w:eastAsia="Calibri"/>
        </w:rPr>
        <w:t xml:space="preserve">      </w:t>
      </w:r>
      <w:proofErr w:type="spellStart"/>
      <w:r w:rsidR="00263AE7">
        <w:rPr>
          <w:rFonts w:eastAsia="Calibri"/>
        </w:rPr>
        <w:t>M.Sprindžuks</w:t>
      </w:r>
      <w:proofErr w:type="spellEnd"/>
    </w:p>
    <w:p w14:paraId="74D1F105" w14:textId="77777777" w:rsidR="00FB6081" w:rsidRPr="005C0E26" w:rsidRDefault="00FB6081" w:rsidP="00FB6081"/>
    <w:p w14:paraId="35184574" w14:textId="77777777" w:rsidR="00FB6081" w:rsidRPr="005C0E26" w:rsidRDefault="00FB6081"/>
    <w:sectPr w:rsidR="00FB6081" w:rsidRPr="005C0E26" w:rsidSect="00FF46E9">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DFF0E" w14:textId="77777777" w:rsidR="00C10BBD" w:rsidRDefault="00C10BBD">
      <w:r>
        <w:separator/>
      </w:r>
    </w:p>
  </w:endnote>
  <w:endnote w:type="continuationSeparator" w:id="0">
    <w:p w14:paraId="44CAF94D" w14:textId="77777777" w:rsidR="00C10BBD" w:rsidRDefault="00C1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52CA3" w14:textId="77777777" w:rsidR="007F4B41" w:rsidRDefault="00BA5F0F">
    <w:pPr>
      <w:pStyle w:val="Kjene"/>
      <w:jc w:val="center"/>
    </w:pPr>
    <w:r>
      <w:fldChar w:fldCharType="begin"/>
    </w:r>
    <w:r>
      <w:instrText xml:space="preserve"> PAGE   \* MERGEFORMAT </w:instrText>
    </w:r>
    <w:r>
      <w:fldChar w:fldCharType="separate"/>
    </w:r>
    <w:r w:rsidR="00EF3B4C">
      <w:rPr>
        <w:noProof/>
      </w:rPr>
      <w:t>4</w:t>
    </w:r>
    <w:r>
      <w:fldChar w:fldCharType="end"/>
    </w:r>
  </w:p>
  <w:p w14:paraId="335E477A" w14:textId="77777777" w:rsidR="007F4B41" w:rsidRDefault="007F4B4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F046B" w14:textId="77777777" w:rsidR="00C10BBD" w:rsidRDefault="00C10BBD">
      <w:r>
        <w:separator/>
      </w:r>
    </w:p>
  </w:footnote>
  <w:footnote w:type="continuationSeparator" w:id="0">
    <w:p w14:paraId="68877C03" w14:textId="77777777" w:rsidR="00C10BBD" w:rsidRDefault="00C10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7A320A8"/>
    <w:multiLevelType w:val="multilevel"/>
    <w:tmpl w:val="35F0C608"/>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152" w:hanging="432"/>
      </w:pPr>
      <w:rPr>
        <w:rFonts w:ascii="Times New Roman" w:hAnsi="Times New Roman" w:cs="Times New Roman" w:hint="default"/>
      </w:rPr>
    </w:lvl>
    <w:lvl w:ilvl="2">
      <w:start w:val="1"/>
      <w:numFmt w:val="decimal"/>
      <w:isLgl/>
      <w:lvlText w:val="%1.%2.%3."/>
      <w:lvlJc w:val="left"/>
      <w:pPr>
        <w:ind w:left="2160" w:hanging="720"/>
      </w:pPr>
      <w:rPr>
        <w:rFonts w:ascii="Times New Roman" w:hAnsi="Times New Roman" w:cs="Times New Roman" w:hint="default"/>
      </w:rPr>
    </w:lvl>
    <w:lvl w:ilvl="3">
      <w:start w:val="1"/>
      <w:numFmt w:val="decimal"/>
      <w:isLgl/>
      <w:lvlText w:val="%1.%2.%3.%4."/>
      <w:lvlJc w:val="left"/>
      <w:pPr>
        <w:ind w:left="2880" w:hanging="720"/>
      </w:pPr>
      <w:rPr>
        <w:rFonts w:ascii="Times New Roman" w:hAnsi="Times New Roman" w:cs="Times New Roman" w:hint="default"/>
      </w:rPr>
    </w:lvl>
    <w:lvl w:ilvl="4">
      <w:start w:val="1"/>
      <w:numFmt w:val="decimal"/>
      <w:isLgl/>
      <w:lvlText w:val="%1.%2.%3.%4.%5."/>
      <w:lvlJc w:val="left"/>
      <w:pPr>
        <w:ind w:left="3960" w:hanging="1080"/>
      </w:pPr>
      <w:rPr>
        <w:rFonts w:ascii="Times New Roman" w:hAnsi="Times New Roman" w:cs="Times New Roman" w:hint="default"/>
      </w:rPr>
    </w:lvl>
    <w:lvl w:ilvl="5">
      <w:start w:val="1"/>
      <w:numFmt w:val="decimal"/>
      <w:isLgl/>
      <w:lvlText w:val="%1.%2.%3.%4.%5.%6."/>
      <w:lvlJc w:val="left"/>
      <w:pPr>
        <w:ind w:left="4680" w:hanging="1080"/>
      </w:pPr>
      <w:rPr>
        <w:rFonts w:ascii="Times New Roman" w:hAnsi="Times New Roman" w:cs="Times New Roman" w:hint="default"/>
      </w:rPr>
    </w:lvl>
    <w:lvl w:ilvl="6">
      <w:start w:val="1"/>
      <w:numFmt w:val="decimal"/>
      <w:isLgl/>
      <w:lvlText w:val="%1.%2.%3.%4.%5.%6.%7."/>
      <w:lvlJc w:val="left"/>
      <w:pPr>
        <w:ind w:left="5760" w:hanging="1440"/>
      </w:pPr>
      <w:rPr>
        <w:rFonts w:ascii="Times New Roman" w:hAnsi="Times New Roman" w:cs="Times New Roman" w:hint="default"/>
      </w:rPr>
    </w:lvl>
    <w:lvl w:ilvl="7">
      <w:start w:val="1"/>
      <w:numFmt w:val="decimal"/>
      <w:isLgl/>
      <w:lvlText w:val="%1.%2.%3.%4.%5.%6.%7.%8."/>
      <w:lvlJc w:val="left"/>
      <w:pPr>
        <w:ind w:left="6480" w:hanging="1440"/>
      </w:pPr>
      <w:rPr>
        <w:rFonts w:ascii="Times New Roman" w:hAnsi="Times New Roman" w:cs="Times New Roman" w:hint="default"/>
      </w:rPr>
    </w:lvl>
    <w:lvl w:ilvl="8">
      <w:start w:val="1"/>
      <w:numFmt w:val="decimal"/>
      <w:isLgl/>
      <w:lvlText w:val="%1.%2.%3.%4.%5.%6.%7.%8.%9."/>
      <w:lvlJc w:val="left"/>
      <w:pPr>
        <w:ind w:left="7560" w:hanging="1800"/>
      </w:pPr>
      <w:rPr>
        <w:rFonts w:ascii="Times New Roman" w:hAnsi="Times New Roman" w:cs="Times New Roman" w:hint="default"/>
      </w:rPr>
    </w:lvl>
  </w:abstractNum>
  <w:abstractNum w:abstractNumId="1" w15:restartNumberingAfterBreak="0">
    <w:nsid w:val="0BD63A47"/>
    <w:multiLevelType w:val="multilevel"/>
    <w:tmpl w:val="12605A6E"/>
    <w:lvl w:ilvl="0">
      <w:start w:val="1"/>
      <w:numFmt w:val="decimal"/>
      <w:lvlText w:val="%1."/>
      <w:lvlJc w:val="left"/>
      <w:pPr>
        <w:ind w:left="546" w:hanging="428"/>
      </w:pPr>
      <w:rPr>
        <w:rFonts w:ascii="Times New Roman" w:eastAsia="Times New Roman" w:hAnsi="Times New Roman" w:cs="Times New Roman" w:hint="default"/>
        <w:b w:val="0"/>
        <w:bCs w:val="0"/>
        <w:i w:val="0"/>
        <w:iCs w:val="0"/>
        <w:w w:val="100"/>
        <w:sz w:val="24"/>
        <w:szCs w:val="24"/>
        <w:lang w:val="lv-LV" w:eastAsia="en-US" w:bidi="ar-SA"/>
      </w:rPr>
    </w:lvl>
    <w:lvl w:ilvl="1">
      <w:start w:val="1"/>
      <w:numFmt w:val="decimal"/>
      <w:lvlText w:val="%1.%2."/>
      <w:lvlJc w:val="left"/>
      <w:pPr>
        <w:ind w:left="1112" w:hanging="569"/>
      </w:pPr>
      <w:rPr>
        <w:rFonts w:ascii="Times New Roman" w:eastAsia="Times New Roman" w:hAnsi="Times New Roman" w:cs="Times New Roman" w:hint="default"/>
        <w:b w:val="0"/>
        <w:bCs w:val="0"/>
        <w:i w:val="0"/>
        <w:iCs w:val="0"/>
        <w:w w:val="100"/>
        <w:sz w:val="24"/>
        <w:szCs w:val="24"/>
        <w:lang w:val="lv-LV" w:eastAsia="en-US" w:bidi="ar-SA"/>
      </w:rPr>
    </w:lvl>
    <w:lvl w:ilvl="2">
      <w:numFmt w:val="bullet"/>
      <w:lvlText w:val="•"/>
      <w:lvlJc w:val="left"/>
      <w:pPr>
        <w:ind w:left="2029" w:hanging="569"/>
      </w:pPr>
      <w:rPr>
        <w:rFonts w:hint="default"/>
        <w:lang w:val="lv-LV" w:eastAsia="en-US" w:bidi="ar-SA"/>
      </w:rPr>
    </w:lvl>
    <w:lvl w:ilvl="3">
      <w:numFmt w:val="bullet"/>
      <w:lvlText w:val="•"/>
      <w:lvlJc w:val="left"/>
      <w:pPr>
        <w:ind w:left="2939" w:hanging="569"/>
      </w:pPr>
      <w:rPr>
        <w:rFonts w:hint="default"/>
        <w:lang w:val="lv-LV" w:eastAsia="en-US" w:bidi="ar-SA"/>
      </w:rPr>
    </w:lvl>
    <w:lvl w:ilvl="4">
      <w:numFmt w:val="bullet"/>
      <w:lvlText w:val="•"/>
      <w:lvlJc w:val="left"/>
      <w:pPr>
        <w:ind w:left="3848" w:hanging="569"/>
      </w:pPr>
      <w:rPr>
        <w:rFonts w:hint="default"/>
        <w:lang w:val="lv-LV" w:eastAsia="en-US" w:bidi="ar-SA"/>
      </w:rPr>
    </w:lvl>
    <w:lvl w:ilvl="5">
      <w:numFmt w:val="bullet"/>
      <w:lvlText w:val="•"/>
      <w:lvlJc w:val="left"/>
      <w:pPr>
        <w:ind w:left="4758" w:hanging="569"/>
      </w:pPr>
      <w:rPr>
        <w:rFonts w:hint="default"/>
        <w:lang w:val="lv-LV" w:eastAsia="en-US" w:bidi="ar-SA"/>
      </w:rPr>
    </w:lvl>
    <w:lvl w:ilvl="6">
      <w:numFmt w:val="bullet"/>
      <w:lvlText w:val="•"/>
      <w:lvlJc w:val="left"/>
      <w:pPr>
        <w:ind w:left="5668" w:hanging="569"/>
      </w:pPr>
      <w:rPr>
        <w:rFonts w:hint="default"/>
        <w:lang w:val="lv-LV" w:eastAsia="en-US" w:bidi="ar-SA"/>
      </w:rPr>
    </w:lvl>
    <w:lvl w:ilvl="7">
      <w:numFmt w:val="bullet"/>
      <w:lvlText w:val="•"/>
      <w:lvlJc w:val="left"/>
      <w:pPr>
        <w:ind w:left="6577" w:hanging="569"/>
      </w:pPr>
      <w:rPr>
        <w:rFonts w:hint="default"/>
        <w:lang w:val="lv-LV" w:eastAsia="en-US" w:bidi="ar-SA"/>
      </w:rPr>
    </w:lvl>
    <w:lvl w:ilvl="8">
      <w:numFmt w:val="bullet"/>
      <w:lvlText w:val="•"/>
      <w:lvlJc w:val="left"/>
      <w:pPr>
        <w:ind w:left="7487" w:hanging="569"/>
      </w:pPr>
      <w:rPr>
        <w:rFonts w:hint="default"/>
        <w:lang w:val="lv-LV" w:eastAsia="en-US" w:bidi="ar-SA"/>
      </w:rPr>
    </w:lvl>
  </w:abstractNum>
  <w:abstractNum w:abstractNumId="2" w15:restartNumberingAfterBreak="1">
    <w:nsid w:val="18E5475F"/>
    <w:multiLevelType w:val="hybridMultilevel"/>
    <w:tmpl w:val="D5883AEE"/>
    <w:lvl w:ilvl="0" w:tplc="778239C0">
      <w:start w:val="1"/>
      <w:numFmt w:val="decimal"/>
      <w:lvlText w:val="%1."/>
      <w:lvlJc w:val="left"/>
      <w:pPr>
        <w:ind w:left="720" w:hanging="360"/>
      </w:pPr>
      <w:rPr>
        <w:rFonts w:hint="default"/>
      </w:rPr>
    </w:lvl>
    <w:lvl w:ilvl="1" w:tplc="0BC27404" w:tentative="1">
      <w:start w:val="1"/>
      <w:numFmt w:val="lowerLetter"/>
      <w:lvlText w:val="%2."/>
      <w:lvlJc w:val="left"/>
      <w:pPr>
        <w:ind w:left="1440" w:hanging="360"/>
      </w:pPr>
    </w:lvl>
    <w:lvl w:ilvl="2" w:tplc="27DA2726" w:tentative="1">
      <w:start w:val="1"/>
      <w:numFmt w:val="lowerRoman"/>
      <w:lvlText w:val="%3."/>
      <w:lvlJc w:val="right"/>
      <w:pPr>
        <w:ind w:left="2160" w:hanging="180"/>
      </w:pPr>
    </w:lvl>
    <w:lvl w:ilvl="3" w:tplc="48507174" w:tentative="1">
      <w:start w:val="1"/>
      <w:numFmt w:val="decimal"/>
      <w:lvlText w:val="%4."/>
      <w:lvlJc w:val="left"/>
      <w:pPr>
        <w:ind w:left="2880" w:hanging="360"/>
      </w:pPr>
    </w:lvl>
    <w:lvl w:ilvl="4" w:tplc="C854E29C" w:tentative="1">
      <w:start w:val="1"/>
      <w:numFmt w:val="lowerLetter"/>
      <w:lvlText w:val="%5."/>
      <w:lvlJc w:val="left"/>
      <w:pPr>
        <w:ind w:left="3600" w:hanging="360"/>
      </w:pPr>
    </w:lvl>
    <w:lvl w:ilvl="5" w:tplc="32B00ED8" w:tentative="1">
      <w:start w:val="1"/>
      <w:numFmt w:val="lowerRoman"/>
      <w:lvlText w:val="%6."/>
      <w:lvlJc w:val="right"/>
      <w:pPr>
        <w:ind w:left="4320" w:hanging="180"/>
      </w:pPr>
    </w:lvl>
    <w:lvl w:ilvl="6" w:tplc="F860FD84" w:tentative="1">
      <w:start w:val="1"/>
      <w:numFmt w:val="decimal"/>
      <w:lvlText w:val="%7."/>
      <w:lvlJc w:val="left"/>
      <w:pPr>
        <w:ind w:left="5040" w:hanging="360"/>
      </w:pPr>
    </w:lvl>
    <w:lvl w:ilvl="7" w:tplc="60287956" w:tentative="1">
      <w:start w:val="1"/>
      <w:numFmt w:val="lowerLetter"/>
      <w:lvlText w:val="%8."/>
      <w:lvlJc w:val="left"/>
      <w:pPr>
        <w:ind w:left="5760" w:hanging="360"/>
      </w:pPr>
    </w:lvl>
    <w:lvl w:ilvl="8" w:tplc="69F8A968" w:tentative="1">
      <w:start w:val="1"/>
      <w:numFmt w:val="lowerRoman"/>
      <w:lvlText w:val="%9."/>
      <w:lvlJc w:val="right"/>
      <w:pPr>
        <w:ind w:left="6480" w:hanging="180"/>
      </w:pPr>
    </w:lvl>
  </w:abstractNum>
  <w:abstractNum w:abstractNumId="3" w15:restartNumberingAfterBreak="1">
    <w:nsid w:val="2F3833BB"/>
    <w:multiLevelType w:val="hybridMultilevel"/>
    <w:tmpl w:val="9692F574"/>
    <w:lvl w:ilvl="0" w:tplc="4CF263D2">
      <w:start w:val="1"/>
      <w:numFmt w:val="decimal"/>
      <w:lvlText w:val="%1."/>
      <w:lvlJc w:val="left"/>
      <w:pPr>
        <w:ind w:left="1440" w:hanging="360"/>
      </w:pPr>
    </w:lvl>
    <w:lvl w:ilvl="1" w:tplc="01242718">
      <w:start w:val="1"/>
      <w:numFmt w:val="lowerLetter"/>
      <w:lvlText w:val="%2."/>
      <w:lvlJc w:val="left"/>
      <w:pPr>
        <w:ind w:left="2160" w:hanging="360"/>
      </w:pPr>
    </w:lvl>
    <w:lvl w:ilvl="2" w:tplc="142C322A" w:tentative="1">
      <w:start w:val="1"/>
      <w:numFmt w:val="lowerRoman"/>
      <w:lvlText w:val="%3."/>
      <w:lvlJc w:val="right"/>
      <w:pPr>
        <w:ind w:left="2880" w:hanging="180"/>
      </w:pPr>
    </w:lvl>
    <w:lvl w:ilvl="3" w:tplc="E71CBE3E" w:tentative="1">
      <w:start w:val="1"/>
      <w:numFmt w:val="decimal"/>
      <w:lvlText w:val="%4."/>
      <w:lvlJc w:val="left"/>
      <w:pPr>
        <w:ind w:left="3600" w:hanging="360"/>
      </w:pPr>
    </w:lvl>
    <w:lvl w:ilvl="4" w:tplc="E51E56F0" w:tentative="1">
      <w:start w:val="1"/>
      <w:numFmt w:val="lowerLetter"/>
      <w:lvlText w:val="%5."/>
      <w:lvlJc w:val="left"/>
      <w:pPr>
        <w:ind w:left="4320" w:hanging="360"/>
      </w:pPr>
    </w:lvl>
    <w:lvl w:ilvl="5" w:tplc="C430FB72" w:tentative="1">
      <w:start w:val="1"/>
      <w:numFmt w:val="lowerRoman"/>
      <w:lvlText w:val="%6."/>
      <w:lvlJc w:val="right"/>
      <w:pPr>
        <w:ind w:left="5040" w:hanging="180"/>
      </w:pPr>
    </w:lvl>
    <w:lvl w:ilvl="6" w:tplc="08CCC0FA" w:tentative="1">
      <w:start w:val="1"/>
      <w:numFmt w:val="decimal"/>
      <w:lvlText w:val="%7."/>
      <w:lvlJc w:val="left"/>
      <w:pPr>
        <w:ind w:left="5760" w:hanging="360"/>
      </w:pPr>
    </w:lvl>
    <w:lvl w:ilvl="7" w:tplc="EC34311C" w:tentative="1">
      <w:start w:val="1"/>
      <w:numFmt w:val="lowerLetter"/>
      <w:lvlText w:val="%8."/>
      <w:lvlJc w:val="left"/>
      <w:pPr>
        <w:ind w:left="6480" w:hanging="360"/>
      </w:pPr>
    </w:lvl>
    <w:lvl w:ilvl="8" w:tplc="589003B0" w:tentative="1">
      <w:start w:val="1"/>
      <w:numFmt w:val="lowerRoman"/>
      <w:lvlText w:val="%9."/>
      <w:lvlJc w:val="right"/>
      <w:pPr>
        <w:ind w:left="7200" w:hanging="180"/>
      </w:pPr>
    </w:lvl>
  </w:abstractNum>
  <w:abstractNum w:abstractNumId="4" w15:restartNumberingAfterBreak="1">
    <w:nsid w:val="381413D2"/>
    <w:multiLevelType w:val="hybridMultilevel"/>
    <w:tmpl w:val="9F98F4B8"/>
    <w:lvl w:ilvl="0" w:tplc="A7A4E13A">
      <w:start w:val="1"/>
      <w:numFmt w:val="decimal"/>
      <w:lvlText w:val="%1)"/>
      <w:lvlJc w:val="left"/>
      <w:pPr>
        <w:ind w:left="720" w:hanging="360"/>
      </w:pPr>
      <w:rPr>
        <w:rFonts w:ascii="Times New Roman" w:eastAsiaTheme="minorHAnsi" w:hAnsi="Times New Roman" w:cs="Times New Roman"/>
        <w:b w:val="0"/>
        <w:bCs w:val="0"/>
      </w:rPr>
    </w:lvl>
    <w:lvl w:ilvl="1" w:tplc="11C4FF2C" w:tentative="1">
      <w:start w:val="1"/>
      <w:numFmt w:val="lowerLetter"/>
      <w:lvlText w:val="%2."/>
      <w:lvlJc w:val="left"/>
      <w:pPr>
        <w:ind w:left="1440" w:hanging="360"/>
      </w:pPr>
    </w:lvl>
    <w:lvl w:ilvl="2" w:tplc="F5EAC652" w:tentative="1">
      <w:start w:val="1"/>
      <w:numFmt w:val="lowerRoman"/>
      <w:lvlText w:val="%3."/>
      <w:lvlJc w:val="right"/>
      <w:pPr>
        <w:ind w:left="2160" w:hanging="180"/>
      </w:pPr>
    </w:lvl>
    <w:lvl w:ilvl="3" w:tplc="CFCC4494" w:tentative="1">
      <w:start w:val="1"/>
      <w:numFmt w:val="decimal"/>
      <w:lvlText w:val="%4."/>
      <w:lvlJc w:val="left"/>
      <w:pPr>
        <w:ind w:left="2880" w:hanging="360"/>
      </w:pPr>
    </w:lvl>
    <w:lvl w:ilvl="4" w:tplc="2E0CD870" w:tentative="1">
      <w:start w:val="1"/>
      <w:numFmt w:val="lowerLetter"/>
      <w:lvlText w:val="%5."/>
      <w:lvlJc w:val="left"/>
      <w:pPr>
        <w:ind w:left="3600" w:hanging="360"/>
      </w:pPr>
    </w:lvl>
    <w:lvl w:ilvl="5" w:tplc="C6C87802" w:tentative="1">
      <w:start w:val="1"/>
      <w:numFmt w:val="lowerRoman"/>
      <w:lvlText w:val="%6."/>
      <w:lvlJc w:val="right"/>
      <w:pPr>
        <w:ind w:left="4320" w:hanging="180"/>
      </w:pPr>
    </w:lvl>
    <w:lvl w:ilvl="6" w:tplc="6EC852B4" w:tentative="1">
      <w:start w:val="1"/>
      <w:numFmt w:val="decimal"/>
      <w:lvlText w:val="%7."/>
      <w:lvlJc w:val="left"/>
      <w:pPr>
        <w:ind w:left="5040" w:hanging="360"/>
      </w:pPr>
    </w:lvl>
    <w:lvl w:ilvl="7" w:tplc="525E78D4" w:tentative="1">
      <w:start w:val="1"/>
      <w:numFmt w:val="lowerLetter"/>
      <w:lvlText w:val="%8."/>
      <w:lvlJc w:val="left"/>
      <w:pPr>
        <w:ind w:left="5760" w:hanging="360"/>
      </w:pPr>
    </w:lvl>
    <w:lvl w:ilvl="8" w:tplc="FA7C1DEC" w:tentative="1">
      <w:start w:val="1"/>
      <w:numFmt w:val="lowerRoman"/>
      <w:lvlText w:val="%9."/>
      <w:lvlJc w:val="right"/>
      <w:pPr>
        <w:ind w:left="6480" w:hanging="180"/>
      </w:pPr>
    </w:lvl>
  </w:abstractNum>
  <w:abstractNum w:abstractNumId="5" w15:restartNumberingAfterBreak="1">
    <w:nsid w:val="4C2329E9"/>
    <w:multiLevelType w:val="hybridMultilevel"/>
    <w:tmpl w:val="34E82D38"/>
    <w:lvl w:ilvl="0" w:tplc="A536B894">
      <w:start w:val="1"/>
      <w:numFmt w:val="decimal"/>
      <w:lvlText w:val="%1."/>
      <w:lvlJc w:val="left"/>
      <w:pPr>
        <w:ind w:left="720" w:hanging="360"/>
      </w:pPr>
    </w:lvl>
    <w:lvl w:ilvl="1" w:tplc="9226460E" w:tentative="1">
      <w:start w:val="1"/>
      <w:numFmt w:val="lowerLetter"/>
      <w:lvlText w:val="%2."/>
      <w:lvlJc w:val="left"/>
      <w:pPr>
        <w:ind w:left="1440" w:hanging="360"/>
      </w:pPr>
    </w:lvl>
    <w:lvl w:ilvl="2" w:tplc="0644BCF2" w:tentative="1">
      <w:start w:val="1"/>
      <w:numFmt w:val="lowerRoman"/>
      <w:lvlText w:val="%3."/>
      <w:lvlJc w:val="right"/>
      <w:pPr>
        <w:ind w:left="2160" w:hanging="180"/>
      </w:pPr>
    </w:lvl>
    <w:lvl w:ilvl="3" w:tplc="42A641E8" w:tentative="1">
      <w:start w:val="1"/>
      <w:numFmt w:val="decimal"/>
      <w:lvlText w:val="%4."/>
      <w:lvlJc w:val="left"/>
      <w:pPr>
        <w:ind w:left="2880" w:hanging="360"/>
      </w:pPr>
    </w:lvl>
    <w:lvl w:ilvl="4" w:tplc="B6E634F2" w:tentative="1">
      <w:start w:val="1"/>
      <w:numFmt w:val="lowerLetter"/>
      <w:lvlText w:val="%5."/>
      <w:lvlJc w:val="left"/>
      <w:pPr>
        <w:ind w:left="3600" w:hanging="360"/>
      </w:pPr>
    </w:lvl>
    <w:lvl w:ilvl="5" w:tplc="B0CC35C6" w:tentative="1">
      <w:start w:val="1"/>
      <w:numFmt w:val="lowerRoman"/>
      <w:lvlText w:val="%6."/>
      <w:lvlJc w:val="right"/>
      <w:pPr>
        <w:ind w:left="4320" w:hanging="180"/>
      </w:pPr>
    </w:lvl>
    <w:lvl w:ilvl="6" w:tplc="41189AFC" w:tentative="1">
      <w:start w:val="1"/>
      <w:numFmt w:val="decimal"/>
      <w:lvlText w:val="%7."/>
      <w:lvlJc w:val="left"/>
      <w:pPr>
        <w:ind w:left="5040" w:hanging="360"/>
      </w:pPr>
    </w:lvl>
    <w:lvl w:ilvl="7" w:tplc="325EB4A2" w:tentative="1">
      <w:start w:val="1"/>
      <w:numFmt w:val="lowerLetter"/>
      <w:lvlText w:val="%8."/>
      <w:lvlJc w:val="left"/>
      <w:pPr>
        <w:ind w:left="5760" w:hanging="360"/>
      </w:pPr>
    </w:lvl>
    <w:lvl w:ilvl="8" w:tplc="40D6C202" w:tentative="1">
      <w:start w:val="1"/>
      <w:numFmt w:val="lowerRoman"/>
      <w:lvlText w:val="%9."/>
      <w:lvlJc w:val="right"/>
      <w:pPr>
        <w:ind w:left="6480" w:hanging="180"/>
      </w:pPr>
    </w:lvl>
  </w:abstractNum>
  <w:abstractNum w:abstractNumId="6" w15:restartNumberingAfterBreak="1">
    <w:nsid w:val="5FBB55FB"/>
    <w:multiLevelType w:val="multilevel"/>
    <w:tmpl w:val="35683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753E199A"/>
    <w:multiLevelType w:val="multilevel"/>
    <w:tmpl w:val="F0F0D234"/>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7"/>
  </w:num>
  <w:num w:numId="2">
    <w:abstractNumId w:val="4"/>
  </w:num>
  <w:num w:numId="3">
    <w:abstractNumId w:val="5"/>
  </w:num>
  <w:num w:numId="4">
    <w:abstractNumId w:val="0"/>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81"/>
    <w:rsid w:val="0000017A"/>
    <w:rsid w:val="00002DDA"/>
    <w:rsid w:val="00030A5D"/>
    <w:rsid w:val="0007514F"/>
    <w:rsid w:val="000A0B9C"/>
    <w:rsid w:val="000A2528"/>
    <w:rsid w:val="000A75CC"/>
    <w:rsid w:val="000A764F"/>
    <w:rsid w:val="000B2971"/>
    <w:rsid w:val="000D2446"/>
    <w:rsid w:val="000D6C55"/>
    <w:rsid w:val="000D72E8"/>
    <w:rsid w:val="000F1703"/>
    <w:rsid w:val="00122CB7"/>
    <w:rsid w:val="00130389"/>
    <w:rsid w:val="00167FB7"/>
    <w:rsid w:val="001702D5"/>
    <w:rsid w:val="00173162"/>
    <w:rsid w:val="001B40F6"/>
    <w:rsid w:val="001E12D7"/>
    <w:rsid w:val="0022334F"/>
    <w:rsid w:val="00232AC0"/>
    <w:rsid w:val="00263AE7"/>
    <w:rsid w:val="002656C7"/>
    <w:rsid w:val="002810A5"/>
    <w:rsid w:val="00291B7D"/>
    <w:rsid w:val="002B2252"/>
    <w:rsid w:val="002F7E66"/>
    <w:rsid w:val="00303A12"/>
    <w:rsid w:val="00305408"/>
    <w:rsid w:val="00311DDA"/>
    <w:rsid w:val="0031512F"/>
    <w:rsid w:val="00326421"/>
    <w:rsid w:val="0037237D"/>
    <w:rsid w:val="00374C0E"/>
    <w:rsid w:val="003936DA"/>
    <w:rsid w:val="003A60EB"/>
    <w:rsid w:val="003B29AB"/>
    <w:rsid w:val="003B43C9"/>
    <w:rsid w:val="003C1FE3"/>
    <w:rsid w:val="003E5A5A"/>
    <w:rsid w:val="003E66FF"/>
    <w:rsid w:val="003F28D0"/>
    <w:rsid w:val="003F61A9"/>
    <w:rsid w:val="00403663"/>
    <w:rsid w:val="00413CB5"/>
    <w:rsid w:val="0045755D"/>
    <w:rsid w:val="004B6446"/>
    <w:rsid w:val="004C122D"/>
    <w:rsid w:val="004D7A86"/>
    <w:rsid w:val="004E3191"/>
    <w:rsid w:val="004F5340"/>
    <w:rsid w:val="00500FB6"/>
    <w:rsid w:val="0058524B"/>
    <w:rsid w:val="00587E57"/>
    <w:rsid w:val="005A7DAF"/>
    <w:rsid w:val="005B6670"/>
    <w:rsid w:val="005C0E26"/>
    <w:rsid w:val="005E7C6B"/>
    <w:rsid w:val="006013D0"/>
    <w:rsid w:val="00604E99"/>
    <w:rsid w:val="006132CA"/>
    <w:rsid w:val="006241C4"/>
    <w:rsid w:val="00626453"/>
    <w:rsid w:val="00647213"/>
    <w:rsid w:val="0065262E"/>
    <w:rsid w:val="00674524"/>
    <w:rsid w:val="00675A5F"/>
    <w:rsid w:val="006A4B77"/>
    <w:rsid w:val="006C0CC4"/>
    <w:rsid w:val="006C3DDD"/>
    <w:rsid w:val="00726EDE"/>
    <w:rsid w:val="00741641"/>
    <w:rsid w:val="007633D6"/>
    <w:rsid w:val="00770B4A"/>
    <w:rsid w:val="0077603F"/>
    <w:rsid w:val="0078716F"/>
    <w:rsid w:val="00797C46"/>
    <w:rsid w:val="007A0BFC"/>
    <w:rsid w:val="007B657C"/>
    <w:rsid w:val="007C015C"/>
    <w:rsid w:val="007C7AFB"/>
    <w:rsid w:val="007F09BF"/>
    <w:rsid w:val="007F4B41"/>
    <w:rsid w:val="00811915"/>
    <w:rsid w:val="008246D7"/>
    <w:rsid w:val="008252C5"/>
    <w:rsid w:val="00827634"/>
    <w:rsid w:val="00833BFD"/>
    <w:rsid w:val="008351CD"/>
    <w:rsid w:val="0086728D"/>
    <w:rsid w:val="00870F59"/>
    <w:rsid w:val="008742E3"/>
    <w:rsid w:val="00874D04"/>
    <w:rsid w:val="008847FD"/>
    <w:rsid w:val="008B30F2"/>
    <w:rsid w:val="008B6003"/>
    <w:rsid w:val="008E4806"/>
    <w:rsid w:val="00904AFC"/>
    <w:rsid w:val="00926179"/>
    <w:rsid w:val="00937F11"/>
    <w:rsid w:val="0094065A"/>
    <w:rsid w:val="00970636"/>
    <w:rsid w:val="009D2272"/>
    <w:rsid w:val="009D7802"/>
    <w:rsid w:val="009F1B79"/>
    <w:rsid w:val="009F2E3D"/>
    <w:rsid w:val="00A06CA8"/>
    <w:rsid w:val="00A252DC"/>
    <w:rsid w:val="00A351DC"/>
    <w:rsid w:val="00A55674"/>
    <w:rsid w:val="00A65292"/>
    <w:rsid w:val="00A72156"/>
    <w:rsid w:val="00A81DDF"/>
    <w:rsid w:val="00A94D91"/>
    <w:rsid w:val="00A977E8"/>
    <w:rsid w:val="00AE7FC4"/>
    <w:rsid w:val="00AF66CD"/>
    <w:rsid w:val="00AF7F86"/>
    <w:rsid w:val="00B14FAD"/>
    <w:rsid w:val="00B523F5"/>
    <w:rsid w:val="00BA002A"/>
    <w:rsid w:val="00BA5043"/>
    <w:rsid w:val="00BA5F0F"/>
    <w:rsid w:val="00BB4357"/>
    <w:rsid w:val="00BB7140"/>
    <w:rsid w:val="00BC4C86"/>
    <w:rsid w:val="00BE2D5B"/>
    <w:rsid w:val="00C10BBD"/>
    <w:rsid w:val="00C10FE0"/>
    <w:rsid w:val="00C167C9"/>
    <w:rsid w:val="00C42F01"/>
    <w:rsid w:val="00C467D1"/>
    <w:rsid w:val="00C641E3"/>
    <w:rsid w:val="00C8713A"/>
    <w:rsid w:val="00C90261"/>
    <w:rsid w:val="00CB3173"/>
    <w:rsid w:val="00CE5A08"/>
    <w:rsid w:val="00CF787B"/>
    <w:rsid w:val="00D1621A"/>
    <w:rsid w:val="00D35684"/>
    <w:rsid w:val="00D35A90"/>
    <w:rsid w:val="00D423A0"/>
    <w:rsid w:val="00D8481D"/>
    <w:rsid w:val="00DE206A"/>
    <w:rsid w:val="00DE3B04"/>
    <w:rsid w:val="00E234DD"/>
    <w:rsid w:val="00E26D8E"/>
    <w:rsid w:val="00E543BE"/>
    <w:rsid w:val="00E76735"/>
    <w:rsid w:val="00EB6D45"/>
    <w:rsid w:val="00EC6436"/>
    <w:rsid w:val="00EE53B3"/>
    <w:rsid w:val="00EF363D"/>
    <w:rsid w:val="00EF3B4C"/>
    <w:rsid w:val="00F50B8B"/>
    <w:rsid w:val="00F547C5"/>
    <w:rsid w:val="00F55E63"/>
    <w:rsid w:val="00FB6081"/>
    <w:rsid w:val="00FD04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51F9"/>
  <w15:chartTrackingRefBased/>
  <w15:docId w15:val="{C5D0B9E9-BC15-48CE-98E6-C73C89B1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B608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FB6081"/>
    <w:pPr>
      <w:tabs>
        <w:tab w:val="center" w:pos="4320"/>
        <w:tab w:val="right" w:pos="8640"/>
      </w:tabs>
    </w:pPr>
    <w:rPr>
      <w:lang w:eastAsia="x-none"/>
    </w:rPr>
  </w:style>
  <w:style w:type="character" w:customStyle="1" w:styleId="KjeneRakstz">
    <w:name w:val="Kājene Rakstz."/>
    <w:basedOn w:val="Noklusjumarindkopasfonts"/>
    <w:link w:val="Kjene"/>
    <w:uiPriority w:val="99"/>
    <w:rsid w:val="00FB6081"/>
    <w:rPr>
      <w:rFonts w:ascii="Times New Roman" w:eastAsia="Times New Roman" w:hAnsi="Times New Roman" w:cs="Times New Roman"/>
      <w:sz w:val="24"/>
      <w:szCs w:val="24"/>
      <w:lang w:eastAsia="x-none"/>
    </w:rPr>
  </w:style>
  <w:style w:type="character" w:styleId="Hipersaite">
    <w:name w:val="Hyperlink"/>
    <w:basedOn w:val="Noklusjumarindkopasfonts"/>
    <w:uiPriority w:val="99"/>
    <w:unhideWhenUsed/>
    <w:rsid w:val="009D7802"/>
    <w:rPr>
      <w:color w:val="0000FF"/>
      <w:u w:val="single"/>
    </w:rPr>
  </w:style>
  <w:style w:type="table" w:styleId="Reatabula">
    <w:name w:val="Table Grid"/>
    <w:basedOn w:val="Parastatabula"/>
    <w:uiPriority w:val="39"/>
    <w:rsid w:val="00291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11DDA"/>
    <w:pPr>
      <w:ind w:left="720"/>
      <w:contextualSpacing/>
    </w:pPr>
  </w:style>
  <w:style w:type="character" w:styleId="Komentraatsauce">
    <w:name w:val="annotation reference"/>
    <w:basedOn w:val="Noklusjumarindkopasfonts"/>
    <w:uiPriority w:val="99"/>
    <w:semiHidden/>
    <w:unhideWhenUsed/>
    <w:rsid w:val="00F547C5"/>
    <w:rPr>
      <w:sz w:val="16"/>
      <w:szCs w:val="16"/>
    </w:rPr>
  </w:style>
  <w:style w:type="paragraph" w:styleId="Komentrateksts">
    <w:name w:val="annotation text"/>
    <w:basedOn w:val="Parasts"/>
    <w:link w:val="KomentratekstsRakstz"/>
    <w:uiPriority w:val="99"/>
    <w:semiHidden/>
    <w:unhideWhenUsed/>
    <w:rsid w:val="00F547C5"/>
    <w:rPr>
      <w:sz w:val="20"/>
      <w:szCs w:val="20"/>
    </w:rPr>
  </w:style>
  <w:style w:type="character" w:customStyle="1" w:styleId="KomentratekstsRakstz">
    <w:name w:val="Komentāra teksts Rakstz."/>
    <w:basedOn w:val="Noklusjumarindkopasfonts"/>
    <w:link w:val="Komentrateksts"/>
    <w:uiPriority w:val="99"/>
    <w:semiHidden/>
    <w:rsid w:val="00F547C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547C5"/>
    <w:rPr>
      <w:b/>
      <w:bCs/>
    </w:rPr>
  </w:style>
  <w:style w:type="character" w:customStyle="1" w:styleId="KomentratmaRakstz">
    <w:name w:val="Komentāra tēma Rakstz."/>
    <w:basedOn w:val="KomentratekstsRakstz"/>
    <w:link w:val="Komentratma"/>
    <w:uiPriority w:val="99"/>
    <w:semiHidden/>
    <w:rsid w:val="00F547C5"/>
    <w:rPr>
      <w:rFonts w:ascii="Times New Roman" w:eastAsia="Times New Roman" w:hAnsi="Times New Roman" w:cs="Times New Roman"/>
      <w:b/>
      <w:bCs/>
      <w:sz w:val="20"/>
      <w:szCs w:val="20"/>
    </w:rPr>
  </w:style>
  <w:style w:type="paragraph" w:styleId="Prskatjums">
    <w:name w:val="Revision"/>
    <w:hidden/>
    <w:uiPriority w:val="99"/>
    <w:semiHidden/>
    <w:rsid w:val="00FD04BD"/>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31512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512F"/>
    <w:rPr>
      <w:rFonts w:ascii="Segoe UI" w:eastAsia="Times New Roman" w:hAnsi="Segoe UI" w:cs="Segoe UI"/>
      <w:sz w:val="18"/>
      <w:szCs w:val="18"/>
    </w:rPr>
  </w:style>
  <w:style w:type="paragraph" w:styleId="Nosaukums">
    <w:name w:val="Title"/>
    <w:basedOn w:val="Parasts"/>
    <w:link w:val="NosaukumsRakstz"/>
    <w:uiPriority w:val="1"/>
    <w:qFormat/>
    <w:rsid w:val="00413CB5"/>
    <w:pPr>
      <w:widowControl w:val="0"/>
      <w:autoSpaceDE w:val="0"/>
      <w:autoSpaceDN w:val="0"/>
      <w:ind w:left="195" w:right="197"/>
      <w:jc w:val="center"/>
    </w:pPr>
    <w:rPr>
      <w:b/>
      <w:bCs/>
      <w:sz w:val="28"/>
      <w:szCs w:val="28"/>
    </w:rPr>
  </w:style>
  <w:style w:type="character" w:customStyle="1" w:styleId="NosaukumsRakstz">
    <w:name w:val="Nosaukums Rakstz."/>
    <w:basedOn w:val="Noklusjumarindkopasfonts"/>
    <w:link w:val="Nosaukums"/>
    <w:uiPriority w:val="1"/>
    <w:rsid w:val="00413CB5"/>
    <w:rPr>
      <w:rFonts w:ascii="Times New Roman" w:eastAsia="Times New Roman" w:hAnsi="Times New Roman" w:cs="Times New Roman"/>
      <w:b/>
      <w:bCs/>
      <w:sz w:val="28"/>
      <w:szCs w:val="28"/>
    </w:rPr>
  </w:style>
  <w:style w:type="paragraph" w:styleId="Paraststmeklis">
    <w:name w:val="Normal (Web)"/>
    <w:basedOn w:val="Parasts"/>
    <w:uiPriority w:val="99"/>
    <w:semiHidden/>
    <w:unhideWhenUsed/>
    <w:rsid w:val="008847FD"/>
    <w:pPr>
      <w:spacing w:before="100" w:beforeAutospacing="1" w:after="100" w:afterAutospacing="1"/>
    </w:pPr>
    <w:rPr>
      <w:lang w:eastAsia="lv-LV"/>
    </w:rPr>
  </w:style>
  <w:style w:type="character" w:customStyle="1" w:styleId="UnresolvedMention">
    <w:name w:val="Unresolved Mention"/>
    <w:basedOn w:val="Noklusjumarindkopasfonts"/>
    <w:uiPriority w:val="99"/>
    <w:semiHidden/>
    <w:unhideWhenUsed/>
    <w:rsid w:val="0087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70854">
      <w:bodyDiv w:val="1"/>
      <w:marLeft w:val="0"/>
      <w:marRight w:val="0"/>
      <w:marTop w:val="0"/>
      <w:marBottom w:val="0"/>
      <w:divBdr>
        <w:top w:val="none" w:sz="0" w:space="0" w:color="auto"/>
        <w:left w:val="none" w:sz="0" w:space="0" w:color="auto"/>
        <w:bottom w:val="none" w:sz="0" w:space="0" w:color="auto"/>
        <w:right w:val="none" w:sz="0" w:space="0" w:color="auto"/>
      </w:divBdr>
    </w:div>
    <w:div w:id="460920716">
      <w:bodyDiv w:val="1"/>
      <w:marLeft w:val="0"/>
      <w:marRight w:val="0"/>
      <w:marTop w:val="0"/>
      <w:marBottom w:val="0"/>
      <w:divBdr>
        <w:top w:val="none" w:sz="0" w:space="0" w:color="auto"/>
        <w:left w:val="none" w:sz="0" w:space="0" w:color="auto"/>
        <w:bottom w:val="none" w:sz="0" w:space="0" w:color="auto"/>
        <w:right w:val="none" w:sz="0" w:space="0" w:color="auto"/>
      </w:divBdr>
    </w:div>
    <w:div w:id="11320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202999-geotelpiskas-informacijas-likum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02999-geotelpiskas-informacijas-likums" TargetMode="External"/><Relationship Id="rId17" Type="http://schemas.openxmlformats.org/officeDocument/2006/relationships/hyperlink" Target="http://www.adazi.lv" TargetMode="External"/><Relationship Id="rId2" Type="http://schemas.openxmlformats.org/officeDocument/2006/relationships/numbering" Target="numbering.xml"/><Relationship Id="rId16" Type="http://schemas.openxmlformats.org/officeDocument/2006/relationships/hyperlink" Target="https://likumi.lv/ta/id/315654-administrativo-teritoriju-un-apdzivoto-vietu-lik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hyperlink" Target="https://likumi.lv/ta/id/202999-geotelpiskas-informacijas-likums" TargetMode="External"/><Relationship Id="rId10" Type="http://schemas.openxmlformats.org/officeDocument/2006/relationships/hyperlink" Target="https://likumi.lv/ta/id/63545-valsts-parvaldes-iekartas-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46998-augstas-detalizacijas-topografiskas-informacijas-un-tas-centralas-datubazes-noteikumi" TargetMode="External"/><Relationship Id="rId14" Type="http://schemas.openxmlformats.org/officeDocument/2006/relationships/hyperlink" Target="https://likumi.lv/ta/id/202999-geotelpiskas-informacij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DAD9-9841-4295-B4CA-98164860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9572</Words>
  <Characters>5457</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Nadežda Rubina</dc:creator>
  <cp:lastModifiedBy>Jānis Tiļčiks</cp:lastModifiedBy>
  <cp:revision>5</cp:revision>
  <dcterms:created xsi:type="dcterms:W3CDTF">2021-12-08T06:17:00Z</dcterms:created>
  <dcterms:modified xsi:type="dcterms:W3CDTF">2021-12-09T10:47:00Z</dcterms:modified>
</cp:coreProperties>
</file>